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D5738" w14:textId="77777777" w:rsidR="001834E2" w:rsidRDefault="001834E2" w:rsidP="00D77E5A">
      <w:pPr>
        <w:pStyle w:val="Default"/>
        <w:rPr>
          <w:rFonts w:ascii="Arial" w:hAnsi="Arial" w:cs="Arial"/>
          <w:b/>
          <w:bCs/>
        </w:rPr>
      </w:pPr>
    </w:p>
    <w:p w14:paraId="18AFFC56" w14:textId="3DE62384" w:rsidR="00D77E5A" w:rsidRPr="00D77E5A" w:rsidRDefault="00D77E5A" w:rsidP="005F5A78">
      <w:pPr>
        <w:pStyle w:val="Default"/>
        <w:rPr>
          <w:rFonts w:ascii="Arial" w:hAnsi="Arial" w:cs="Arial"/>
          <w:b/>
          <w:bCs/>
        </w:rPr>
      </w:pPr>
      <w:r w:rsidRPr="00D77E5A">
        <w:rPr>
          <w:rFonts w:ascii="Arial" w:hAnsi="Arial" w:cs="Arial"/>
          <w:b/>
          <w:bCs/>
        </w:rPr>
        <w:t>Lee et al.</w:t>
      </w:r>
      <w:r>
        <w:rPr>
          <w:rFonts w:ascii="Arial" w:hAnsi="Arial" w:cs="Arial"/>
          <w:b/>
          <w:bCs/>
        </w:rPr>
        <w:t>,</w:t>
      </w:r>
      <w:r w:rsidRPr="00D77E5A">
        <w:rPr>
          <w:rFonts w:ascii="Arial" w:hAnsi="Arial" w:cs="Arial"/>
          <w:b/>
          <w:bCs/>
        </w:rPr>
        <w:t xml:space="preserve"> 2018 </w:t>
      </w:r>
      <w:r w:rsidRPr="00D77E5A">
        <w:rPr>
          <w:rFonts w:ascii="Arial" w:hAnsi="Arial" w:cs="Arial"/>
          <w:b/>
          <w:bCs/>
        </w:rPr>
        <w:t>Gene discovery and polygenic prediction from a 1.1-million</w:t>
      </w:r>
      <w:r w:rsidRPr="00D77E5A">
        <w:rPr>
          <w:rFonts w:ascii="Arial" w:hAnsi="Arial" w:cs="Arial"/>
          <w:b/>
          <w:bCs/>
        </w:rPr>
        <w:t xml:space="preserve"> </w:t>
      </w:r>
      <w:r w:rsidRPr="00D77E5A">
        <w:rPr>
          <w:rFonts w:ascii="Arial" w:hAnsi="Arial" w:cs="Arial"/>
          <w:b/>
          <w:bCs/>
        </w:rPr>
        <w:t>person GWAS of educational attainment</w:t>
      </w:r>
      <w:r w:rsidRPr="00D77E5A">
        <w:rPr>
          <w:rFonts w:ascii="Arial" w:hAnsi="Arial" w:cs="Arial"/>
          <w:b/>
          <w:bCs/>
        </w:rPr>
        <w:t>:</w:t>
      </w:r>
    </w:p>
    <w:p w14:paraId="47C3C267" w14:textId="77777777" w:rsidR="00D77E5A" w:rsidRPr="00D77E5A" w:rsidRDefault="00D77E5A" w:rsidP="005F5A78">
      <w:pPr>
        <w:rPr>
          <w:rFonts w:ascii="Arial" w:hAnsi="Arial" w:cs="Arial"/>
        </w:rPr>
      </w:pPr>
    </w:p>
    <w:p w14:paraId="2E72AFC4" w14:textId="08EA81ED" w:rsidR="00D77E5A" w:rsidRDefault="00D77E5A" w:rsidP="005F5A78">
      <w:pPr>
        <w:rPr>
          <w:rFonts w:ascii="Arial" w:hAnsi="Arial" w:cs="Arial"/>
        </w:rPr>
      </w:pPr>
      <w:r w:rsidRPr="00D77E5A">
        <w:rPr>
          <w:rFonts w:ascii="Arial" w:hAnsi="Arial" w:cs="Arial"/>
        </w:rPr>
        <w:t>We conduct a large-scale genetic association analysis of educational attainment in a sample of ~1.1 million individuals and identify 1,271 independent genome-wide-significant SNPs. For the SNPs taken together, we found evidence of heterogeneous effects across environments. The SNPs implicate genes involved in brain-development processes and neuron-to-neuron communication. In a separate analysis of the X chromosome, we identify 10 independent genome-wide-significant SNPs and estimate a SNP heritability of ~0.3% in both men and women, consistent with partial dosage compensation. A joint (multi-phenotype) analysis of educational attainment and three related cognitive phenotypes generates polygenic scores that explain 11–13% of the variance in educational attainment and 7–10% of the variance in cognitive performance. This prediction accuracy substantially increases the utility of polygenic scores as tools in research.</w:t>
      </w:r>
    </w:p>
    <w:p w14:paraId="27871C11" w14:textId="054C9025" w:rsidR="001834E2" w:rsidRDefault="001834E2" w:rsidP="001834E2">
      <w:pPr>
        <w:ind w:left="720"/>
        <w:rPr>
          <w:rFonts w:ascii="Arial" w:hAnsi="Arial" w:cs="Arial"/>
        </w:rPr>
      </w:pPr>
    </w:p>
    <w:p w14:paraId="128A5CD2" w14:textId="77777777" w:rsidR="005F5A78" w:rsidRDefault="005F5A78" w:rsidP="005F5A78">
      <w:pPr>
        <w:pStyle w:val="Defaul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Group 1:</w:t>
      </w:r>
    </w:p>
    <w:p w14:paraId="0F322A38" w14:textId="77777777" w:rsidR="005F5A78" w:rsidRDefault="005F5A78" w:rsidP="001834E2">
      <w:pPr>
        <w:ind w:left="720"/>
        <w:rPr>
          <w:rFonts w:ascii="Arial" w:hAnsi="Arial" w:cs="Arial"/>
          <w:b/>
          <w:bCs/>
        </w:rPr>
      </w:pPr>
    </w:p>
    <w:p w14:paraId="6542985B" w14:textId="19E206F8" w:rsidR="001834E2" w:rsidRPr="001834E2" w:rsidRDefault="001834E2" w:rsidP="001834E2">
      <w:pPr>
        <w:ind w:left="720"/>
        <w:rPr>
          <w:rFonts w:ascii="Arial" w:hAnsi="Arial" w:cs="Arial"/>
          <w:b/>
          <w:bCs/>
        </w:rPr>
      </w:pPr>
      <w:r w:rsidRPr="001834E2">
        <w:rPr>
          <w:rFonts w:ascii="Arial" w:hAnsi="Arial" w:cs="Arial"/>
          <w:b/>
          <w:bCs/>
        </w:rPr>
        <w:t xml:space="preserve">Use all the resources at your disposal to </w:t>
      </w:r>
      <w:r w:rsidR="005F5A78">
        <w:rPr>
          <w:rFonts w:ascii="Arial" w:hAnsi="Arial" w:cs="Arial"/>
          <w:b/>
          <w:bCs/>
        </w:rPr>
        <w:t>explain to the class what educational attainment is, in the context of this study.</w:t>
      </w:r>
    </w:p>
    <w:p w14:paraId="2C7CC667" w14:textId="77777777" w:rsidR="00D77E5A" w:rsidRDefault="00D77E5A" w:rsidP="00D77E5A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6AA5F605" w14:textId="77777777" w:rsidR="001834E2" w:rsidRDefault="001834E2" w:rsidP="00D77E5A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1625213" w14:textId="24A652C6" w:rsidR="001834E2" w:rsidRDefault="001834E2" w:rsidP="00D77E5A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Group 2:</w:t>
      </w:r>
    </w:p>
    <w:p w14:paraId="03ACC198" w14:textId="158B9659" w:rsidR="001834E2" w:rsidRDefault="001834E2" w:rsidP="005F5A78">
      <w:pPr>
        <w:autoSpaceDE w:val="0"/>
        <w:autoSpaceDN w:val="0"/>
        <w:adjustRightInd w:val="0"/>
        <w:rPr>
          <w:rFonts w:ascii="Arial" w:hAnsi="Arial" w:cs="Arial"/>
        </w:rPr>
      </w:pPr>
    </w:p>
    <w:p w14:paraId="6944A060" w14:textId="501DC8AD" w:rsidR="001834E2" w:rsidRDefault="001834E2" w:rsidP="001834E2">
      <w:pPr>
        <w:ind w:left="720"/>
        <w:rPr>
          <w:rFonts w:ascii="Arial" w:hAnsi="Arial" w:cs="Arial"/>
          <w:b/>
          <w:bCs/>
        </w:rPr>
      </w:pPr>
      <w:r w:rsidRPr="001834E2">
        <w:rPr>
          <w:rFonts w:ascii="Arial" w:hAnsi="Arial" w:cs="Arial"/>
          <w:b/>
          <w:bCs/>
        </w:rPr>
        <w:t xml:space="preserve">Use all the resources at your disposal to understand Figure </w:t>
      </w:r>
      <w:proofErr w:type="gramStart"/>
      <w:r w:rsidRPr="001834E2">
        <w:rPr>
          <w:rFonts w:ascii="Arial" w:hAnsi="Arial" w:cs="Arial"/>
          <w:b/>
          <w:bCs/>
        </w:rPr>
        <w:t>1, and</w:t>
      </w:r>
      <w:proofErr w:type="gramEnd"/>
      <w:r w:rsidRPr="001834E2">
        <w:rPr>
          <w:rFonts w:ascii="Arial" w:hAnsi="Arial" w:cs="Arial"/>
          <w:b/>
          <w:bCs/>
        </w:rPr>
        <w:t xml:space="preserve"> present it to the class.</w:t>
      </w:r>
    </w:p>
    <w:p w14:paraId="21A873EF" w14:textId="56745E8E" w:rsidR="000F49CC" w:rsidRDefault="000F49CC" w:rsidP="000F49CC">
      <w:pPr>
        <w:rPr>
          <w:rFonts w:ascii="Arial" w:hAnsi="Arial" w:cs="Arial"/>
          <w:b/>
          <w:bCs/>
        </w:rPr>
      </w:pPr>
    </w:p>
    <w:p w14:paraId="495C5968" w14:textId="77777777" w:rsidR="000F49CC" w:rsidRPr="001834E2" w:rsidRDefault="000F49CC" w:rsidP="000F49CC">
      <w:pPr>
        <w:rPr>
          <w:rFonts w:ascii="Arial" w:hAnsi="Arial" w:cs="Arial"/>
          <w:b/>
          <w:bCs/>
        </w:rPr>
      </w:pPr>
    </w:p>
    <w:p w14:paraId="27139BAA" w14:textId="77777777" w:rsidR="001834E2" w:rsidRPr="001834E2" w:rsidRDefault="001834E2" w:rsidP="001834E2">
      <w:pPr>
        <w:autoSpaceDE w:val="0"/>
        <w:autoSpaceDN w:val="0"/>
        <w:adjustRightInd w:val="0"/>
        <w:ind w:left="720"/>
        <w:rPr>
          <w:rFonts w:ascii="Arial" w:hAnsi="Arial" w:cs="Arial"/>
          <w:b/>
          <w:bCs/>
        </w:rPr>
      </w:pPr>
    </w:p>
    <w:sectPr w:rsidR="001834E2" w:rsidRPr="00183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5A"/>
    <w:rsid w:val="000F49CC"/>
    <w:rsid w:val="001834E2"/>
    <w:rsid w:val="005F5A78"/>
    <w:rsid w:val="00D7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C9946"/>
  <w15:chartTrackingRefBased/>
  <w15:docId w15:val="{5589FDE6-42F9-C34C-8928-74DDA204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7E5A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Sharbrough, Joel T</dc:creator>
  <cp:keywords/>
  <dc:description/>
  <cp:lastModifiedBy>Sharbrough, Joel T</cp:lastModifiedBy>
  <cp:revision>1</cp:revision>
  <dcterms:created xsi:type="dcterms:W3CDTF">2022-07-20T15:01:00Z</dcterms:created>
  <dcterms:modified xsi:type="dcterms:W3CDTF">2022-07-20T15:38:00Z</dcterms:modified>
</cp:coreProperties>
</file>