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E5B69" w14:textId="345F3EC8" w:rsidR="00554788" w:rsidRDefault="00554788">
      <w:pPr>
        <w:rPr>
          <w:b/>
        </w:rPr>
      </w:pPr>
      <w:r w:rsidRPr="00554788">
        <w:rPr>
          <w:b/>
        </w:rPr>
        <w:t>Droplet Digital PCR (ddPCR)</w:t>
      </w:r>
      <w:r w:rsidR="002D456E">
        <w:rPr>
          <w:b/>
        </w:rPr>
        <w:t xml:space="preserve"> with Bio-Rad </w:t>
      </w:r>
      <w:proofErr w:type="spellStart"/>
      <w:r w:rsidR="002D456E">
        <w:rPr>
          <w:b/>
        </w:rPr>
        <w:t>EvaGreen</w:t>
      </w:r>
      <w:proofErr w:type="spellEnd"/>
    </w:p>
    <w:p w14:paraId="20210C2A" w14:textId="77777777" w:rsidR="0001046E" w:rsidRDefault="0001046E" w:rsidP="0001046E">
      <w:pPr>
        <w:rPr>
          <w:b/>
        </w:rPr>
      </w:pPr>
    </w:p>
    <w:p w14:paraId="39F4C013" w14:textId="77777777" w:rsidR="0001046E" w:rsidRPr="008C6E8D" w:rsidRDefault="0001046E" w:rsidP="0001046E">
      <w:pPr>
        <w:rPr>
          <w:b/>
        </w:rPr>
      </w:pPr>
      <w:r>
        <w:rPr>
          <w:b/>
        </w:rPr>
        <w:t>Materials</w:t>
      </w:r>
    </w:p>
    <w:p w14:paraId="7D796EEB" w14:textId="77777777" w:rsidR="0001046E" w:rsidRDefault="0001046E" w:rsidP="0001046E">
      <w:r>
        <w:t>Seals: Bio-Rad 1814040</w:t>
      </w:r>
    </w:p>
    <w:p w14:paraId="36A11B4B" w14:textId="77777777" w:rsidR="0001046E" w:rsidRDefault="0001046E" w:rsidP="0001046E">
      <w:r>
        <w:t xml:space="preserve">Plates: </w:t>
      </w:r>
      <w:r w:rsidRPr="00C53649">
        <w:t xml:space="preserve">951020362 </w:t>
      </w:r>
      <w:r>
        <w:t xml:space="preserve">(made by </w:t>
      </w:r>
      <w:proofErr w:type="spellStart"/>
      <w:r>
        <w:t>Eppendorf</w:t>
      </w:r>
      <w:proofErr w:type="spellEnd"/>
      <w:r>
        <w:t>; ask in Bailey lab for product number that’s cheaper)</w:t>
      </w:r>
    </w:p>
    <w:p w14:paraId="5DA0D1B4" w14:textId="77777777" w:rsidR="0001046E" w:rsidRDefault="0001046E" w:rsidP="0001046E">
      <w:r>
        <w:t>DG8 Cartridges: 186-4008</w:t>
      </w:r>
    </w:p>
    <w:p w14:paraId="7D99CED6" w14:textId="77777777" w:rsidR="0001046E" w:rsidRDefault="0001046E" w:rsidP="0001046E">
      <w:r>
        <w:t>Gaskets: Bio-Rad 186-3009</w:t>
      </w:r>
    </w:p>
    <w:p w14:paraId="10A0EFE4" w14:textId="77777777" w:rsidR="0001046E" w:rsidRDefault="0001046E" w:rsidP="0001046E">
      <w:proofErr w:type="spellStart"/>
      <w:r>
        <w:t>EvaGreen</w:t>
      </w:r>
      <w:proofErr w:type="spellEnd"/>
      <w:r>
        <w:t xml:space="preserve"> </w:t>
      </w:r>
      <w:proofErr w:type="spellStart"/>
      <w:r>
        <w:t>Supermix</w:t>
      </w:r>
      <w:proofErr w:type="spellEnd"/>
      <w:r>
        <w:t>: Bio-Rad 1864033</w:t>
      </w:r>
    </w:p>
    <w:p w14:paraId="091FB2F5" w14:textId="77777777" w:rsidR="0001046E" w:rsidRDefault="0001046E" w:rsidP="0001046E">
      <w:r>
        <w:t xml:space="preserve">Droplet generation oil (for </w:t>
      </w:r>
      <w:proofErr w:type="spellStart"/>
      <w:r>
        <w:t>EvaGreen</w:t>
      </w:r>
      <w:proofErr w:type="spellEnd"/>
      <w:r>
        <w:t xml:space="preserve">)” Bio-Rad </w:t>
      </w:r>
      <w:r w:rsidRPr="00B34267">
        <w:t>1864005</w:t>
      </w:r>
    </w:p>
    <w:p w14:paraId="4C575610" w14:textId="77777777" w:rsidR="00554788" w:rsidRDefault="00554788"/>
    <w:p w14:paraId="4D8D8D76" w14:textId="338EA308" w:rsidR="00554788" w:rsidRDefault="00004857">
      <w:pPr>
        <w:rPr>
          <w:b/>
        </w:rPr>
      </w:pPr>
      <w:proofErr w:type="spellStart"/>
      <w:r>
        <w:rPr>
          <w:b/>
        </w:rPr>
        <w:t>EvaG</w:t>
      </w:r>
      <w:r w:rsidR="00554788" w:rsidRPr="00554788">
        <w:rPr>
          <w:b/>
        </w:rPr>
        <w:t>reen</w:t>
      </w:r>
      <w:proofErr w:type="spellEnd"/>
      <w:r w:rsidR="00554788" w:rsidRPr="00554788">
        <w:rPr>
          <w:b/>
        </w:rPr>
        <w:t xml:space="preserve"> Sample Preparation</w:t>
      </w:r>
    </w:p>
    <w:p w14:paraId="52B3B36F" w14:textId="77777777" w:rsidR="002D456E" w:rsidRDefault="002D456E">
      <w:pPr>
        <w:rPr>
          <w:b/>
        </w:rPr>
      </w:pPr>
    </w:p>
    <w:p w14:paraId="52F77D51" w14:textId="576D8B13" w:rsidR="002D456E" w:rsidRPr="002D456E" w:rsidRDefault="002D456E">
      <w:r>
        <w:t>The following steps can be performed in our lab before taking mixed samples and reagents to the core facility.</w:t>
      </w:r>
    </w:p>
    <w:p w14:paraId="4A78C60D" w14:textId="6F5B15C1" w:rsidR="00554788" w:rsidRDefault="00554788" w:rsidP="002D456E"/>
    <w:p w14:paraId="596CE0E0" w14:textId="3624529B" w:rsidR="00004857" w:rsidRDefault="00004857" w:rsidP="0001046E">
      <w:pPr>
        <w:pStyle w:val="ListParagraph"/>
        <w:numPr>
          <w:ilvl w:val="0"/>
          <w:numId w:val="2"/>
        </w:numPr>
        <w:rPr>
          <w:rFonts w:ascii="Calibri" w:hAnsi="Calibri"/>
        </w:rPr>
      </w:pPr>
      <w:r>
        <w:t xml:space="preserve">According to manual, the 2x </w:t>
      </w:r>
      <w:proofErr w:type="spellStart"/>
      <w:r>
        <w:t>EvaGreen</w:t>
      </w:r>
      <w:proofErr w:type="spellEnd"/>
      <w:r>
        <w:t xml:space="preserve"> master mix should not be thawed and re-frozen repeatedly. Upon initial thawing, it should be allocated into sterile/clean tubes. 8-sample aliquots </w:t>
      </w:r>
      <w:r w:rsidRPr="0001046E">
        <w:rPr>
          <w:rFonts w:ascii="Calibri" w:hAnsi="Calibri"/>
        </w:rPr>
        <w:t xml:space="preserve">would be the natural unit. This would probably correspond to ~90 </w:t>
      </w:r>
      <w:proofErr w:type="spellStart"/>
      <w:r w:rsidRPr="0001046E">
        <w:rPr>
          <w:rFonts w:ascii="Calibri" w:hAnsi="Calibri"/>
        </w:rPr>
        <w:t>ul</w:t>
      </w:r>
      <w:proofErr w:type="spellEnd"/>
      <w:r w:rsidRPr="0001046E">
        <w:rPr>
          <w:rFonts w:ascii="Calibri" w:hAnsi="Calibri"/>
        </w:rPr>
        <w:t xml:space="preserve"> per tube (to allow for pipetting slop), but that should be determined</w:t>
      </w:r>
      <w:r w:rsidR="00447F1B" w:rsidRPr="0001046E">
        <w:rPr>
          <w:rFonts w:ascii="Calibri" w:hAnsi="Calibri"/>
        </w:rPr>
        <w:t xml:space="preserve"> based on expected usage</w:t>
      </w:r>
      <w:r w:rsidRPr="0001046E">
        <w:rPr>
          <w:rFonts w:ascii="Calibri" w:hAnsi="Calibri"/>
        </w:rPr>
        <w:t>.</w:t>
      </w:r>
    </w:p>
    <w:p w14:paraId="51C43A08" w14:textId="77777777" w:rsidR="0001046E" w:rsidRPr="0001046E" w:rsidRDefault="0001046E" w:rsidP="0001046E">
      <w:pPr>
        <w:pStyle w:val="ListParagraph"/>
        <w:rPr>
          <w:rFonts w:ascii="Calibri" w:hAnsi="Calibri"/>
        </w:rPr>
      </w:pPr>
    </w:p>
    <w:p w14:paraId="68E0CEA6" w14:textId="70B8E69D" w:rsidR="002D456E" w:rsidRDefault="002D456E" w:rsidP="0001046E">
      <w:pPr>
        <w:pStyle w:val="ListParagraph"/>
        <w:widowControl w:val="0"/>
        <w:numPr>
          <w:ilvl w:val="0"/>
          <w:numId w:val="2"/>
        </w:numPr>
        <w:autoSpaceDE w:val="0"/>
        <w:autoSpaceDN w:val="0"/>
        <w:adjustRightInd w:val="0"/>
        <w:spacing w:line="280" w:lineRule="atLeast"/>
        <w:rPr>
          <w:rFonts w:ascii="Calibri" w:hAnsi="Calibri" w:cs="Times"/>
        </w:rPr>
      </w:pPr>
      <w:r w:rsidRPr="0001046E">
        <w:rPr>
          <w:rFonts w:ascii="Calibri" w:hAnsi="Calibri" w:cs="Times"/>
        </w:rPr>
        <w:t xml:space="preserve">Mix thoroughly by </w:t>
      </w:r>
      <w:proofErr w:type="spellStart"/>
      <w:r w:rsidRPr="0001046E">
        <w:rPr>
          <w:rFonts w:ascii="Calibri" w:hAnsi="Calibri" w:cs="Times"/>
        </w:rPr>
        <w:t>vortexing</w:t>
      </w:r>
      <w:proofErr w:type="spellEnd"/>
      <w:r w:rsidRPr="0001046E">
        <w:rPr>
          <w:rFonts w:ascii="Calibri" w:hAnsi="Calibri" w:cs="Times"/>
        </w:rPr>
        <w:t xml:space="preserve"> the tube to ensure homogeneity because</w:t>
      </w:r>
      <w:r w:rsidR="0001046E" w:rsidRPr="0001046E">
        <w:rPr>
          <w:rFonts w:ascii="MS Mincho" w:eastAsia="MS Mincho" w:hAnsi="MS Mincho" w:cs="MS Mincho"/>
        </w:rPr>
        <w:t xml:space="preserve"> </w:t>
      </w:r>
      <w:r w:rsidRPr="0001046E">
        <w:rPr>
          <w:rFonts w:ascii="Calibri" w:hAnsi="Calibri" w:cs="Times"/>
        </w:rPr>
        <w:t>a concentration gradient may form during –20°C storage. Centrifuge brie</w:t>
      </w:r>
      <w:r w:rsidR="00447F1B" w:rsidRPr="0001046E">
        <w:rPr>
          <w:rFonts w:ascii="Calibri" w:hAnsi="Calibri" w:cs="Times"/>
        </w:rPr>
        <w:t>fl</w:t>
      </w:r>
      <w:r w:rsidRPr="0001046E">
        <w:rPr>
          <w:rFonts w:ascii="Calibri" w:hAnsi="Calibri" w:cs="Times"/>
        </w:rPr>
        <w:t xml:space="preserve">y to collect contents at the bottom of the tube. </w:t>
      </w:r>
    </w:p>
    <w:p w14:paraId="6FF314B4" w14:textId="77777777" w:rsidR="0001046E" w:rsidRPr="0001046E" w:rsidRDefault="0001046E" w:rsidP="0001046E">
      <w:pPr>
        <w:widowControl w:val="0"/>
        <w:autoSpaceDE w:val="0"/>
        <w:autoSpaceDN w:val="0"/>
        <w:adjustRightInd w:val="0"/>
        <w:spacing w:line="280" w:lineRule="atLeast"/>
        <w:rPr>
          <w:rFonts w:ascii="Calibri" w:hAnsi="Calibri" w:cs="Times"/>
        </w:rPr>
      </w:pPr>
    </w:p>
    <w:p w14:paraId="46658146" w14:textId="2A81D48F" w:rsidR="00004857" w:rsidRDefault="002D456E" w:rsidP="0001046E">
      <w:pPr>
        <w:pStyle w:val="ListParagraph"/>
        <w:numPr>
          <w:ilvl w:val="0"/>
          <w:numId w:val="2"/>
        </w:numPr>
        <w:rPr>
          <w:rFonts w:ascii="Calibri" w:hAnsi="Calibri"/>
        </w:rPr>
      </w:pPr>
      <w:r w:rsidRPr="0001046E">
        <w:rPr>
          <w:rFonts w:ascii="Calibri" w:hAnsi="Calibri"/>
        </w:rPr>
        <w:t>Prepare reactions according to the following table</w:t>
      </w:r>
    </w:p>
    <w:p w14:paraId="3BE2DD88" w14:textId="77777777" w:rsidR="0001046E" w:rsidRPr="0001046E" w:rsidRDefault="0001046E" w:rsidP="0001046E">
      <w:pPr>
        <w:rPr>
          <w:rFonts w:ascii="Calibri" w:hAnsi="Calibri"/>
        </w:rPr>
      </w:pPr>
    </w:p>
    <w:p w14:paraId="64945F39" w14:textId="274F8823" w:rsidR="002D456E" w:rsidRDefault="002D456E" w:rsidP="002D456E">
      <w:pPr>
        <w:rPr>
          <w:rFonts w:ascii="Calibri" w:hAnsi="Calibri"/>
        </w:rPr>
      </w:pPr>
      <w:r w:rsidRPr="002D456E">
        <w:rPr>
          <w:rFonts w:ascii="Calibri" w:hAnsi="Calibri"/>
          <w:noProof/>
        </w:rPr>
        <w:drawing>
          <wp:inline distT="0" distB="0" distL="0" distR="0" wp14:anchorId="3126625C" wp14:editId="28982D61">
            <wp:extent cx="31496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9600" cy="2311400"/>
                    </a:xfrm>
                    <a:prstGeom prst="rect">
                      <a:avLst/>
                    </a:prstGeom>
                  </pic:spPr>
                </pic:pic>
              </a:graphicData>
            </a:graphic>
          </wp:inline>
        </w:drawing>
      </w:r>
    </w:p>
    <w:p w14:paraId="7111A06D" w14:textId="77777777" w:rsidR="002D456E" w:rsidRDefault="002D456E" w:rsidP="002D456E">
      <w:pPr>
        <w:rPr>
          <w:rFonts w:ascii="Calibri" w:hAnsi="Calibri"/>
        </w:rPr>
      </w:pPr>
    </w:p>
    <w:p w14:paraId="5F6AE1C1" w14:textId="2263A340" w:rsidR="002D456E" w:rsidRDefault="002D456E" w:rsidP="002D456E">
      <w:pPr>
        <w:rPr>
          <w:rFonts w:ascii="Calibri" w:hAnsi="Calibri"/>
        </w:rPr>
      </w:pPr>
      <w:r>
        <w:rPr>
          <w:rFonts w:ascii="Calibri" w:hAnsi="Calibri"/>
        </w:rPr>
        <w:t xml:space="preserve">Note that 100 </w:t>
      </w:r>
      <w:proofErr w:type="spellStart"/>
      <w:r>
        <w:rPr>
          <w:rFonts w:ascii="Calibri" w:hAnsi="Calibri"/>
        </w:rPr>
        <w:t>nM</w:t>
      </w:r>
      <w:proofErr w:type="spellEnd"/>
      <w:r>
        <w:rPr>
          <w:rFonts w:ascii="Calibri" w:hAnsi="Calibri"/>
        </w:rPr>
        <w:t xml:space="preserve"> final primer </w:t>
      </w:r>
      <w:proofErr w:type="gramStart"/>
      <w:r>
        <w:rPr>
          <w:rFonts w:ascii="Calibri" w:hAnsi="Calibri"/>
        </w:rPr>
        <w:t>concentration</w:t>
      </w:r>
      <w:proofErr w:type="gramEnd"/>
      <w:r>
        <w:rPr>
          <w:rFonts w:ascii="Calibri" w:hAnsi="Calibri"/>
        </w:rPr>
        <w:t xml:space="preserve"> will correspond to 0.2 </w:t>
      </w:r>
      <w:proofErr w:type="spellStart"/>
      <w:r>
        <w:rPr>
          <w:rFonts w:ascii="Calibri" w:hAnsi="Calibri"/>
        </w:rPr>
        <w:t>ul</w:t>
      </w:r>
      <w:proofErr w:type="spellEnd"/>
      <w:r>
        <w:rPr>
          <w:rFonts w:ascii="Calibri" w:hAnsi="Calibri"/>
        </w:rPr>
        <w:t xml:space="preserve"> of 10 </w:t>
      </w:r>
      <w:proofErr w:type="spellStart"/>
      <w:r>
        <w:rPr>
          <w:rFonts w:ascii="Calibri" w:hAnsi="Calibri"/>
        </w:rPr>
        <w:t>uM</w:t>
      </w:r>
      <w:proofErr w:type="spellEnd"/>
      <w:r>
        <w:rPr>
          <w:rFonts w:ascii="Calibri" w:hAnsi="Calibri"/>
        </w:rPr>
        <w:t xml:space="preserve"> stock solution.</w:t>
      </w:r>
    </w:p>
    <w:p w14:paraId="637A8492" w14:textId="32CE6609" w:rsidR="002D456E" w:rsidRPr="002D456E" w:rsidRDefault="002D456E" w:rsidP="002D456E">
      <w:pPr>
        <w:rPr>
          <w:rFonts w:ascii="Calibri" w:hAnsi="Calibri"/>
        </w:rPr>
      </w:pPr>
      <w:proofErr w:type="gramStart"/>
      <w:r>
        <w:rPr>
          <w:rFonts w:ascii="Calibri" w:hAnsi="Calibri"/>
        </w:rPr>
        <w:t>cDNA</w:t>
      </w:r>
      <w:proofErr w:type="gramEnd"/>
      <w:r>
        <w:rPr>
          <w:rFonts w:ascii="Calibri" w:hAnsi="Calibri"/>
        </w:rPr>
        <w:t xml:space="preserve"> template volume should not exceed 6 </w:t>
      </w:r>
      <w:proofErr w:type="spellStart"/>
      <w:r>
        <w:rPr>
          <w:rFonts w:ascii="Calibri" w:hAnsi="Calibri"/>
        </w:rPr>
        <w:t>ul</w:t>
      </w:r>
      <w:proofErr w:type="spellEnd"/>
      <w:r>
        <w:rPr>
          <w:rFonts w:ascii="Calibri" w:hAnsi="Calibri"/>
        </w:rPr>
        <w:t xml:space="preserve"> in 20 </w:t>
      </w:r>
      <w:proofErr w:type="spellStart"/>
      <w:r>
        <w:rPr>
          <w:rFonts w:ascii="Calibri" w:hAnsi="Calibri"/>
        </w:rPr>
        <w:t>ul</w:t>
      </w:r>
      <w:proofErr w:type="spellEnd"/>
      <w:r>
        <w:rPr>
          <w:rFonts w:ascii="Calibri" w:hAnsi="Calibri"/>
        </w:rPr>
        <w:t xml:space="preserve"> reaction volume</w:t>
      </w:r>
      <w:r w:rsidR="00447F1B">
        <w:rPr>
          <w:rFonts w:ascii="Calibri" w:hAnsi="Calibri"/>
        </w:rPr>
        <w:t xml:space="preserve"> (because of the effect on salt concentrations)</w:t>
      </w:r>
      <w:r>
        <w:rPr>
          <w:rFonts w:ascii="Calibri" w:hAnsi="Calibri"/>
        </w:rPr>
        <w:t>.</w:t>
      </w:r>
    </w:p>
    <w:p w14:paraId="21ACE572" w14:textId="5490A4C3" w:rsidR="002D456E" w:rsidRPr="0001046E" w:rsidRDefault="002D456E" w:rsidP="0001046E">
      <w:pPr>
        <w:pStyle w:val="ListParagraph"/>
        <w:numPr>
          <w:ilvl w:val="0"/>
          <w:numId w:val="3"/>
        </w:numPr>
        <w:rPr>
          <w:rFonts w:ascii="Calibri" w:hAnsi="Calibri"/>
        </w:rPr>
      </w:pPr>
      <w:r w:rsidRPr="0001046E">
        <w:rPr>
          <w:rFonts w:ascii="Calibri" w:hAnsi="Calibri"/>
        </w:rPr>
        <w:lastRenderedPageBreak/>
        <w:t xml:space="preserve">Mix thoroughly by </w:t>
      </w:r>
      <w:proofErr w:type="spellStart"/>
      <w:r w:rsidRPr="0001046E">
        <w:rPr>
          <w:rFonts w:ascii="Calibri" w:hAnsi="Calibri"/>
        </w:rPr>
        <w:t>vortexing</w:t>
      </w:r>
      <w:proofErr w:type="spellEnd"/>
      <w:r w:rsidRPr="0001046E">
        <w:rPr>
          <w:rFonts w:ascii="Calibri" w:hAnsi="Calibri"/>
        </w:rPr>
        <w:t xml:space="preserve"> the tube. Centrifuge briefly to ensure that all components are at the bottom of the reaction tube.</w:t>
      </w:r>
    </w:p>
    <w:p w14:paraId="118EF1DF" w14:textId="77777777" w:rsidR="002D456E" w:rsidRDefault="002D456E" w:rsidP="002D456E">
      <w:pPr>
        <w:rPr>
          <w:rFonts w:ascii="Calibri" w:hAnsi="Calibri"/>
        </w:rPr>
      </w:pPr>
    </w:p>
    <w:p w14:paraId="72AC6E75" w14:textId="026573F6" w:rsidR="002D456E" w:rsidRPr="0001046E" w:rsidRDefault="002D456E" w:rsidP="002D456E">
      <w:pPr>
        <w:pStyle w:val="ListParagraph"/>
        <w:numPr>
          <w:ilvl w:val="0"/>
          <w:numId w:val="3"/>
        </w:numPr>
        <w:rPr>
          <w:rFonts w:ascii="Calibri" w:hAnsi="Calibri"/>
        </w:rPr>
      </w:pPr>
      <w:r w:rsidRPr="0001046E">
        <w:rPr>
          <w:rFonts w:ascii="Calibri" w:hAnsi="Calibri"/>
        </w:rPr>
        <w:t xml:space="preserve">For more details see </w:t>
      </w:r>
      <w:proofErr w:type="spellStart"/>
      <w:r w:rsidRPr="0001046E">
        <w:rPr>
          <w:rFonts w:ascii="Calibri" w:hAnsi="Calibri"/>
        </w:rPr>
        <w:t>EvaGreen</w:t>
      </w:r>
      <w:proofErr w:type="spellEnd"/>
      <w:r w:rsidRPr="0001046E">
        <w:rPr>
          <w:rFonts w:ascii="Calibri" w:hAnsi="Calibri"/>
        </w:rPr>
        <w:t xml:space="preserve"> 2x Master Mix product literature:</w:t>
      </w:r>
      <w:r w:rsidR="0001046E">
        <w:rPr>
          <w:rFonts w:ascii="Calibri" w:hAnsi="Calibri"/>
        </w:rPr>
        <w:t xml:space="preserve"> </w:t>
      </w:r>
      <w:hyperlink r:id="rId7" w:history="1">
        <w:r w:rsidRPr="0001046E">
          <w:rPr>
            <w:rStyle w:val="Hyperlink"/>
            <w:rFonts w:ascii="Calibri" w:hAnsi="Calibri"/>
          </w:rPr>
          <w:t>http://www.bio-rad.com/webroot/web/pdf/lsr/literature/10028376.pdf</w:t>
        </w:r>
      </w:hyperlink>
    </w:p>
    <w:p w14:paraId="3DF569A5" w14:textId="091E5E24" w:rsidR="002D456E" w:rsidRDefault="002D456E">
      <w:pPr>
        <w:rPr>
          <w:rFonts w:ascii="Calibri" w:hAnsi="Calibri"/>
          <w:b/>
        </w:rPr>
      </w:pPr>
    </w:p>
    <w:p w14:paraId="3B34DE54" w14:textId="786B0D98" w:rsidR="00914DA9" w:rsidRPr="002D456E" w:rsidRDefault="00914DA9">
      <w:pPr>
        <w:rPr>
          <w:rFonts w:ascii="Calibri" w:hAnsi="Calibri"/>
          <w:b/>
        </w:rPr>
      </w:pPr>
      <w:r w:rsidRPr="002D456E">
        <w:rPr>
          <w:rFonts w:ascii="Calibri" w:hAnsi="Calibri"/>
          <w:b/>
        </w:rPr>
        <w:t>Droplet generation</w:t>
      </w:r>
      <w:r w:rsidR="00343A91" w:rsidRPr="002D456E">
        <w:rPr>
          <w:rFonts w:ascii="Calibri" w:hAnsi="Calibri"/>
          <w:b/>
        </w:rPr>
        <w:t xml:space="preserve"> (Bio-Rad QX200 Droplet Generator)</w:t>
      </w:r>
    </w:p>
    <w:p w14:paraId="1144D1A2" w14:textId="77777777" w:rsidR="002D456E" w:rsidRDefault="002D456E" w:rsidP="00554788">
      <w:pPr>
        <w:rPr>
          <w:rFonts w:ascii="Calibri" w:hAnsi="Calibri"/>
        </w:rPr>
      </w:pPr>
    </w:p>
    <w:p w14:paraId="26207E9D" w14:textId="2CE8EA0B" w:rsidR="002D456E" w:rsidRPr="002D456E" w:rsidRDefault="002D456E" w:rsidP="002D456E">
      <w:pPr>
        <w:rPr>
          <w:rFonts w:ascii="Calibri" w:hAnsi="Calibri"/>
        </w:rPr>
      </w:pPr>
      <w:r w:rsidRPr="002D456E">
        <w:rPr>
          <w:rFonts w:ascii="Calibri" w:hAnsi="Calibri"/>
        </w:rPr>
        <w:t xml:space="preserve">All of the </w:t>
      </w:r>
      <w:r w:rsidR="002631F0">
        <w:rPr>
          <w:rFonts w:ascii="Calibri" w:hAnsi="Calibri"/>
        </w:rPr>
        <w:t>remaining</w:t>
      </w:r>
      <w:r w:rsidRPr="002D456E">
        <w:rPr>
          <w:rFonts w:ascii="Calibri" w:hAnsi="Calibri"/>
        </w:rPr>
        <w:t xml:space="preserve"> steps can be performed with equipment in Microbiology B406. You must schedule a time to use both the droplet generator/thermal cycler and the droplet reader. See instructions here:</w:t>
      </w:r>
    </w:p>
    <w:p w14:paraId="47A60DA0" w14:textId="77777777" w:rsidR="002D456E" w:rsidRPr="002D456E" w:rsidRDefault="002D456E" w:rsidP="002D456E">
      <w:pPr>
        <w:rPr>
          <w:rFonts w:ascii="Calibri" w:hAnsi="Calibri"/>
        </w:rPr>
      </w:pPr>
    </w:p>
    <w:p w14:paraId="48657CA1" w14:textId="77777777" w:rsidR="002D456E" w:rsidRPr="002D456E" w:rsidRDefault="0001046E" w:rsidP="002D456E">
      <w:pPr>
        <w:rPr>
          <w:rFonts w:ascii="Calibri" w:hAnsi="Calibri"/>
        </w:rPr>
      </w:pPr>
      <w:hyperlink r:id="rId8" w:history="1">
        <w:r w:rsidR="002D456E" w:rsidRPr="002D456E">
          <w:rPr>
            <w:rStyle w:val="Hyperlink"/>
            <w:rFonts w:ascii="Calibri" w:hAnsi="Calibri"/>
          </w:rPr>
          <w:t>https://vprnet.research.colostate.edu/mqc/digital-droplet-pcr/how-can-i-schedule-time-on-the-droplet-generators-and-reader/</w:t>
        </w:r>
      </w:hyperlink>
    </w:p>
    <w:p w14:paraId="41B70AA7" w14:textId="77777777" w:rsidR="002D456E" w:rsidRDefault="002D456E" w:rsidP="00554788">
      <w:pPr>
        <w:rPr>
          <w:rFonts w:ascii="Calibri" w:hAnsi="Calibri"/>
        </w:rPr>
      </w:pPr>
    </w:p>
    <w:p w14:paraId="50FA2015" w14:textId="3CA0EC69" w:rsidR="00554788" w:rsidRDefault="00554788" w:rsidP="0001046E">
      <w:pPr>
        <w:pStyle w:val="ListParagraph"/>
        <w:numPr>
          <w:ilvl w:val="0"/>
          <w:numId w:val="7"/>
        </w:numPr>
      </w:pPr>
      <w:r w:rsidRPr="0001046E">
        <w:rPr>
          <w:rFonts w:ascii="Calibri" w:hAnsi="Calibri"/>
        </w:rPr>
        <w:t>Have samples at room temp</w:t>
      </w:r>
      <w:r w:rsidRPr="00554788">
        <w:t xml:space="preserve"> for a couple minutes before droplet generation</w:t>
      </w:r>
    </w:p>
    <w:p w14:paraId="3B2C4B75" w14:textId="77777777" w:rsidR="0001046E" w:rsidRPr="00554788" w:rsidRDefault="0001046E" w:rsidP="0001046E">
      <w:pPr>
        <w:ind w:left="360"/>
      </w:pPr>
    </w:p>
    <w:p w14:paraId="764200D9" w14:textId="10BD3B13" w:rsidR="00914DA9" w:rsidRDefault="00914DA9" w:rsidP="0001046E">
      <w:pPr>
        <w:pStyle w:val="ListParagraph"/>
        <w:numPr>
          <w:ilvl w:val="0"/>
          <w:numId w:val="4"/>
        </w:numPr>
      </w:pPr>
      <w:r>
        <w:t xml:space="preserve">First load 20 </w:t>
      </w:r>
      <w:proofErr w:type="spellStart"/>
      <w:r>
        <w:t>ul</w:t>
      </w:r>
      <w:proofErr w:type="spellEnd"/>
      <w:r>
        <w:t xml:space="preserve"> of each sample in the wells in the middle of the cartridges.</w:t>
      </w:r>
    </w:p>
    <w:p w14:paraId="6AF4500B" w14:textId="77777777" w:rsidR="0001046E" w:rsidRDefault="0001046E" w:rsidP="0001046E">
      <w:pPr>
        <w:pStyle w:val="ListParagraph"/>
      </w:pPr>
    </w:p>
    <w:p w14:paraId="5D2777D8" w14:textId="1DFBDAC8" w:rsidR="00914DA9" w:rsidRDefault="00914DA9" w:rsidP="0001046E">
      <w:pPr>
        <w:pStyle w:val="ListParagraph"/>
        <w:numPr>
          <w:ilvl w:val="0"/>
          <w:numId w:val="4"/>
        </w:numPr>
      </w:pPr>
      <w:r>
        <w:t xml:space="preserve">Then load 70 </w:t>
      </w:r>
      <w:proofErr w:type="spellStart"/>
      <w:r>
        <w:t>ul</w:t>
      </w:r>
      <w:proofErr w:type="spellEnd"/>
      <w:r>
        <w:t xml:space="preserve"> of oil in each of the wells </w:t>
      </w:r>
      <w:r w:rsidR="00343A91">
        <w:t xml:space="preserve">at the bottom of the cartridge (the notched corner marks the top of the cartridge). </w:t>
      </w:r>
      <w:r>
        <w:t xml:space="preserve">Make sure to use the correct oil. There is different oil for </w:t>
      </w:r>
      <w:proofErr w:type="spellStart"/>
      <w:r>
        <w:t>Evagreen</w:t>
      </w:r>
      <w:proofErr w:type="spellEnd"/>
      <w:r>
        <w:t xml:space="preserve"> vs probe-based reactions.</w:t>
      </w:r>
    </w:p>
    <w:p w14:paraId="39AFACC2" w14:textId="77777777" w:rsidR="0001046E" w:rsidRDefault="0001046E" w:rsidP="0001046E"/>
    <w:p w14:paraId="4E2D92C7" w14:textId="72349437" w:rsidR="00914DA9" w:rsidRDefault="00914DA9" w:rsidP="0001046E">
      <w:pPr>
        <w:pStyle w:val="ListParagraph"/>
        <w:numPr>
          <w:ilvl w:val="0"/>
          <w:numId w:val="4"/>
        </w:numPr>
      </w:pPr>
      <w:r>
        <w:t>In pipetting, try to ensure that samples reach the bottom of the well</w:t>
      </w:r>
    </w:p>
    <w:p w14:paraId="22F01A7F" w14:textId="77777777" w:rsidR="0001046E" w:rsidRDefault="0001046E" w:rsidP="0001046E"/>
    <w:p w14:paraId="29615440" w14:textId="00ED7DDD" w:rsidR="00340C80" w:rsidRDefault="00340C80" w:rsidP="0001046E">
      <w:pPr>
        <w:pStyle w:val="ListParagraph"/>
        <w:numPr>
          <w:ilvl w:val="0"/>
          <w:numId w:val="4"/>
        </w:numPr>
      </w:pPr>
      <w:r>
        <w:t>Must fill all 8 wells in the cartridge, and it must be with the actual mix and oil. Variation in viscosity could adversely affect mixing. Bio-Rad sells a “blank” solution that can replace samples at much lower cost if you plan to be doing a lot of partial cartridges.</w:t>
      </w:r>
    </w:p>
    <w:p w14:paraId="5B94D8B3" w14:textId="77777777" w:rsidR="0001046E" w:rsidRDefault="0001046E" w:rsidP="0001046E"/>
    <w:p w14:paraId="441C22FB" w14:textId="19FCC35F" w:rsidR="00914DA9" w:rsidRDefault="00914DA9" w:rsidP="0001046E">
      <w:pPr>
        <w:pStyle w:val="ListParagraph"/>
        <w:numPr>
          <w:ilvl w:val="0"/>
          <w:numId w:val="4"/>
        </w:numPr>
      </w:pPr>
      <w:r>
        <w:t>Load gasket into white holder (should always be in core facility with droplet generator)</w:t>
      </w:r>
    </w:p>
    <w:p w14:paraId="047D1882" w14:textId="77777777" w:rsidR="0001046E" w:rsidRDefault="0001046E" w:rsidP="0001046E"/>
    <w:p w14:paraId="6EDE75E5" w14:textId="73C65ACF" w:rsidR="00343A91" w:rsidRDefault="00343A91" w:rsidP="0001046E">
      <w:pPr>
        <w:pStyle w:val="ListParagraph"/>
        <w:numPr>
          <w:ilvl w:val="0"/>
          <w:numId w:val="4"/>
        </w:numPr>
      </w:pPr>
      <w:r>
        <w:t>Stretch gasket over the top of the cartridge, securing with the hooks on each sid</w:t>
      </w:r>
      <w:r w:rsidR="001955AE">
        <w:t>e. There is no</w:t>
      </w:r>
      <w:r>
        <w:t xml:space="preserve"> </w:t>
      </w:r>
      <w:proofErr w:type="gramStart"/>
      <w:r>
        <w:t>top side</w:t>
      </w:r>
      <w:proofErr w:type="gramEnd"/>
      <w:r>
        <w:t xml:space="preserve"> or bottom side of the gasket. It can go on either way.</w:t>
      </w:r>
    </w:p>
    <w:p w14:paraId="744C30BD" w14:textId="77777777" w:rsidR="0001046E" w:rsidRDefault="0001046E" w:rsidP="0001046E"/>
    <w:p w14:paraId="0676C94F" w14:textId="7D33CCA6" w:rsidR="00EA2BC9" w:rsidRDefault="00EA2BC9" w:rsidP="0001046E">
      <w:pPr>
        <w:pStyle w:val="ListParagraph"/>
        <w:numPr>
          <w:ilvl w:val="0"/>
          <w:numId w:val="4"/>
        </w:numPr>
      </w:pPr>
      <w:r>
        <w:t>Open Droplet Generator</w:t>
      </w:r>
      <w:r w:rsidR="00006F26">
        <w:t xml:space="preserve"> (QX200) by pressing button and insert cartridge. Middle light should turn on. Close droplet generator door with same button.</w:t>
      </w:r>
    </w:p>
    <w:p w14:paraId="4A5B6163" w14:textId="77777777" w:rsidR="0001046E" w:rsidRDefault="0001046E" w:rsidP="0001046E"/>
    <w:p w14:paraId="1615922D" w14:textId="56F6B28F" w:rsidR="00006F26" w:rsidRDefault="00006F26" w:rsidP="0001046E">
      <w:pPr>
        <w:pStyle w:val="ListParagraph"/>
        <w:numPr>
          <w:ilvl w:val="0"/>
          <w:numId w:val="4"/>
        </w:numPr>
      </w:pPr>
      <w:r>
        <w:t>Droplet generation should start automatically. 3</w:t>
      </w:r>
      <w:r w:rsidRPr="0001046E">
        <w:rPr>
          <w:vertAlign w:val="superscript"/>
        </w:rPr>
        <w:t>rd</w:t>
      </w:r>
      <w:r>
        <w:t xml:space="preserve"> green light will begin flashing and then stop flashing </w:t>
      </w:r>
      <w:r w:rsidR="00343A91">
        <w:t xml:space="preserve">and go solid </w:t>
      </w:r>
      <w:r>
        <w:t>when the generation is complete.</w:t>
      </w:r>
    </w:p>
    <w:p w14:paraId="51018B67" w14:textId="77777777" w:rsidR="0001046E" w:rsidRDefault="0001046E" w:rsidP="0001046E"/>
    <w:p w14:paraId="54957DD8" w14:textId="486F1413" w:rsidR="00914DA9" w:rsidRDefault="00006F26" w:rsidP="0001046E">
      <w:pPr>
        <w:pStyle w:val="ListParagraph"/>
        <w:numPr>
          <w:ilvl w:val="0"/>
          <w:numId w:val="4"/>
        </w:numPr>
      </w:pPr>
      <w:r>
        <w:t>The resulting emulsions should appear milky.</w:t>
      </w:r>
    </w:p>
    <w:p w14:paraId="48E78378" w14:textId="77777777" w:rsidR="0001046E" w:rsidRDefault="0001046E" w:rsidP="0001046E"/>
    <w:p w14:paraId="0609BBD6" w14:textId="1209FFC6" w:rsidR="00006F26" w:rsidRDefault="00006F26" w:rsidP="0001046E">
      <w:pPr>
        <w:pStyle w:val="ListParagraph"/>
        <w:numPr>
          <w:ilvl w:val="0"/>
          <w:numId w:val="4"/>
        </w:numPr>
      </w:pPr>
      <w:r>
        <w:lastRenderedPageBreak/>
        <w:t>Pipet the emulsion into new PCR plate. Pipet very slowly to avoid breaking/merging droplets. Pipet the entire volume. It is not necessary that the volume is exactly the same across all wells.</w:t>
      </w:r>
    </w:p>
    <w:p w14:paraId="3B115034" w14:textId="77777777" w:rsidR="0001046E" w:rsidRDefault="0001046E" w:rsidP="0001046E"/>
    <w:p w14:paraId="3E77B797" w14:textId="13071B4E" w:rsidR="00006F26" w:rsidRDefault="00006F26" w:rsidP="0001046E">
      <w:pPr>
        <w:pStyle w:val="ListParagraph"/>
        <w:numPr>
          <w:ilvl w:val="0"/>
          <w:numId w:val="4"/>
        </w:numPr>
      </w:pPr>
      <w:r>
        <w:t>One of the users had a problem with plate sealing in the first column, so you might want to avoid the first/last columns.</w:t>
      </w:r>
    </w:p>
    <w:p w14:paraId="12924DDA" w14:textId="67F4F372" w:rsidR="00554788" w:rsidRDefault="00554788" w:rsidP="0001046E">
      <w:pPr>
        <w:pStyle w:val="ListParagraph"/>
        <w:numPr>
          <w:ilvl w:val="0"/>
          <w:numId w:val="4"/>
        </w:numPr>
      </w:pPr>
      <w:r>
        <w:t>The gaskets and cartridges are disposable and can be discarded.</w:t>
      </w:r>
    </w:p>
    <w:p w14:paraId="11CAF433" w14:textId="77777777" w:rsidR="00006F26" w:rsidRDefault="00006F26"/>
    <w:p w14:paraId="320701EC" w14:textId="275ED826" w:rsidR="00006F26" w:rsidRPr="008C6E8D" w:rsidRDefault="008C6E8D">
      <w:pPr>
        <w:rPr>
          <w:b/>
        </w:rPr>
      </w:pPr>
      <w:r w:rsidRPr="008C6E8D">
        <w:rPr>
          <w:b/>
        </w:rPr>
        <w:t>Plate Sealing</w:t>
      </w:r>
      <w:r w:rsidR="00343A91">
        <w:rPr>
          <w:b/>
        </w:rPr>
        <w:t xml:space="preserve"> (Bio-Rad PX1 Plate Sealer)</w:t>
      </w:r>
    </w:p>
    <w:p w14:paraId="6D6A66A0" w14:textId="60457524" w:rsidR="00343A91" w:rsidRDefault="00343A91" w:rsidP="0001046E">
      <w:pPr>
        <w:pStyle w:val="ListParagraph"/>
        <w:numPr>
          <w:ilvl w:val="0"/>
          <w:numId w:val="8"/>
        </w:numPr>
      </w:pPr>
      <w:r>
        <w:t>Turn on plate sealer using the switch in the back.</w:t>
      </w:r>
    </w:p>
    <w:p w14:paraId="19D187BF" w14:textId="77777777" w:rsidR="0001046E" w:rsidRDefault="0001046E" w:rsidP="0001046E">
      <w:pPr>
        <w:pStyle w:val="ListParagraph"/>
      </w:pPr>
    </w:p>
    <w:p w14:paraId="619F3738" w14:textId="51E26A08" w:rsidR="00343A91" w:rsidRDefault="00343A91" w:rsidP="0001046E">
      <w:pPr>
        <w:pStyle w:val="ListParagraph"/>
        <w:numPr>
          <w:ilvl w:val="0"/>
          <w:numId w:val="8"/>
        </w:numPr>
      </w:pPr>
      <w:r>
        <w:t>Press the open button and put in the metal block (which should next to the unit) and close the unit with the same button.</w:t>
      </w:r>
    </w:p>
    <w:p w14:paraId="22C9265D" w14:textId="77777777" w:rsidR="0001046E" w:rsidRDefault="0001046E" w:rsidP="0001046E">
      <w:pPr>
        <w:pStyle w:val="ListParagraph"/>
      </w:pPr>
    </w:p>
    <w:p w14:paraId="03496F9C" w14:textId="0C8EF885" w:rsidR="00343A91" w:rsidRDefault="00343A91" w:rsidP="0001046E">
      <w:pPr>
        <w:pStyle w:val="ListParagraph"/>
        <w:numPr>
          <w:ilvl w:val="0"/>
          <w:numId w:val="8"/>
        </w:numPr>
      </w:pPr>
      <w:r>
        <w:t>Wait for the unit to heat up to 180 C.</w:t>
      </w:r>
    </w:p>
    <w:p w14:paraId="032AFA18" w14:textId="77777777" w:rsidR="0001046E" w:rsidRDefault="0001046E" w:rsidP="0001046E">
      <w:pPr>
        <w:pStyle w:val="ListParagraph"/>
      </w:pPr>
    </w:p>
    <w:p w14:paraId="38834ECD" w14:textId="4218D1D4" w:rsidR="00343A91" w:rsidRDefault="00343A91" w:rsidP="0001046E">
      <w:pPr>
        <w:pStyle w:val="ListParagraph"/>
        <w:numPr>
          <w:ilvl w:val="0"/>
          <w:numId w:val="8"/>
        </w:numPr>
      </w:pPr>
      <w:r>
        <w:t xml:space="preserve">Once heated, press the </w:t>
      </w:r>
      <w:r w:rsidR="00A9693B">
        <w:t>Open button. Put plat</w:t>
      </w:r>
      <w:r>
        <w:t>e into block and place foil seal on top. The foil seal should have the colored strip facing up.</w:t>
      </w:r>
    </w:p>
    <w:p w14:paraId="30A348C2" w14:textId="77777777" w:rsidR="0001046E" w:rsidRDefault="0001046E" w:rsidP="0001046E">
      <w:pPr>
        <w:pStyle w:val="ListParagraph"/>
      </w:pPr>
    </w:p>
    <w:p w14:paraId="4CE77569" w14:textId="402767AA" w:rsidR="00A9693B" w:rsidRDefault="00343A91" w:rsidP="0001046E">
      <w:pPr>
        <w:pStyle w:val="ListParagraph"/>
        <w:numPr>
          <w:ilvl w:val="0"/>
          <w:numId w:val="8"/>
        </w:numPr>
      </w:pPr>
      <w:r>
        <w:t>Close and press the S</w:t>
      </w:r>
      <w:r w:rsidR="00A9693B">
        <w:t>eal</w:t>
      </w:r>
      <w:r>
        <w:t xml:space="preserve"> button on the screen</w:t>
      </w:r>
      <w:r w:rsidR="00A9693B">
        <w:t>.</w:t>
      </w:r>
    </w:p>
    <w:p w14:paraId="769E43FD" w14:textId="77777777" w:rsidR="0001046E" w:rsidRDefault="0001046E" w:rsidP="0001046E">
      <w:pPr>
        <w:pStyle w:val="ListParagraph"/>
      </w:pPr>
    </w:p>
    <w:p w14:paraId="40A37529" w14:textId="747CE65C" w:rsidR="00A9693B" w:rsidRDefault="00A9693B" w:rsidP="0001046E">
      <w:pPr>
        <w:pStyle w:val="ListParagraph"/>
        <w:numPr>
          <w:ilvl w:val="0"/>
          <w:numId w:val="8"/>
        </w:numPr>
      </w:pPr>
      <w:r>
        <w:t>Remove block and turn sealer off when done.</w:t>
      </w:r>
    </w:p>
    <w:p w14:paraId="0AE2A84D" w14:textId="77777777" w:rsidR="002D456E" w:rsidRDefault="002D456E"/>
    <w:p w14:paraId="7EEC60B4" w14:textId="325CA626" w:rsidR="00A9693B" w:rsidRDefault="00A9693B">
      <w:pPr>
        <w:rPr>
          <w:b/>
        </w:rPr>
      </w:pPr>
      <w:r>
        <w:rPr>
          <w:b/>
        </w:rPr>
        <w:t>PCR (</w:t>
      </w:r>
      <w:r w:rsidR="00343A91">
        <w:rPr>
          <w:b/>
        </w:rPr>
        <w:t xml:space="preserve">Bio-Rad C1000 </w:t>
      </w:r>
      <w:r>
        <w:rPr>
          <w:b/>
        </w:rPr>
        <w:t>Thermal Cycler)</w:t>
      </w:r>
    </w:p>
    <w:p w14:paraId="4D46C49D" w14:textId="3E507604" w:rsidR="00A9693B" w:rsidRDefault="00A9693B" w:rsidP="0001046E">
      <w:pPr>
        <w:pStyle w:val="ListParagraph"/>
        <w:numPr>
          <w:ilvl w:val="0"/>
          <w:numId w:val="9"/>
        </w:numPr>
      </w:pPr>
      <w:r>
        <w:t>Uses special deep block (and corresponding plates)</w:t>
      </w:r>
    </w:p>
    <w:p w14:paraId="2FCC42E8" w14:textId="77777777" w:rsidR="0001046E" w:rsidRDefault="0001046E" w:rsidP="0001046E">
      <w:pPr>
        <w:pStyle w:val="ListParagraph"/>
      </w:pPr>
    </w:p>
    <w:p w14:paraId="7DA4ECAE" w14:textId="5797DC2F" w:rsidR="00A9693B" w:rsidRDefault="00A9693B" w:rsidP="0001046E">
      <w:pPr>
        <w:pStyle w:val="ListParagraph"/>
        <w:numPr>
          <w:ilvl w:val="0"/>
          <w:numId w:val="9"/>
        </w:numPr>
      </w:pPr>
      <w:r>
        <w:t>2 C per second ramp rate.</w:t>
      </w:r>
    </w:p>
    <w:p w14:paraId="13D58C90" w14:textId="77777777" w:rsidR="00A9693B" w:rsidRDefault="00A9693B"/>
    <w:p w14:paraId="6D53D725" w14:textId="75B0447E" w:rsidR="00AE214A" w:rsidRDefault="00AE214A">
      <w:r>
        <w:t>Load sealed plate into thermal cycler</w:t>
      </w:r>
    </w:p>
    <w:p w14:paraId="5E8D3500" w14:textId="0640881E" w:rsidR="00A9693B" w:rsidRDefault="00A9693B" w:rsidP="0001046E">
      <w:pPr>
        <w:ind w:firstLine="720"/>
      </w:pPr>
      <w:r>
        <w:t>5 min @ 95 C</w:t>
      </w:r>
    </w:p>
    <w:p w14:paraId="6A37191D" w14:textId="5ECB5EC0" w:rsidR="00A9693B" w:rsidRDefault="00A9693B" w:rsidP="0001046E">
      <w:pPr>
        <w:ind w:firstLine="720"/>
      </w:pPr>
      <w:r>
        <w:t>40 cycles of:</w:t>
      </w:r>
    </w:p>
    <w:p w14:paraId="6D3044F0" w14:textId="60D9E817" w:rsidR="00A9693B" w:rsidRDefault="00A9693B" w:rsidP="0001046E">
      <w:pPr>
        <w:ind w:left="720" w:firstLine="720"/>
      </w:pPr>
      <w:r>
        <w:t>30 sec @ 95 C</w:t>
      </w:r>
    </w:p>
    <w:p w14:paraId="76C8F66C" w14:textId="4A2F94C0" w:rsidR="00A87C40" w:rsidRDefault="00A9693B" w:rsidP="0001046E">
      <w:pPr>
        <w:ind w:left="720" w:firstLine="720"/>
      </w:pPr>
      <w:r>
        <w:t xml:space="preserve">60 sec @ 60 C (variable, </w:t>
      </w:r>
      <w:r w:rsidR="00343A91">
        <w:t xml:space="preserve">may want to modify this </w:t>
      </w:r>
      <w:r w:rsidR="00AE214A">
        <w:t>depending on your primers</w:t>
      </w:r>
      <w:r>
        <w:t>)</w:t>
      </w:r>
    </w:p>
    <w:p w14:paraId="3AFED733" w14:textId="7E07AF32" w:rsidR="00A9693B" w:rsidRDefault="00A9693B" w:rsidP="0001046E">
      <w:pPr>
        <w:ind w:left="720" w:firstLine="720"/>
      </w:pPr>
      <w:r>
        <w:t>5 min @ 4 C</w:t>
      </w:r>
    </w:p>
    <w:p w14:paraId="07D913B1" w14:textId="79432E1E" w:rsidR="00A9693B" w:rsidRDefault="00A9693B" w:rsidP="0001046E">
      <w:pPr>
        <w:ind w:left="2070" w:hanging="630"/>
      </w:pPr>
      <w:r>
        <w:t>5 min @ 90 C (yes, you go back to high temp; this is part of hardening the emulsion so the droplets say in tact during storage)</w:t>
      </w:r>
    </w:p>
    <w:p w14:paraId="07F5ABB5" w14:textId="16A28BDE" w:rsidR="00A87C40" w:rsidRDefault="00A87C40" w:rsidP="0001046E">
      <w:pPr>
        <w:ind w:firstLine="720"/>
      </w:pPr>
      <w:r>
        <w:t>Hold @ 4 C</w:t>
      </w:r>
    </w:p>
    <w:p w14:paraId="4BB42BA7" w14:textId="77777777" w:rsidR="00554788" w:rsidRDefault="00554788"/>
    <w:p w14:paraId="59FB7B76" w14:textId="1FBC36E2" w:rsidR="00554788" w:rsidRPr="00A9693B" w:rsidRDefault="00554788" w:rsidP="0001046E">
      <w:pPr>
        <w:ind w:firstLine="720"/>
      </w:pPr>
      <w:r>
        <w:t xml:space="preserve">Volume is set to 40 </w:t>
      </w:r>
      <w:proofErr w:type="spellStart"/>
      <w:r>
        <w:t>ul</w:t>
      </w:r>
      <w:proofErr w:type="spellEnd"/>
    </w:p>
    <w:p w14:paraId="56D6D405" w14:textId="77777777" w:rsidR="008C6E8D" w:rsidRDefault="008C6E8D"/>
    <w:p w14:paraId="42C947D9" w14:textId="7C04843D" w:rsidR="00343A91" w:rsidRDefault="00343A91">
      <w:r>
        <w:t xml:space="preserve">The base program is saved under the name </w:t>
      </w:r>
      <w:r w:rsidR="00565924">
        <w:t>QX200_DDPCR</w:t>
      </w:r>
      <w:r>
        <w:t xml:space="preserve">. But you might </w:t>
      </w:r>
      <w:r w:rsidR="00AE214A">
        <w:t>want</w:t>
      </w:r>
      <w:r>
        <w:t xml:space="preserve"> to modify </w:t>
      </w:r>
      <w:r w:rsidR="00AE214A">
        <w:t>the annealing temp (don’t save over the program if you do this; just run it).</w:t>
      </w:r>
    </w:p>
    <w:p w14:paraId="3ED62C25" w14:textId="77777777" w:rsidR="00343A91" w:rsidRDefault="00343A91">
      <w:bookmarkStart w:id="0" w:name="_GoBack"/>
      <w:bookmarkEnd w:id="0"/>
    </w:p>
    <w:p w14:paraId="6CD7B069" w14:textId="61FBAAB6" w:rsidR="00A751FB" w:rsidRDefault="00A751FB">
      <w:pPr>
        <w:rPr>
          <w:b/>
        </w:rPr>
      </w:pPr>
      <w:r>
        <w:rPr>
          <w:b/>
        </w:rPr>
        <w:lastRenderedPageBreak/>
        <w:t>Droplet Reading</w:t>
      </w:r>
      <w:r w:rsidR="00343A91">
        <w:rPr>
          <w:b/>
        </w:rPr>
        <w:t xml:space="preserve"> (Bio-Rad QX200 Droplet Reader</w:t>
      </w:r>
      <w:r w:rsidR="00554788">
        <w:rPr>
          <w:b/>
        </w:rPr>
        <w:t>)</w:t>
      </w:r>
    </w:p>
    <w:p w14:paraId="2997A142" w14:textId="7ECB33D8" w:rsidR="00A751FB" w:rsidRDefault="00A751FB" w:rsidP="0001046E">
      <w:pPr>
        <w:pStyle w:val="ListParagraph"/>
        <w:numPr>
          <w:ilvl w:val="0"/>
          <w:numId w:val="10"/>
        </w:numPr>
      </w:pPr>
      <w:r>
        <w:t xml:space="preserve">Open </w:t>
      </w:r>
      <w:proofErr w:type="spellStart"/>
      <w:r>
        <w:t>Quantasoft</w:t>
      </w:r>
      <w:proofErr w:type="spellEnd"/>
      <w:r>
        <w:t xml:space="preserve"> software</w:t>
      </w:r>
    </w:p>
    <w:p w14:paraId="2A9AFF69" w14:textId="77777777" w:rsidR="0001046E" w:rsidRDefault="0001046E" w:rsidP="0001046E">
      <w:pPr>
        <w:pStyle w:val="ListParagraph"/>
      </w:pPr>
    </w:p>
    <w:p w14:paraId="0ADD3BCF" w14:textId="5609E655" w:rsidR="00A751FB" w:rsidRDefault="00A751FB" w:rsidP="0001046E">
      <w:pPr>
        <w:pStyle w:val="ListParagraph"/>
        <w:numPr>
          <w:ilvl w:val="0"/>
          <w:numId w:val="10"/>
        </w:numPr>
      </w:pPr>
      <w:proofErr w:type="spellStart"/>
      <w:r>
        <w:t>Evagreen</w:t>
      </w:r>
      <w:proofErr w:type="spellEnd"/>
      <w:r>
        <w:t xml:space="preserve"> is read as fam (channel 1)</w:t>
      </w:r>
    </w:p>
    <w:p w14:paraId="1745220F" w14:textId="77777777" w:rsidR="0001046E" w:rsidRDefault="0001046E" w:rsidP="0001046E">
      <w:pPr>
        <w:pStyle w:val="ListParagraph"/>
      </w:pPr>
    </w:p>
    <w:p w14:paraId="596F9FF3" w14:textId="359C2068" w:rsidR="00A751FB" w:rsidRDefault="00A751FB" w:rsidP="0001046E">
      <w:pPr>
        <w:pStyle w:val="ListParagraph"/>
        <w:numPr>
          <w:ilvl w:val="0"/>
          <w:numId w:val="10"/>
        </w:numPr>
      </w:pPr>
      <w:r>
        <w:t>Highlight wells you want to read</w:t>
      </w:r>
    </w:p>
    <w:p w14:paraId="5B64D273" w14:textId="77777777" w:rsidR="00A751FB" w:rsidRDefault="00A751FB"/>
    <w:p w14:paraId="45EA6F34" w14:textId="658496D3" w:rsidR="00A751FB" w:rsidRDefault="00A751FB" w:rsidP="0001046E">
      <w:pPr>
        <w:pStyle w:val="ListParagraph"/>
        <w:numPr>
          <w:ilvl w:val="0"/>
          <w:numId w:val="10"/>
        </w:numPr>
      </w:pPr>
      <w:r>
        <w:t>Enter settings:</w:t>
      </w:r>
    </w:p>
    <w:p w14:paraId="0E4F58FD" w14:textId="7693ED70" w:rsidR="00A751FB" w:rsidRDefault="00A751FB" w:rsidP="0001046E">
      <w:pPr>
        <w:pStyle w:val="ListParagraph"/>
        <w:numPr>
          <w:ilvl w:val="1"/>
          <w:numId w:val="10"/>
        </w:numPr>
      </w:pPr>
      <w:r>
        <w:t>Experiment: Usually chose ABS (for absolute). Other options include REV (rare events) and CNV (copy # variants)</w:t>
      </w:r>
    </w:p>
    <w:p w14:paraId="7725133D" w14:textId="2408DED2" w:rsidR="00A751FB" w:rsidRDefault="00A751FB" w:rsidP="0001046E">
      <w:pPr>
        <w:pStyle w:val="ListParagraph"/>
        <w:numPr>
          <w:ilvl w:val="1"/>
          <w:numId w:val="10"/>
        </w:numPr>
      </w:pPr>
      <w:proofErr w:type="spellStart"/>
      <w:r>
        <w:t>Supermix</w:t>
      </w:r>
      <w:proofErr w:type="spellEnd"/>
      <w:r>
        <w:t xml:space="preserve">: chose </w:t>
      </w:r>
      <w:proofErr w:type="spellStart"/>
      <w:r>
        <w:t>EvaGreen</w:t>
      </w:r>
      <w:proofErr w:type="spellEnd"/>
    </w:p>
    <w:p w14:paraId="5275CDFB" w14:textId="0358DEF5" w:rsidR="00A751FB" w:rsidRPr="00A751FB" w:rsidRDefault="00A751FB" w:rsidP="0001046E">
      <w:pPr>
        <w:pStyle w:val="ListParagraph"/>
        <w:numPr>
          <w:ilvl w:val="1"/>
          <w:numId w:val="10"/>
        </w:numPr>
      </w:pPr>
      <w:r>
        <w:t>Channel: 1</w:t>
      </w:r>
    </w:p>
    <w:p w14:paraId="0A90AFA4" w14:textId="2F13C086" w:rsidR="008C6E8D" w:rsidRDefault="00A751FB" w:rsidP="0001046E">
      <w:pPr>
        <w:pStyle w:val="ListParagraph"/>
        <w:numPr>
          <w:ilvl w:val="1"/>
          <w:numId w:val="10"/>
        </w:numPr>
      </w:pPr>
      <w:r>
        <w:t>Target: unknown</w:t>
      </w:r>
    </w:p>
    <w:p w14:paraId="036E071E" w14:textId="7306DF91" w:rsidR="00A751FB" w:rsidRDefault="00A751FB" w:rsidP="0001046E">
      <w:pPr>
        <w:pStyle w:val="ListParagraph"/>
        <w:numPr>
          <w:ilvl w:val="2"/>
          <w:numId w:val="10"/>
        </w:numPr>
      </w:pPr>
      <w:r>
        <w:t>**Must hit apply for settings to be entered</w:t>
      </w:r>
    </w:p>
    <w:p w14:paraId="23CD981E" w14:textId="31A7298D" w:rsidR="00A751FB" w:rsidRDefault="00A751FB" w:rsidP="0001046E">
      <w:pPr>
        <w:pStyle w:val="ListParagraph"/>
        <w:numPr>
          <w:ilvl w:val="1"/>
          <w:numId w:val="10"/>
        </w:numPr>
      </w:pPr>
      <w:r>
        <w:t>Names: target (gene) and sample (template name)</w:t>
      </w:r>
    </w:p>
    <w:p w14:paraId="49894F30" w14:textId="06C80DC1" w:rsidR="00A751FB" w:rsidRDefault="00A751FB" w:rsidP="0001046E">
      <w:pPr>
        <w:pStyle w:val="ListParagraph"/>
        <w:numPr>
          <w:ilvl w:val="1"/>
          <w:numId w:val="10"/>
        </w:numPr>
      </w:pPr>
      <w:r>
        <w:t>You may need to highlight samples before pressing run (not verified)</w:t>
      </w:r>
    </w:p>
    <w:p w14:paraId="4BB20073" w14:textId="77777777" w:rsidR="00A751FB" w:rsidRDefault="00A751FB"/>
    <w:p w14:paraId="31EA8F1A" w14:textId="5F4B7D95" w:rsidR="00E54527" w:rsidRDefault="00E54527" w:rsidP="0001046E">
      <w:pPr>
        <w:pStyle w:val="ListParagraph"/>
        <w:numPr>
          <w:ilvl w:val="0"/>
          <w:numId w:val="11"/>
        </w:numPr>
      </w:pPr>
      <w:r>
        <w:t>Open QX200 Droplet Reader</w:t>
      </w:r>
    </w:p>
    <w:p w14:paraId="0C3805F4" w14:textId="77777777" w:rsidR="0001046E" w:rsidRDefault="0001046E" w:rsidP="0001046E">
      <w:pPr>
        <w:pStyle w:val="ListParagraph"/>
      </w:pPr>
    </w:p>
    <w:p w14:paraId="2BF16C05" w14:textId="03DE8F9C" w:rsidR="00E54527" w:rsidRDefault="00E54527" w:rsidP="0001046E">
      <w:pPr>
        <w:pStyle w:val="ListParagraph"/>
        <w:numPr>
          <w:ilvl w:val="0"/>
          <w:numId w:val="11"/>
        </w:numPr>
      </w:pPr>
      <w:r>
        <w:t>Remove holder</w:t>
      </w:r>
    </w:p>
    <w:p w14:paraId="50680C19" w14:textId="77777777" w:rsidR="0001046E" w:rsidRDefault="0001046E" w:rsidP="0001046E">
      <w:pPr>
        <w:pStyle w:val="ListParagraph"/>
      </w:pPr>
    </w:p>
    <w:p w14:paraId="44FF60BD" w14:textId="7A0C9975" w:rsidR="00E54527" w:rsidRDefault="00E54527" w:rsidP="0001046E">
      <w:pPr>
        <w:pStyle w:val="ListParagraph"/>
        <w:numPr>
          <w:ilvl w:val="0"/>
          <w:numId w:val="11"/>
        </w:numPr>
      </w:pPr>
      <w:r>
        <w:t>Twist up tabs to remove silver cover</w:t>
      </w:r>
    </w:p>
    <w:p w14:paraId="308C987D" w14:textId="77777777" w:rsidR="0001046E" w:rsidRDefault="0001046E" w:rsidP="0001046E">
      <w:pPr>
        <w:pStyle w:val="ListParagraph"/>
      </w:pPr>
    </w:p>
    <w:p w14:paraId="6B1F2642" w14:textId="4DEA4CAE" w:rsidR="00E54527" w:rsidRDefault="00E54527" w:rsidP="0001046E">
      <w:pPr>
        <w:pStyle w:val="ListParagraph"/>
        <w:numPr>
          <w:ilvl w:val="0"/>
          <w:numId w:val="11"/>
        </w:numPr>
      </w:pPr>
      <w:r>
        <w:t>Add PCR plate, replace cover, and lock</w:t>
      </w:r>
    </w:p>
    <w:p w14:paraId="4D1D9AA0" w14:textId="77777777" w:rsidR="0001046E" w:rsidRDefault="0001046E" w:rsidP="0001046E">
      <w:pPr>
        <w:pStyle w:val="ListParagraph"/>
      </w:pPr>
    </w:p>
    <w:p w14:paraId="491C0A5C" w14:textId="73B6F68E" w:rsidR="00E54527" w:rsidRDefault="00E54527" w:rsidP="0001046E">
      <w:pPr>
        <w:pStyle w:val="ListParagraph"/>
        <w:numPr>
          <w:ilvl w:val="0"/>
          <w:numId w:val="11"/>
        </w:numPr>
      </w:pPr>
      <w:r>
        <w:t>Close reader with same button used to open</w:t>
      </w:r>
    </w:p>
    <w:p w14:paraId="123D3986" w14:textId="77777777" w:rsidR="00C5701F" w:rsidRDefault="00C5701F"/>
    <w:p w14:paraId="51D494D5" w14:textId="03C1BB7A" w:rsidR="00C5701F" w:rsidRDefault="00C5701F" w:rsidP="0001046E">
      <w:pPr>
        <w:pStyle w:val="ListParagraph"/>
        <w:numPr>
          <w:ilvl w:val="0"/>
          <w:numId w:val="11"/>
        </w:numPr>
      </w:pPr>
      <w:r>
        <w:t>Click over to run tab</w:t>
      </w:r>
      <w:r w:rsidR="00B34267">
        <w:t xml:space="preserve"> to initiate run. When asked to save data, do not change default directory (this directory is set not to scan for viruses on external devices, which makes it possible to achieve necessary write speeds).</w:t>
      </w:r>
    </w:p>
    <w:p w14:paraId="3D6C24AF" w14:textId="77777777" w:rsidR="0001046E" w:rsidRDefault="0001046E" w:rsidP="0001046E">
      <w:pPr>
        <w:pStyle w:val="ListParagraph"/>
      </w:pPr>
    </w:p>
    <w:p w14:paraId="4E34F02F" w14:textId="33020112" w:rsidR="00EC6C3E" w:rsidRDefault="00554788" w:rsidP="0001046E">
      <w:pPr>
        <w:pStyle w:val="ListParagraph"/>
        <w:numPr>
          <w:ilvl w:val="0"/>
          <w:numId w:val="11"/>
        </w:numPr>
      </w:pPr>
      <w:r>
        <w:t>Data in C:/Quantalife/Data</w:t>
      </w:r>
    </w:p>
    <w:p w14:paraId="3725C38B" w14:textId="77777777" w:rsidR="0001046E" w:rsidRDefault="0001046E"/>
    <w:p w14:paraId="0133C641" w14:textId="1F9F239B" w:rsidR="00554788" w:rsidRDefault="00554788" w:rsidP="0001046E">
      <w:pPr>
        <w:pStyle w:val="ListParagraph"/>
        <w:numPr>
          <w:ilvl w:val="0"/>
          <w:numId w:val="11"/>
        </w:numPr>
      </w:pPr>
      <w:r>
        <w:t>When your run is completed, transfer data and template files to the Sloan lab folder within the directory. Also make copies of these data and back them up as you would with any raw data. Data files will be periodically deleted from computer in the facility.</w:t>
      </w:r>
    </w:p>
    <w:p w14:paraId="44F849F6" w14:textId="77777777" w:rsidR="002D456E" w:rsidRDefault="002D456E"/>
    <w:p w14:paraId="472B8D47" w14:textId="430AAF23" w:rsidR="00A751FB" w:rsidRDefault="002D456E">
      <w:r>
        <w:t xml:space="preserve">The </w:t>
      </w:r>
      <w:proofErr w:type="spellStart"/>
      <w:r>
        <w:t>QuantSoft</w:t>
      </w:r>
      <w:proofErr w:type="spellEnd"/>
      <w:r>
        <w:t xml:space="preserve"> analysis software is available on our lab PC that is associated with the qPCR machine.</w:t>
      </w:r>
    </w:p>
    <w:sectPr w:rsidR="00A751FB" w:rsidSect="00F2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008"/>
    <w:multiLevelType w:val="hybridMultilevel"/>
    <w:tmpl w:val="3FB6B1FE"/>
    <w:lvl w:ilvl="0" w:tplc="25CA38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E0604"/>
    <w:multiLevelType w:val="hybridMultilevel"/>
    <w:tmpl w:val="5D0C2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149D7"/>
    <w:multiLevelType w:val="hybridMultilevel"/>
    <w:tmpl w:val="EFCADF3A"/>
    <w:lvl w:ilvl="0" w:tplc="04090001">
      <w:start w:val="1"/>
      <w:numFmt w:val="bullet"/>
      <w:lvlText w:val=""/>
      <w:lvlJc w:val="left"/>
      <w:pPr>
        <w:ind w:left="720" w:hanging="360"/>
      </w:pPr>
      <w:rPr>
        <w:rFonts w:ascii="Symbol" w:hAnsi="Symbol" w:hint="default"/>
      </w:rPr>
    </w:lvl>
    <w:lvl w:ilvl="1" w:tplc="4654893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A7041"/>
    <w:multiLevelType w:val="hybridMultilevel"/>
    <w:tmpl w:val="A46EA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4188D"/>
    <w:multiLevelType w:val="hybridMultilevel"/>
    <w:tmpl w:val="00E8FC60"/>
    <w:lvl w:ilvl="0" w:tplc="04090001">
      <w:start w:val="1"/>
      <w:numFmt w:val="bullet"/>
      <w:lvlText w:val=""/>
      <w:lvlJc w:val="left"/>
      <w:pPr>
        <w:ind w:left="720" w:hanging="360"/>
      </w:pPr>
      <w:rPr>
        <w:rFonts w:ascii="Symbol" w:hAnsi="Symbol" w:hint="default"/>
      </w:rPr>
    </w:lvl>
    <w:lvl w:ilvl="1" w:tplc="B9A0A98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20660"/>
    <w:multiLevelType w:val="hybridMultilevel"/>
    <w:tmpl w:val="9700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15A94"/>
    <w:multiLevelType w:val="hybridMultilevel"/>
    <w:tmpl w:val="5628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CA362F"/>
    <w:multiLevelType w:val="hybridMultilevel"/>
    <w:tmpl w:val="E6863970"/>
    <w:lvl w:ilvl="0" w:tplc="25CA38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D43B9"/>
    <w:multiLevelType w:val="hybridMultilevel"/>
    <w:tmpl w:val="1170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022943"/>
    <w:multiLevelType w:val="hybridMultilevel"/>
    <w:tmpl w:val="7D96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D56C4"/>
    <w:multiLevelType w:val="hybridMultilevel"/>
    <w:tmpl w:val="AFD2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10"/>
  </w:num>
  <w:num w:numId="5">
    <w:abstractNumId w:val="0"/>
  </w:num>
  <w:num w:numId="6">
    <w:abstractNumId w:val="7"/>
  </w:num>
  <w:num w:numId="7">
    <w:abstractNumId w:val="6"/>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AA"/>
    <w:rsid w:val="00004857"/>
    <w:rsid w:val="00006F26"/>
    <w:rsid w:val="0001046E"/>
    <w:rsid w:val="001001FE"/>
    <w:rsid w:val="00105896"/>
    <w:rsid w:val="0016797A"/>
    <w:rsid w:val="001955AE"/>
    <w:rsid w:val="002631F0"/>
    <w:rsid w:val="002D456E"/>
    <w:rsid w:val="00340C80"/>
    <w:rsid w:val="00343A91"/>
    <w:rsid w:val="004343AA"/>
    <w:rsid w:val="00447F1B"/>
    <w:rsid w:val="00554788"/>
    <w:rsid w:val="00565924"/>
    <w:rsid w:val="00631D1C"/>
    <w:rsid w:val="00653255"/>
    <w:rsid w:val="0073635D"/>
    <w:rsid w:val="007E4CF2"/>
    <w:rsid w:val="008C6E8D"/>
    <w:rsid w:val="00914DA9"/>
    <w:rsid w:val="00A751FB"/>
    <w:rsid w:val="00A87C40"/>
    <w:rsid w:val="00A9693B"/>
    <w:rsid w:val="00AE214A"/>
    <w:rsid w:val="00B34267"/>
    <w:rsid w:val="00C53649"/>
    <w:rsid w:val="00C5701F"/>
    <w:rsid w:val="00D65926"/>
    <w:rsid w:val="00DE6E82"/>
    <w:rsid w:val="00E54527"/>
    <w:rsid w:val="00EA2BC9"/>
    <w:rsid w:val="00EC6C3E"/>
    <w:rsid w:val="00F2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788"/>
    <w:rPr>
      <w:color w:val="0563C1" w:themeColor="hyperlink"/>
      <w:u w:val="single"/>
    </w:rPr>
  </w:style>
  <w:style w:type="paragraph" w:styleId="ListParagraph">
    <w:name w:val="List Paragraph"/>
    <w:basedOn w:val="Normal"/>
    <w:uiPriority w:val="34"/>
    <w:qFormat/>
    <w:rsid w:val="00004857"/>
    <w:pPr>
      <w:ind w:left="720"/>
      <w:contextualSpacing/>
    </w:pPr>
  </w:style>
  <w:style w:type="paragraph" w:styleId="BalloonText">
    <w:name w:val="Balloon Text"/>
    <w:basedOn w:val="Normal"/>
    <w:link w:val="BalloonTextChar"/>
    <w:uiPriority w:val="99"/>
    <w:semiHidden/>
    <w:unhideWhenUsed/>
    <w:rsid w:val="007E4CF2"/>
    <w:rPr>
      <w:rFonts w:ascii="Tahoma" w:hAnsi="Tahoma" w:cs="Tahoma"/>
      <w:sz w:val="16"/>
      <w:szCs w:val="16"/>
    </w:rPr>
  </w:style>
  <w:style w:type="character" w:customStyle="1" w:styleId="BalloonTextChar">
    <w:name w:val="Balloon Text Char"/>
    <w:basedOn w:val="DefaultParagraphFont"/>
    <w:link w:val="BalloonText"/>
    <w:uiPriority w:val="99"/>
    <w:semiHidden/>
    <w:rsid w:val="007E4C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788"/>
    <w:rPr>
      <w:color w:val="0563C1" w:themeColor="hyperlink"/>
      <w:u w:val="single"/>
    </w:rPr>
  </w:style>
  <w:style w:type="paragraph" w:styleId="ListParagraph">
    <w:name w:val="List Paragraph"/>
    <w:basedOn w:val="Normal"/>
    <w:uiPriority w:val="34"/>
    <w:qFormat/>
    <w:rsid w:val="00004857"/>
    <w:pPr>
      <w:ind w:left="720"/>
      <w:contextualSpacing/>
    </w:pPr>
  </w:style>
  <w:style w:type="paragraph" w:styleId="BalloonText">
    <w:name w:val="Balloon Text"/>
    <w:basedOn w:val="Normal"/>
    <w:link w:val="BalloonTextChar"/>
    <w:uiPriority w:val="99"/>
    <w:semiHidden/>
    <w:unhideWhenUsed/>
    <w:rsid w:val="007E4CF2"/>
    <w:rPr>
      <w:rFonts w:ascii="Tahoma" w:hAnsi="Tahoma" w:cs="Tahoma"/>
      <w:sz w:val="16"/>
      <w:szCs w:val="16"/>
    </w:rPr>
  </w:style>
  <w:style w:type="character" w:customStyle="1" w:styleId="BalloonTextChar">
    <w:name w:val="Balloon Text Char"/>
    <w:basedOn w:val="DefaultParagraphFont"/>
    <w:link w:val="BalloonText"/>
    <w:uiPriority w:val="99"/>
    <w:semiHidden/>
    <w:rsid w:val="007E4C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5106">
      <w:bodyDiv w:val="1"/>
      <w:marLeft w:val="0"/>
      <w:marRight w:val="0"/>
      <w:marTop w:val="0"/>
      <w:marBottom w:val="0"/>
      <w:divBdr>
        <w:top w:val="none" w:sz="0" w:space="0" w:color="auto"/>
        <w:left w:val="none" w:sz="0" w:space="0" w:color="auto"/>
        <w:bottom w:val="none" w:sz="0" w:space="0" w:color="auto"/>
        <w:right w:val="none" w:sz="0" w:space="0" w:color="auto"/>
      </w:divBdr>
    </w:div>
    <w:div w:id="73501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bio-rad.com/webroot/web/pdf/lsr/literature/10028376.pdf" TargetMode="External"/><Relationship Id="rId8" Type="http://schemas.openxmlformats.org/officeDocument/2006/relationships/hyperlink" Target="https://vprnet.research.colostate.edu/mqc/digital-droplet-pcr/how-can-i-schedule-time-on-the-droplet-generators-and-read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923</Words>
  <Characters>5263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Sloan,Dan</dc:creator>
  <cp:lastModifiedBy>Joel Sharbrough</cp:lastModifiedBy>
  <cp:revision>3</cp:revision>
  <cp:lastPrinted>2015-12-10T18:30:00Z</cp:lastPrinted>
  <dcterms:created xsi:type="dcterms:W3CDTF">2015-12-11T00:18:00Z</dcterms:created>
  <dcterms:modified xsi:type="dcterms:W3CDTF">2017-04-18T23:28:00Z</dcterms:modified>
</cp:coreProperties>
</file>