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BF9" w14:textId="2F6879C5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2320D7">
        <w:rPr>
          <w:b/>
          <w:u w:val="single"/>
        </w:rPr>
        <w:t>5860</w:t>
      </w:r>
      <w:r>
        <w:rPr>
          <w:b/>
          <w:u w:val="single"/>
        </w:rPr>
        <w:t xml:space="preserve">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542352DB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4267A3">
        <w:rPr>
          <w:b/>
          <w:u w:val="single"/>
        </w:rPr>
        <w:t>Thursday January 20</w:t>
      </w:r>
      <w:r w:rsidR="00E973CE">
        <w:rPr>
          <w:b/>
          <w:u w:val="single"/>
        </w:rPr>
        <w:t xml:space="preserve"> and </w:t>
      </w:r>
      <w:r w:rsidR="00E60A37">
        <w:rPr>
          <w:b/>
          <w:u w:val="single"/>
        </w:rPr>
        <w:t>Tuesday January 25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4F076B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73649AEC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16.33</w:t>
            </w:r>
          </w:p>
        </w:tc>
        <w:tc>
          <w:tcPr>
            <w:tcW w:w="1771" w:type="dxa"/>
          </w:tcPr>
          <w:p w14:paraId="0D755156" w14:textId="14D033E0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4.22</w:t>
            </w:r>
          </w:p>
        </w:tc>
        <w:tc>
          <w:tcPr>
            <w:tcW w:w="1771" w:type="dxa"/>
          </w:tcPr>
          <w:p w14:paraId="68BE00DE" w14:textId="71E2EAFF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1CE03E77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15.29</w:t>
            </w:r>
          </w:p>
        </w:tc>
        <w:tc>
          <w:tcPr>
            <w:tcW w:w="1771" w:type="dxa"/>
          </w:tcPr>
          <w:p w14:paraId="5FE297E7" w14:textId="61C92449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1" w:type="dxa"/>
          </w:tcPr>
          <w:p w14:paraId="12EA5F59" w14:textId="1DCEDA80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3ABE7E59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17.78</w:t>
            </w:r>
          </w:p>
        </w:tc>
        <w:tc>
          <w:tcPr>
            <w:tcW w:w="1771" w:type="dxa"/>
          </w:tcPr>
          <w:p w14:paraId="7A08F2E3" w14:textId="352F56FF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4.11</w:t>
            </w:r>
          </w:p>
        </w:tc>
        <w:tc>
          <w:tcPr>
            <w:tcW w:w="1771" w:type="dxa"/>
          </w:tcPr>
          <w:p w14:paraId="445AD724" w14:textId="6C8414B8" w:rsidR="00C0354A" w:rsidRDefault="0070399C" w:rsidP="00EA42DC">
            <w:pPr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221BC3DE" w:rsidR="00622DF1" w:rsidRDefault="00622DF1" w:rsidP="00EA42DC">
      <w:pPr>
        <w:jc w:val="both"/>
      </w:pPr>
    </w:p>
    <w:p w14:paraId="590013DF" w14:textId="52A5504D" w:rsidR="0070399C" w:rsidRDefault="0070399C" w:rsidP="0070399C">
      <w:pPr>
        <w:autoSpaceDE w:val="0"/>
        <w:autoSpaceDN w:val="0"/>
        <w:adjustRightInd w:val="0"/>
      </w:pPr>
      <w:r>
        <w:t>1. State the significance level (alpha)</w:t>
      </w:r>
    </w:p>
    <w:p w14:paraId="73072601" w14:textId="77777777" w:rsidR="0070399C" w:rsidRDefault="0070399C" w:rsidP="0070399C">
      <w:pPr>
        <w:autoSpaceDE w:val="0"/>
        <w:autoSpaceDN w:val="0"/>
        <w:adjustRightInd w:val="0"/>
        <w:rPr>
          <w:sz w:val="16"/>
          <w:szCs w:val="16"/>
        </w:rPr>
      </w:pPr>
      <w:r>
        <w:t>2. State the null hypothesis H</w:t>
      </w:r>
      <w:r>
        <w:rPr>
          <w:sz w:val="16"/>
          <w:szCs w:val="16"/>
        </w:rPr>
        <w:t xml:space="preserve">0 </w:t>
      </w:r>
      <w:r>
        <w:t>and the alternative H</w:t>
      </w:r>
      <w:r>
        <w:rPr>
          <w:sz w:val="16"/>
          <w:szCs w:val="16"/>
        </w:rPr>
        <w:t>1</w:t>
      </w:r>
    </w:p>
    <w:p w14:paraId="5207A991" w14:textId="30599276" w:rsidR="0070399C" w:rsidRDefault="0070399C" w:rsidP="0070399C">
      <w:pPr>
        <w:autoSpaceDE w:val="0"/>
        <w:autoSpaceDN w:val="0"/>
        <w:adjustRightInd w:val="0"/>
      </w:pPr>
      <w:r>
        <w:t>3. State the statistic to be used, and the assumptions required to use it</w:t>
      </w:r>
    </w:p>
    <w:p w14:paraId="0B00F71F" w14:textId="77777777" w:rsidR="0070399C" w:rsidRDefault="0070399C" w:rsidP="0070399C">
      <w:pPr>
        <w:autoSpaceDE w:val="0"/>
        <w:autoSpaceDN w:val="0"/>
        <w:adjustRightInd w:val="0"/>
      </w:pPr>
      <w:r>
        <w:t>4. State the critical region</w:t>
      </w:r>
    </w:p>
    <w:p w14:paraId="1E35DA37" w14:textId="3F1512C4" w:rsidR="0070399C" w:rsidRDefault="0070399C" w:rsidP="0070399C">
      <w:pPr>
        <w:jc w:val="both"/>
      </w:pPr>
      <w:r>
        <w:t>5. Evaluate the statistic and state the conclusion</w:t>
      </w:r>
    </w:p>
    <w:p w14:paraId="319404D1" w14:textId="77777777" w:rsidR="0070399C" w:rsidRDefault="0070399C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77548B36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</w:t>
      </w:r>
      <w:proofErr w:type="gramStart"/>
      <w:r w:rsidRPr="00C66BD6">
        <w:t xml:space="preserve">distribution( </w:t>
      </w:r>
      <w:r w:rsidR="005B6240" w:rsidRPr="00C66BD6">
        <w:t>(</w:t>
      </w:r>
      <w:proofErr w:type="gramEnd"/>
      <w:r w:rsidR="005B6240" w:rsidRPr="00C66BD6">
        <w:t>mean, standard deviation, minimum, an</w:t>
      </w:r>
      <w:r w:rsidR="00460FE2" w:rsidRPr="00C66BD6">
        <w:t xml:space="preserve">d maximum).  </w:t>
      </w:r>
    </w:p>
    <w:p w14:paraId="49D5A87C" w14:textId="77777777" w:rsidR="0070399C" w:rsidRPr="0070399C" w:rsidRDefault="0070399C" w:rsidP="00FA58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0399C">
        <w:rPr>
          <w:rFonts w:ascii="Courier New" w:hAnsi="Courier New" w:cs="Courier New"/>
          <w:sz w:val="20"/>
          <w:szCs w:val="20"/>
        </w:rPr>
        <w:t>avg:  16.39958125</w:t>
      </w:r>
    </w:p>
    <w:p w14:paraId="24AD7EAE" w14:textId="77777777" w:rsidR="0070399C" w:rsidRPr="0070399C" w:rsidRDefault="0070399C" w:rsidP="00FA58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0399C">
        <w:rPr>
          <w:rFonts w:ascii="Courier New" w:hAnsi="Courier New" w:cs="Courier New"/>
          <w:sz w:val="20"/>
          <w:szCs w:val="20"/>
        </w:rPr>
        <w:t>std:  1.0641589348922167</w:t>
      </w:r>
    </w:p>
    <w:p w14:paraId="2EE1B227" w14:textId="77777777" w:rsidR="0070399C" w:rsidRPr="0070399C" w:rsidRDefault="0070399C" w:rsidP="00FA58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0399C">
        <w:rPr>
          <w:rFonts w:ascii="Courier New" w:hAnsi="Courier New" w:cs="Courier New"/>
          <w:sz w:val="20"/>
          <w:szCs w:val="20"/>
        </w:rPr>
        <w:t>min:  13.075</w:t>
      </w:r>
    </w:p>
    <w:p w14:paraId="0DEF139C" w14:textId="2E3E0026" w:rsidR="0070399C" w:rsidRPr="0070399C" w:rsidRDefault="0070399C" w:rsidP="00FA58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0399C">
        <w:rPr>
          <w:rFonts w:ascii="Courier New" w:hAnsi="Courier New" w:cs="Courier New"/>
          <w:sz w:val="20"/>
          <w:szCs w:val="20"/>
        </w:rPr>
        <w:t>max:  20.38125</w:t>
      </w:r>
    </w:p>
    <w:p w14:paraId="62F995DE" w14:textId="394579F8" w:rsidR="00FA585A" w:rsidRPr="00FA585A" w:rsidRDefault="00FA585A" w:rsidP="00FA585A">
      <w:r w:rsidRPr="00FA585A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E1B9395" wp14:editId="3964E77A">
            <wp:extent cx="2423160" cy="1764665"/>
            <wp:effectExtent l="0" t="0" r="254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3FFD" w14:textId="1BF73E37" w:rsidR="0070399C" w:rsidRPr="0070399C" w:rsidRDefault="0070399C" w:rsidP="0070399C">
      <w:pPr>
        <w:pStyle w:val="ListParagraph"/>
      </w:pPr>
    </w:p>
    <w:p w14:paraId="016D885D" w14:textId="77777777" w:rsidR="0070399C" w:rsidRPr="00C66BD6" w:rsidRDefault="0070399C" w:rsidP="0070399C">
      <w:pPr>
        <w:jc w:val="both"/>
      </w:pPr>
    </w:p>
    <w:p w14:paraId="6232514C" w14:textId="6F10F8A0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98030C" w:rsidRPr="00E27B68">
        <w:rPr>
          <w:color w:val="FF0000"/>
          <w:u w:val="single"/>
        </w:rPr>
        <w:t xml:space="preserve">mean </w:t>
      </w:r>
      <w:r w:rsidR="003419AB" w:rsidRPr="00E27B68">
        <w:rPr>
          <w:color w:val="FF0000"/>
          <w:u w:val="single"/>
        </w:rPr>
        <w:t>SWE</w:t>
      </w:r>
      <w:r w:rsidR="00B9522E" w:rsidRPr="0096593D">
        <w:rPr>
          <w:color w:val="FF0000"/>
        </w:rPr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791F1300" w14:textId="7D1FC521" w:rsidR="00FA585A" w:rsidRDefault="00FA585A" w:rsidP="00FA585A">
      <w:pPr>
        <w:jc w:val="both"/>
      </w:pPr>
      <w:r>
        <w:t>I’ll report the results of the two-tailed z-stat tests here because they seem to answer the question better.</w:t>
      </w:r>
    </w:p>
    <w:p w14:paraId="46DA7C26" w14:textId="0EAD9904" w:rsidR="00FA585A" w:rsidRPr="00C66BD6" w:rsidRDefault="00FA585A" w:rsidP="00FA585A">
      <w:pPr>
        <w:jc w:val="both"/>
      </w:pPr>
      <w:r>
        <w:t>Likelihood of the El Niño differences occurring by chance: 30.81%</w:t>
      </w:r>
    </w:p>
    <w:p w14:paraId="4274D7C4" w14:textId="27AA6B25" w:rsidR="00FA585A" w:rsidRPr="00C66BD6" w:rsidRDefault="00FA585A" w:rsidP="00FA585A">
      <w:pPr>
        <w:jc w:val="both"/>
      </w:pPr>
      <w:r>
        <w:t>Likelihood of the La Niña differences occurring by chance: 17.17%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>Test the sensitivity of the results obtained in 2) by changing the number of bootstraps, the statistical significance level, or the definition of El Nino/La Nina (e.g., change the temperature threshold so that El Nino is defined using a 0.5 degree C 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4FDD3E96" w:rsidR="00C54CC7" w:rsidRDefault="00C54CC7" w:rsidP="00EA42DC">
      <w:pPr>
        <w:jc w:val="both"/>
      </w:pPr>
    </w:p>
    <w:p w14:paraId="75B6D9A7" w14:textId="4C426EB6" w:rsidR="00FA585A" w:rsidRDefault="00FA585A" w:rsidP="00EA42DC">
      <w:pPr>
        <w:jc w:val="both"/>
      </w:pPr>
      <w:r>
        <w:t xml:space="preserve">I reduced the temperature threshold for both El Niño and La </w:t>
      </w:r>
      <w:proofErr w:type="spellStart"/>
      <w:r>
        <w:t>Ninã</w:t>
      </w:r>
      <w:proofErr w:type="spellEnd"/>
      <w:r>
        <w:t xml:space="preserve"> events to </w:t>
      </w:r>
      <w:proofErr w:type="gramStart"/>
      <w:r>
        <w:t>0.5 degree</w:t>
      </w:r>
      <w:proofErr w:type="gramEnd"/>
      <w:r>
        <w:t xml:space="preserve"> C. Now there are more events, so the bootstrap sizes have also changed.</w:t>
      </w:r>
    </w:p>
    <w:p w14:paraId="2B9E1309" w14:textId="295D1F87" w:rsidR="00CE1C42" w:rsidRDefault="00CE1C42" w:rsidP="00EA42DC">
      <w:pPr>
        <w:jc w:val="both"/>
      </w:pPr>
      <w:r>
        <w:t xml:space="preserve">The likelihood of the El Niño anomalies occurring by chance remains </w:t>
      </w:r>
      <w:proofErr w:type="gramStart"/>
      <w:r>
        <w:t>fairly high</w:t>
      </w:r>
      <w:proofErr w:type="gramEnd"/>
      <w:r>
        <w:t>: 31.41%</w:t>
      </w:r>
    </w:p>
    <w:p w14:paraId="6B6F6AF5" w14:textId="148EE167" w:rsidR="00CE1C42" w:rsidRDefault="00CE1C42" w:rsidP="00CE1C42">
      <w:pPr>
        <w:jc w:val="both"/>
      </w:pPr>
      <w:r>
        <w:t>The likelihood of the La Niña anomalies occurring by chance drops to a statistically significant value: 4.24%</w:t>
      </w:r>
    </w:p>
    <w:p w14:paraId="748F40E0" w14:textId="77777777" w:rsidR="00CE1C42" w:rsidRDefault="00CE1C42" w:rsidP="00EA42DC">
      <w:pPr>
        <w:jc w:val="both"/>
      </w:pPr>
    </w:p>
    <w:p w14:paraId="6F8801AB" w14:textId="77777777" w:rsidR="00FA585A" w:rsidRDefault="00FA585A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7E29CBE3" w:rsidR="0012233C" w:rsidRPr="00CE1C42" w:rsidRDefault="00CE1C42" w:rsidP="00EA42DC">
      <w:pPr>
        <w:jc w:val="both"/>
        <w:rPr>
          <w:bCs/>
        </w:rPr>
      </w:pPr>
      <w:proofErr w:type="spellStart"/>
      <w:r>
        <w:rPr>
          <w:bCs/>
        </w:rPr>
        <w:t>Vineel’s</w:t>
      </w:r>
      <w:proofErr w:type="spellEnd"/>
      <w:r>
        <w:rPr>
          <w:bCs/>
        </w:rPr>
        <w:t xml:space="preserve"> approach uses resampling with replacement to generate a confidence interval for the difference </w:t>
      </w:r>
      <w:proofErr w:type="gramStart"/>
      <w:r>
        <w:rPr>
          <w:bCs/>
        </w:rPr>
        <w:t>in</w:t>
      </w:r>
      <w:proofErr w:type="gramEnd"/>
      <w:r>
        <w:rPr>
          <w:bCs/>
        </w:rPr>
        <w:t xml:space="preserve"> April 1 SWE between El Niño/La Niña years and </w:t>
      </w:r>
      <w:r w:rsidR="002A0817">
        <w:rPr>
          <w:bCs/>
        </w:rPr>
        <w:t xml:space="preserve">the entire record. </w:t>
      </w:r>
      <w:proofErr w:type="gramStart"/>
      <w:r w:rsidR="002A0817">
        <w:rPr>
          <w:bCs/>
        </w:rPr>
        <w:t>Similar to</w:t>
      </w:r>
      <w:proofErr w:type="gramEnd"/>
      <w:r w:rsidR="002A0817">
        <w:rPr>
          <w:bCs/>
        </w:rPr>
        <w:t xml:space="preserve"> the bootstrapping approach with 1degC temperature anomaly, these results show that the difference is not statistically significant at a 95% confidence level. If I change the anomaly to 0.5degC however, the La Niña difference confidence interval stops spanning 0, indicating that SWE in La Niña years is statistically different from the normal SWE at a 95% confidence. This is very similar to using the other bootstrapping approach.</w:t>
      </w: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2DAEB659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</w:t>
      </w:r>
      <w:r w:rsidR="0035368A">
        <w:t>standardized</w:t>
      </w:r>
      <w:r>
        <w:t xml:space="preserve">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4F076B" w:rsidP="00561148">
      <w:pPr>
        <w:jc w:val="both"/>
        <w:rPr>
          <w:rFonts w:ascii="Cambria" w:hAnsi="Cambria"/>
        </w:rPr>
      </w:pPr>
      <w:hyperlink r:id="rId8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006A7B83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>2600-</w:t>
      </w:r>
      <w:proofErr w:type="spellStart"/>
      <w:r w:rsidR="008275BA">
        <w:t>year long</w:t>
      </w:r>
      <w:proofErr w:type="spellEnd"/>
      <w:r w:rsidR="008275BA">
        <w:t xml:space="preserve">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35368A">
        <w:t>Standardize</w:t>
      </w:r>
      <w:r w:rsidR="00D522CC">
        <w:t xml:space="preserve">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 xml:space="preserve">lot a histogram of the </w:t>
      </w:r>
      <w:r w:rsidR="0035368A">
        <w:t>standardized</w:t>
      </w:r>
      <w:r w:rsidR="007145AE">
        <w:t xml:space="preserve">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6F244213" w:rsidR="00023277" w:rsidRDefault="00023277" w:rsidP="00F80C45">
      <w:pPr>
        <w:jc w:val="both"/>
      </w:pPr>
    </w:p>
    <w:p w14:paraId="5D07CF6F" w14:textId="225E06FD" w:rsidR="00B033B9" w:rsidRDefault="00B033B9" w:rsidP="00F80C45">
      <w:pPr>
        <w:jc w:val="both"/>
      </w:pPr>
      <w:r>
        <w:t>The unstandardized population mean is 287.11K and the unstandardized population standard deviation is 0.1K.</w:t>
      </w:r>
    </w:p>
    <w:p w14:paraId="0C3ED056" w14:textId="60CB1E19" w:rsidR="00B033B9" w:rsidRDefault="00B033B9" w:rsidP="00F80C45">
      <w:pPr>
        <w:jc w:val="both"/>
      </w:pPr>
    </w:p>
    <w:p w14:paraId="6B4EA163" w14:textId="28F2FC7A" w:rsidR="00B033B9" w:rsidRDefault="00B033B9" w:rsidP="00F80C45">
      <w:pPr>
        <w:jc w:val="both"/>
      </w:pPr>
      <w:r>
        <w:t xml:space="preserve">The standardized population mean is 0, and the standardized population standard deviation is 1. </w:t>
      </w:r>
      <w:r>
        <w:sym w:font="Wingdings" w:char="F0DF"/>
      </w:r>
      <w:r>
        <w:t xml:space="preserve"> This is because we standardized the distribution.</w:t>
      </w:r>
    </w:p>
    <w:p w14:paraId="0CCC9BE1" w14:textId="2084CC20" w:rsidR="00B033B9" w:rsidRDefault="00B033B9" w:rsidP="00F80C45">
      <w:pPr>
        <w:jc w:val="both"/>
      </w:pPr>
    </w:p>
    <w:p w14:paraId="2197A2BF" w14:textId="1A20B5BB" w:rsidR="00B033B9" w:rsidRDefault="00B033B9" w:rsidP="00F80C45">
      <w:pPr>
        <w:jc w:val="both"/>
      </w:pPr>
      <w:r>
        <w:t>The distribution is gaussian.</w:t>
      </w:r>
    </w:p>
    <w:p w14:paraId="2AC5301A" w14:textId="7CAE9D98" w:rsidR="00B033B9" w:rsidRPr="00B033B9" w:rsidRDefault="00B033B9" w:rsidP="00B033B9">
      <w:r w:rsidRPr="00B033B9">
        <w:rPr>
          <w:noProof/>
        </w:rPr>
        <w:lastRenderedPageBreak/>
        <w:drawing>
          <wp:inline distT="0" distB="0" distL="0" distR="0" wp14:anchorId="2723FD9D" wp14:editId="51E0DBA9">
            <wp:extent cx="2112010" cy="201168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B72D" w14:textId="77777777" w:rsidR="00B033B9" w:rsidRDefault="00B033B9" w:rsidP="00F80C45">
      <w:pPr>
        <w:jc w:val="both"/>
      </w:pPr>
    </w:p>
    <w:p w14:paraId="3B03D3C2" w14:textId="48671604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– When does global warming become statistically significant in the first ensemble member?  </w:t>
      </w:r>
    </w:p>
    <w:p w14:paraId="35C46C6C" w14:textId="4B804453" w:rsidR="00B033B9" w:rsidRDefault="00B033B9" w:rsidP="00F80C45">
      <w:pPr>
        <w:jc w:val="both"/>
      </w:pPr>
    </w:p>
    <w:p w14:paraId="12C9FCDF" w14:textId="071531DF" w:rsidR="00B033B9" w:rsidRPr="00B033B9" w:rsidRDefault="00B033B9" w:rsidP="00F80C45">
      <w:pPr>
        <w:jc w:val="both"/>
        <w:rPr>
          <w:u w:val="single"/>
        </w:rPr>
      </w:pPr>
      <w:r w:rsidRPr="00B033B9">
        <w:rPr>
          <w:u w:val="single"/>
        </w:rPr>
        <w:t>Hypothesis testing steps:</w:t>
      </w:r>
    </w:p>
    <w:p w14:paraId="5326EFFB" w14:textId="0B6B6189" w:rsidR="00B033B9" w:rsidRDefault="00B033B9" w:rsidP="00B033B9">
      <w:pPr>
        <w:pStyle w:val="ListParagraph"/>
        <w:numPr>
          <w:ilvl w:val="0"/>
          <w:numId w:val="3"/>
        </w:numPr>
        <w:jc w:val="both"/>
      </w:pPr>
      <w:r>
        <w:t>Significance level alpha = 0.05 (95% confidence)</w:t>
      </w:r>
    </w:p>
    <w:p w14:paraId="318973D3" w14:textId="5FD092EE" w:rsidR="00B033B9" w:rsidRDefault="00B033B9" w:rsidP="00B033B9">
      <w:pPr>
        <w:pStyle w:val="ListParagraph"/>
        <w:numPr>
          <w:ilvl w:val="0"/>
          <w:numId w:val="3"/>
        </w:numPr>
        <w:jc w:val="both"/>
      </w:pPr>
      <w:r>
        <w:t xml:space="preserve">Null hypothesis: The mean temperature in the first ensemble member is the same as the mean temperature in the control run. Alternative: </w:t>
      </w:r>
      <w:r>
        <w:t xml:space="preserve">The mean temperature in the first ensemble member is </w:t>
      </w:r>
      <w:r>
        <w:t xml:space="preserve">not </w:t>
      </w:r>
      <w:r>
        <w:t>the same as the mean temperature in the control run</w:t>
      </w:r>
      <w:r>
        <w:t>.</w:t>
      </w:r>
    </w:p>
    <w:p w14:paraId="5FA1A321" w14:textId="2E918051" w:rsidR="00B033B9" w:rsidRDefault="00B033B9" w:rsidP="00B033B9">
      <w:pPr>
        <w:pStyle w:val="ListParagraph"/>
        <w:numPr>
          <w:ilvl w:val="0"/>
          <w:numId w:val="3"/>
        </w:numPr>
        <w:jc w:val="both"/>
      </w:pPr>
      <w:r>
        <w:t>We use a t-statistic because we only use 20 years of data from the first ensemble member. This requires us to assume that the data are normally distributed.</w:t>
      </w:r>
    </w:p>
    <w:p w14:paraId="1EF47E8A" w14:textId="1D5E3519" w:rsidR="00B033B9" w:rsidRDefault="00B033B9" w:rsidP="00B033B9">
      <w:pPr>
        <w:pStyle w:val="ListParagraph"/>
        <w:numPr>
          <w:ilvl w:val="0"/>
          <w:numId w:val="3"/>
        </w:numPr>
        <w:jc w:val="both"/>
      </w:pPr>
      <w:r>
        <w:t>State the critical region: t_0.025(N=20) = 2.262, z_0.025 = 1.96</w:t>
      </w:r>
    </w:p>
    <w:p w14:paraId="734551A2" w14:textId="2A49D43B" w:rsidR="00B033B9" w:rsidRDefault="00B033B9" w:rsidP="00B033B9">
      <w:pPr>
        <w:pStyle w:val="ListParagraph"/>
        <w:numPr>
          <w:ilvl w:val="0"/>
          <w:numId w:val="3"/>
        </w:numPr>
        <w:jc w:val="both"/>
      </w:pPr>
      <w:r>
        <w:t xml:space="preserve">Evaluate the statistic and state the conclusion. The t-statistic is 37.12. t &gt; </w:t>
      </w:r>
      <w:proofErr w:type="spellStart"/>
      <w:r>
        <w:t>t_crit</w:t>
      </w:r>
      <w:proofErr w:type="spellEnd"/>
      <w:r>
        <w:t xml:space="preserve">, so we can reject the null hypothesis at 95% confidence. The z-statistic is 35.36. z &gt; </w:t>
      </w:r>
      <w:proofErr w:type="spellStart"/>
      <w:r>
        <w:t>z_crit</w:t>
      </w:r>
      <w:proofErr w:type="spellEnd"/>
      <w:r>
        <w:t>, so again we can reject the null hypothesis at 95% confidence.</w:t>
      </w:r>
    </w:p>
    <w:p w14:paraId="6D5FAED4" w14:textId="55915192" w:rsidR="00B033B9" w:rsidRDefault="00B033B9" w:rsidP="00B033B9">
      <w:pPr>
        <w:jc w:val="both"/>
      </w:pPr>
    </w:p>
    <w:p w14:paraId="42F33CC9" w14:textId="1EC929CB" w:rsidR="00B033B9" w:rsidRDefault="00B033B9" w:rsidP="00B033B9">
      <w:pPr>
        <w:jc w:val="both"/>
      </w:pPr>
      <w:r>
        <w:t>If we keep the time interval at 10 years, global warming becomes statistically significant in the 1975-1985 period, but is not statistically significant in the 1970-1980 period.</w:t>
      </w:r>
    </w:p>
    <w:p w14:paraId="7ED0A338" w14:textId="77777777" w:rsidR="00944FAD" w:rsidRPr="00C66BD6" w:rsidRDefault="00944FAD" w:rsidP="00F80C45">
      <w:pPr>
        <w:jc w:val="both"/>
      </w:pPr>
    </w:p>
    <w:p w14:paraId="25EC845B" w14:textId="26551BFA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lastRenderedPageBreak/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2A1F0762" w14:textId="036B11F9" w:rsidR="00B033B9" w:rsidRDefault="00B033B9" w:rsidP="00530356">
      <w:pPr>
        <w:jc w:val="both"/>
      </w:pPr>
    </w:p>
    <w:p w14:paraId="3D9D28FE" w14:textId="33995CBB" w:rsidR="00B033B9" w:rsidRDefault="00B033B9" w:rsidP="00530356">
      <w:pPr>
        <w:jc w:val="both"/>
      </w:pPr>
      <w:r>
        <w:t>Confidence intervals (surface temperature increase) on all 30 ensemble members:</w:t>
      </w:r>
    </w:p>
    <w:p w14:paraId="3789317B" w14:textId="1D8734C6" w:rsidR="00B033B9" w:rsidRDefault="00B033B9" w:rsidP="00530356">
      <w:pPr>
        <w:jc w:val="both"/>
      </w:pPr>
      <w:r>
        <w:t xml:space="preserve">z-statistic: </w:t>
      </w:r>
    </w:p>
    <w:p w14:paraId="6700444D" w14:textId="768EDD0D" w:rsidR="00B033B9" w:rsidRDefault="00B033B9" w:rsidP="00530356">
      <w:pPr>
        <w:jc w:val="both"/>
      </w:pPr>
      <w:r>
        <w:t>3.61-3.66 (95%)</w:t>
      </w:r>
    </w:p>
    <w:p w14:paraId="61C33B06" w14:textId="13461608" w:rsidR="00B033B9" w:rsidRDefault="00B033B9" w:rsidP="00530356">
      <w:pPr>
        <w:jc w:val="both"/>
      </w:pPr>
      <w:r>
        <w:t>3.6-3.66 (99%)</w:t>
      </w:r>
    </w:p>
    <w:p w14:paraId="7E5FBBC3" w14:textId="39B32B31" w:rsidR="00B033B9" w:rsidRDefault="00B033B9" w:rsidP="00530356">
      <w:pPr>
        <w:jc w:val="both"/>
      </w:pPr>
    </w:p>
    <w:p w14:paraId="298CBA50" w14:textId="4868FB8A" w:rsidR="00B033B9" w:rsidRDefault="00B033B9" w:rsidP="00530356">
      <w:pPr>
        <w:jc w:val="both"/>
      </w:pPr>
      <w:r>
        <w:t>t-statistic:</w:t>
      </w:r>
    </w:p>
    <w:p w14:paraId="7E86C3DB" w14:textId="7466A467" w:rsidR="00B033B9" w:rsidRDefault="00B033B9" w:rsidP="00530356">
      <w:pPr>
        <w:jc w:val="both"/>
      </w:pPr>
      <w:r>
        <w:t>3.61-3.66 (95%)</w:t>
      </w:r>
    </w:p>
    <w:p w14:paraId="20BDFBFB" w14:textId="1754D77B" w:rsidR="00B033B9" w:rsidRDefault="00B033B9" w:rsidP="00530356">
      <w:pPr>
        <w:jc w:val="both"/>
      </w:pPr>
      <w:r>
        <w:t>3.6-3.67 (99%)</w:t>
      </w:r>
    </w:p>
    <w:p w14:paraId="2CDB5AC2" w14:textId="77777777" w:rsidR="00B033B9" w:rsidRDefault="00B033B9" w:rsidP="00530356">
      <w:pPr>
        <w:jc w:val="both"/>
      </w:pPr>
    </w:p>
    <w:p w14:paraId="3C40DBC7" w14:textId="77777777" w:rsidR="00B033B9" w:rsidRDefault="00B033B9" w:rsidP="00B033B9">
      <w:r>
        <w:t>I don’t think that a normal distribution is a great approximation, but we could use an f-statistic to test it if we wanted.</w:t>
      </w:r>
    </w:p>
    <w:p w14:paraId="35EAC415" w14:textId="1F3C3AD6" w:rsidR="00B033B9" w:rsidRDefault="00B033B9" w:rsidP="00B033B9"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131FE04" wp14:editId="16B0CA7D">
            <wp:extent cx="2075815" cy="201168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713C" w14:textId="630B6D01" w:rsidR="00CE54A3" w:rsidRDefault="00CE54A3" w:rsidP="00EA42DC">
      <w:pPr>
        <w:jc w:val="both"/>
        <w:rPr>
          <w:color w:val="FF0000"/>
        </w:rPr>
      </w:pPr>
    </w:p>
    <w:p w14:paraId="4861B274" w14:textId="2E88635F" w:rsidR="00B033B9" w:rsidRDefault="00B033B9" w:rsidP="00EA42DC">
      <w:pPr>
        <w:jc w:val="both"/>
        <w:rPr>
          <w:color w:val="000000" w:themeColor="text1"/>
        </w:rPr>
      </w:pPr>
      <w:r w:rsidRPr="00B033B9">
        <w:rPr>
          <w:color w:val="000000" w:themeColor="text1"/>
        </w:rPr>
        <w:t xml:space="preserve">With </w:t>
      </w:r>
      <w:r>
        <w:rPr>
          <w:color w:val="000000" w:themeColor="text1"/>
        </w:rPr>
        <w:t>6 ensemble members, the confidence intervals widen significantly:</w:t>
      </w:r>
    </w:p>
    <w:p w14:paraId="4158F586" w14:textId="0CCFF07F" w:rsidR="00B033B9" w:rsidRDefault="00B033B9" w:rsidP="00EA42DC">
      <w:pPr>
        <w:jc w:val="both"/>
        <w:rPr>
          <w:color w:val="000000" w:themeColor="text1"/>
        </w:rPr>
      </w:pPr>
    </w:p>
    <w:p w14:paraId="2C53B2FD" w14:textId="77777777" w:rsidR="00B033B9" w:rsidRPr="00B033B9" w:rsidRDefault="00B033B9" w:rsidP="00B0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033B9">
        <w:rPr>
          <w:rFonts w:ascii="Courier New" w:hAnsi="Courier New" w:cs="Courier New"/>
          <w:sz w:val="20"/>
          <w:szCs w:val="20"/>
        </w:rPr>
        <w:t>95% confidence limits - t-statistic</w:t>
      </w:r>
    </w:p>
    <w:p w14:paraId="22066044" w14:textId="795597BC" w:rsidR="00B033B9" w:rsidRPr="00B033B9" w:rsidRDefault="00B033B9" w:rsidP="00B0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033B9">
        <w:rPr>
          <w:rFonts w:ascii="Courier New" w:hAnsi="Courier New" w:cs="Courier New"/>
          <w:sz w:val="20"/>
          <w:szCs w:val="20"/>
        </w:rPr>
        <w:t>3.</w:t>
      </w:r>
      <w:r>
        <w:rPr>
          <w:rFonts w:ascii="Courier New" w:hAnsi="Courier New" w:cs="Courier New"/>
          <w:sz w:val="20"/>
          <w:szCs w:val="20"/>
        </w:rPr>
        <w:t>60</w:t>
      </w:r>
    </w:p>
    <w:p w14:paraId="69A7C7B3" w14:textId="63AB0A58" w:rsidR="00B033B9" w:rsidRPr="00B033B9" w:rsidRDefault="00B033B9" w:rsidP="00B0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033B9">
        <w:rPr>
          <w:rFonts w:ascii="Courier New" w:hAnsi="Courier New" w:cs="Courier New"/>
          <w:sz w:val="20"/>
          <w:szCs w:val="20"/>
        </w:rPr>
        <w:t>3.68</w:t>
      </w:r>
    </w:p>
    <w:p w14:paraId="64A5044D" w14:textId="77777777" w:rsidR="00B033B9" w:rsidRPr="00B033B9" w:rsidRDefault="00B033B9" w:rsidP="00B0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033B9">
        <w:rPr>
          <w:rFonts w:ascii="Courier New" w:hAnsi="Courier New" w:cs="Courier New"/>
          <w:sz w:val="20"/>
          <w:szCs w:val="20"/>
        </w:rPr>
        <w:t>99% confidence limits - t-statistic</w:t>
      </w:r>
    </w:p>
    <w:p w14:paraId="29A2FBDB" w14:textId="33B8C655" w:rsidR="00B033B9" w:rsidRPr="00B033B9" w:rsidRDefault="00B033B9" w:rsidP="00B0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033B9">
        <w:rPr>
          <w:rFonts w:ascii="Courier New" w:hAnsi="Courier New" w:cs="Courier New"/>
          <w:sz w:val="20"/>
          <w:szCs w:val="20"/>
        </w:rPr>
        <w:t>3.57</w:t>
      </w:r>
    </w:p>
    <w:p w14:paraId="6CA4BA07" w14:textId="7E26366B" w:rsidR="00B033B9" w:rsidRDefault="00B033B9" w:rsidP="00B0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033B9">
        <w:rPr>
          <w:rFonts w:ascii="Courier New" w:hAnsi="Courier New" w:cs="Courier New"/>
          <w:sz w:val="20"/>
          <w:szCs w:val="20"/>
        </w:rPr>
        <w:t>3.7</w:t>
      </w:r>
      <w:r>
        <w:rPr>
          <w:rFonts w:ascii="Courier New" w:hAnsi="Courier New" w:cs="Courier New"/>
          <w:sz w:val="20"/>
          <w:szCs w:val="20"/>
        </w:rPr>
        <w:t>1</w:t>
      </w:r>
    </w:p>
    <w:p w14:paraId="1B02AC52" w14:textId="50999822" w:rsidR="00B033B9" w:rsidRDefault="00B033B9" w:rsidP="00B0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6E4218" w14:textId="674E7E4A" w:rsidR="00B033B9" w:rsidRPr="00B033B9" w:rsidRDefault="00B033B9" w:rsidP="00B03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isn’t clear to me how many members we would need for the warming to be normally distributed, but the confidence intervals narrow significantly with 15 members. I think that you could always had more members to try and improve your confidence interval.</w:t>
      </w:r>
    </w:p>
    <w:p w14:paraId="2049F14F" w14:textId="77777777" w:rsidR="00B033B9" w:rsidRPr="00B033B9" w:rsidRDefault="00B033B9" w:rsidP="00EA42DC">
      <w:pPr>
        <w:jc w:val="both"/>
        <w:rPr>
          <w:color w:val="000000" w:themeColor="text1"/>
        </w:rPr>
      </w:pPr>
    </w:p>
    <w:sectPr w:rsidR="00B033B9" w:rsidRPr="00B033B9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136C3"/>
    <w:multiLevelType w:val="hybridMultilevel"/>
    <w:tmpl w:val="B926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685"/>
    <w:rsid w:val="000624B5"/>
    <w:rsid w:val="000660F7"/>
    <w:rsid w:val="000703FB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0D7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0817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419AB"/>
    <w:rsid w:val="0035368A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267A3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4F076B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399C"/>
    <w:rsid w:val="0070494F"/>
    <w:rsid w:val="0070793C"/>
    <w:rsid w:val="007145AE"/>
    <w:rsid w:val="00717822"/>
    <w:rsid w:val="00717DA8"/>
    <w:rsid w:val="007351B6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6593D"/>
    <w:rsid w:val="00971159"/>
    <w:rsid w:val="00972FAE"/>
    <w:rsid w:val="00976ABC"/>
    <w:rsid w:val="00977156"/>
    <w:rsid w:val="0098030C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033B9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3FB7"/>
    <w:rsid w:val="00BB60FA"/>
    <w:rsid w:val="00BB7E87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1C42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79C9"/>
    <w:rsid w:val="00E1150B"/>
    <w:rsid w:val="00E11A0D"/>
    <w:rsid w:val="00E135AA"/>
    <w:rsid w:val="00E1524A"/>
    <w:rsid w:val="00E22AEC"/>
    <w:rsid w:val="00E24FAC"/>
    <w:rsid w:val="00E27B68"/>
    <w:rsid w:val="00E415BE"/>
    <w:rsid w:val="00E45EA7"/>
    <w:rsid w:val="00E46137"/>
    <w:rsid w:val="00E47996"/>
    <w:rsid w:val="00E5548C"/>
    <w:rsid w:val="00E60A37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85A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5:docId w15:val="{AF43A58F-8C0C-4144-88A1-3B47B8AD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projects/community-projects/LE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cc.nrcs.usda.gov/snow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Jonah Shaw</cp:lastModifiedBy>
  <cp:revision>1</cp:revision>
  <dcterms:created xsi:type="dcterms:W3CDTF">2022-01-20T21:01:00Z</dcterms:created>
  <dcterms:modified xsi:type="dcterms:W3CDTF">2022-01-25T22:36:00Z</dcterms:modified>
</cp:coreProperties>
</file>