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6E8F4FFE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0AFCB10C" w14:textId="77777777" w:rsidR="00F90FD9" w:rsidRPr="00566D1C" w:rsidRDefault="00F90FD9" w:rsidP="00BE1139">
      <w:pPr>
        <w:jc w:val="both"/>
      </w:pPr>
    </w:p>
    <w:p w14:paraId="20F0D434" w14:textId="77777777" w:rsidR="00F90FD9" w:rsidRPr="00F90FD9" w:rsidRDefault="00F90FD9" w:rsidP="00F9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0FD9">
        <w:rPr>
          <w:rFonts w:ascii="Courier New" w:eastAsia="Times New Roman" w:hAnsi="Courier New" w:cs="Courier New"/>
          <w:sz w:val="20"/>
          <w:szCs w:val="20"/>
        </w:rPr>
        <w:t xml:space="preserve">Temperature lag-1 autocorrelation = 0.99 and </w:t>
      </w:r>
      <w:proofErr w:type="spellStart"/>
      <w:r w:rsidRPr="00F90FD9">
        <w:rPr>
          <w:rFonts w:ascii="Courier New" w:eastAsia="Times New Roman" w:hAnsi="Courier New" w:cs="Courier New"/>
          <w:sz w:val="20"/>
          <w:szCs w:val="20"/>
        </w:rPr>
        <w:t>Te</w:t>
      </w:r>
      <w:proofErr w:type="spellEnd"/>
      <w:r w:rsidRPr="00F90FD9">
        <w:rPr>
          <w:rFonts w:ascii="Courier New" w:eastAsia="Times New Roman" w:hAnsi="Courier New" w:cs="Courier New"/>
          <w:sz w:val="20"/>
          <w:szCs w:val="20"/>
        </w:rPr>
        <w:t xml:space="preserve"> = 100.92 hours</w:t>
      </w:r>
    </w:p>
    <w:p w14:paraId="1FF64E0E" w14:textId="0D1AE3A8" w:rsidR="00EA589A" w:rsidRDefault="00F90FD9" w:rsidP="00BE1139">
      <w:pPr>
        <w:jc w:val="both"/>
      </w:pPr>
      <w:r>
        <w:t xml:space="preserve">I expect to find spectral peaks at the daily and annual frequencies. There should maybe be more power in the annual periodicity? Just going </w:t>
      </w:r>
      <w:proofErr w:type="gramStart"/>
      <w:r>
        <w:t>off of</w:t>
      </w:r>
      <w:proofErr w:type="gramEnd"/>
      <w:r>
        <w:t xml:space="preserve"> temperature change here. Perhaps in the tropics the daily cycle has more power.</w:t>
      </w:r>
    </w:p>
    <w:p w14:paraId="281714B8" w14:textId="77777777" w:rsidR="00F90FD9" w:rsidRPr="00566D1C" w:rsidRDefault="00F90FD9" w:rsidP="00BE1139">
      <w:pPr>
        <w:jc w:val="both"/>
      </w:pPr>
    </w:p>
    <w:p w14:paraId="7C9149DD" w14:textId="5B9C5C27" w:rsidR="00673A20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 xml:space="preserve">notes to make sure </w:t>
      </w:r>
      <w:proofErr w:type="gramStart"/>
      <w:r w:rsidR="002179F7" w:rsidRPr="00566D1C">
        <w:t>all of</w:t>
      </w:r>
      <w:proofErr w:type="gramEnd"/>
      <w:r w:rsidR="002179F7" w:rsidRPr="00566D1C">
        <w:t xml:space="preserve"> the equations and functions in the notebook are working as you expect them too.</w:t>
      </w:r>
    </w:p>
    <w:p w14:paraId="18881FE2" w14:textId="393BE12A" w:rsidR="00F90FD9" w:rsidRDefault="00F90FD9" w:rsidP="00BE1139">
      <w:pPr>
        <w:jc w:val="both"/>
      </w:pPr>
    </w:p>
    <w:p w14:paraId="4939EDB6" w14:textId="1F7B186F" w:rsidR="00F90FD9" w:rsidRPr="00566D1C" w:rsidRDefault="00F90FD9" w:rsidP="00BE1139">
      <w:pPr>
        <w:jc w:val="both"/>
      </w:pPr>
      <w:r>
        <w:lastRenderedPageBreak/>
        <w:t xml:space="preserve">There are statistically significant spectral peaks at 365 days, 1 day, and 0.5 days. They represent the annual and daily cycle, and </w:t>
      </w:r>
      <w:proofErr w:type="gramStart"/>
      <w:r>
        <w:t>some kind of 12-hour</w:t>
      </w:r>
      <w:proofErr w:type="gramEnd"/>
      <w:r>
        <w:t xml:space="preserve"> cycle. (weird). We rejected the null hypothesis that these peaks are just red noise.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50651F68" w:rsidR="00EE100F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5272C4C1" w14:textId="17F2F024" w:rsidR="00F90FD9" w:rsidRDefault="00F90FD9" w:rsidP="00BE1139">
      <w:pPr>
        <w:jc w:val="both"/>
      </w:pPr>
    </w:p>
    <w:p w14:paraId="5DF34841" w14:textId="1FC05DA3" w:rsidR="00F90FD9" w:rsidRPr="00566D1C" w:rsidRDefault="00F90FD9" w:rsidP="00BE1139">
      <w:pPr>
        <w:jc w:val="both"/>
      </w:pPr>
      <w:r>
        <w:t xml:space="preserve">Yes, </w:t>
      </w:r>
      <w:proofErr w:type="spellStart"/>
      <w:r>
        <w:t>scipy</w:t>
      </w:r>
      <w:proofErr w:type="spellEnd"/>
      <w:r>
        <w:t xml:space="preserve"> gives the same result. The </w:t>
      </w:r>
      <w:proofErr w:type="spellStart"/>
      <w:r>
        <w:t>Hanning</w:t>
      </w:r>
      <w:proofErr w:type="spellEnd"/>
      <w:r>
        <w:t xml:space="preserve"> window gives a similar result to the Boxcar window, but the spectral peaks are wider and lack nodes. The is because the </w:t>
      </w:r>
      <w:r w:rsidR="001E66B0">
        <w:t>window determines the frequency transfer function.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lastRenderedPageBreak/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31D4F934" w:rsidR="00AD0930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02ED7E29" w14:textId="46108BD2" w:rsidR="001E66B0" w:rsidRDefault="001E66B0" w:rsidP="001E66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</w:t>
      </w:r>
      <w:proofErr w:type="spellStart"/>
      <w:r>
        <w:rPr>
          <w:rFonts w:ascii="Times New Roman" w:eastAsia="Times New Roman" w:hAnsi="Times New Roman" w:cs="Times New Roman"/>
        </w:rPr>
        <w:t>regridding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1E66B0">
        <w:rPr>
          <w:b/>
          <w:noProof/>
        </w:rPr>
        <w:drawing>
          <wp:inline distT="0" distB="0" distL="0" distR="0" wp14:anchorId="2BD0C39F" wp14:editId="284FBC41">
            <wp:extent cx="3977640" cy="181991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D19A" w14:textId="6643489C" w:rsidR="001E66B0" w:rsidRPr="001E66B0" w:rsidRDefault="001E66B0" w:rsidP="001E66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</w:rPr>
        <w:t>regridding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Pr="001E66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3DB7C" wp14:editId="3E456715">
            <wp:extent cx="3977640" cy="180149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E25E" w14:textId="78C0EB91" w:rsidR="001E66B0" w:rsidRPr="001E66B0" w:rsidRDefault="001E66B0" w:rsidP="001E66B0">
      <w:pPr>
        <w:rPr>
          <w:rFonts w:ascii="Times New Roman" w:eastAsia="Times New Roman" w:hAnsi="Times New Roman" w:cs="Times New Roman"/>
        </w:rPr>
      </w:pPr>
    </w:p>
    <w:p w14:paraId="52690234" w14:textId="2A088B93" w:rsidR="001E66B0" w:rsidRPr="00566D1C" w:rsidRDefault="001E66B0" w:rsidP="00BE1139">
      <w:pPr>
        <w:jc w:val="both"/>
      </w:pPr>
      <w:r>
        <w:t>It worked! Doesn’t look like we lost much, but the resolution was arbitrary so one could adjust the resolution that we interpolate to.</w:t>
      </w:r>
    </w:p>
    <w:p w14:paraId="19C45654" w14:textId="3D6E4783" w:rsidR="000E60BA" w:rsidRDefault="000E60BA" w:rsidP="00BE1139">
      <w:pPr>
        <w:jc w:val="both"/>
        <w:rPr>
          <w:b/>
          <w:u w:val="single"/>
        </w:rPr>
      </w:pPr>
    </w:p>
    <w:p w14:paraId="4ABA3126" w14:textId="77777777" w:rsidR="001E66B0" w:rsidRDefault="001E66B0" w:rsidP="00BE1139">
      <w:pPr>
        <w:jc w:val="both"/>
        <w:rPr>
          <w:b/>
          <w:u w:val="single"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24DF5C1F" w:rsidR="002F352D" w:rsidRDefault="002F352D" w:rsidP="00BE1139">
      <w:pPr>
        <w:jc w:val="both"/>
        <w:rPr>
          <w:b/>
        </w:rPr>
      </w:pPr>
    </w:p>
    <w:p w14:paraId="5ECA127B" w14:textId="49BA37B8" w:rsidR="0066765F" w:rsidRDefault="0066765F" w:rsidP="0066765F">
      <w:pPr>
        <w:pStyle w:val="HTMLPreformatted"/>
      </w:pPr>
      <w:r>
        <w:t xml:space="preserve">Temp lag-1 autocorrelation = 0.96 and </w:t>
      </w:r>
      <w:proofErr w:type="spellStart"/>
      <w:r>
        <w:t>Te</w:t>
      </w:r>
      <w:proofErr w:type="spellEnd"/>
      <w:r>
        <w:t xml:space="preserve"> = 25.0</w:t>
      </w:r>
      <w:r>
        <w:t xml:space="preserve"> (thousand years)</w:t>
      </w:r>
    </w:p>
    <w:p w14:paraId="27DDE34F" w14:textId="4A6EFDC7" w:rsidR="001E66B0" w:rsidRDefault="00A24FFA" w:rsidP="00BE1139">
      <w:pPr>
        <w:jc w:val="both"/>
        <w:rPr>
          <w:bCs/>
        </w:rPr>
      </w:pPr>
      <w:r>
        <w:rPr>
          <w:bCs/>
        </w:rPr>
        <w:t>Ok, this is interesting that the memory is ~25 thousand years.</w:t>
      </w:r>
    </w:p>
    <w:p w14:paraId="1F0A91FD" w14:textId="51093A13" w:rsidR="00A24FFA" w:rsidRPr="0066765F" w:rsidRDefault="00A24FFA" w:rsidP="00BE1139">
      <w:pPr>
        <w:jc w:val="both"/>
        <w:rPr>
          <w:bCs/>
        </w:rPr>
      </w:pPr>
      <w:r>
        <w:rPr>
          <w:bCs/>
        </w:rPr>
        <w:t>I expect the spectral peaks to occur at frequencies consistent with the Milankovitch cycles.</w:t>
      </w:r>
    </w:p>
    <w:p w14:paraId="176F51A9" w14:textId="77777777" w:rsidR="001E66B0" w:rsidRDefault="001E66B0" w:rsidP="00BE1139">
      <w:pPr>
        <w:jc w:val="both"/>
        <w:rPr>
          <w:b/>
        </w:rPr>
      </w:pPr>
    </w:p>
    <w:p w14:paraId="591D1425" w14:textId="6A05C0D8" w:rsidR="00B74555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582CF9F1" w14:textId="690B426F" w:rsidR="00520C52" w:rsidRPr="00520C52" w:rsidRDefault="00520C52" w:rsidP="00520C52">
      <w:pPr>
        <w:rPr>
          <w:rFonts w:ascii="Times New Roman" w:eastAsia="Times New Roman" w:hAnsi="Times New Roman" w:cs="Times New Roman"/>
        </w:rPr>
      </w:pPr>
      <w:r w:rsidRPr="00520C52">
        <w:rPr>
          <w:noProof/>
        </w:rPr>
        <w:drawing>
          <wp:inline distT="0" distB="0" distL="0" distR="0" wp14:anchorId="77E64689" wp14:editId="70008FA3">
            <wp:extent cx="5486400" cy="216789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056B" w14:textId="7010C9BD" w:rsidR="00A24FFA" w:rsidRDefault="00A24FFA" w:rsidP="00BE1139">
      <w:pPr>
        <w:jc w:val="both"/>
      </w:pPr>
    </w:p>
    <w:p w14:paraId="5666664E" w14:textId="12A087E5" w:rsidR="00520C52" w:rsidRDefault="00520C52" w:rsidP="00520C52">
      <w:pPr>
        <w:pStyle w:val="HTMLPreformatted"/>
      </w:pPr>
      <w:r>
        <w:t xml:space="preserve">We see peaks at </w:t>
      </w:r>
      <w:r>
        <w:t>100328</w:t>
      </w:r>
      <w:r>
        <w:t xml:space="preserve">yrs, </w:t>
      </w:r>
      <w:r>
        <w:t>40131</w:t>
      </w:r>
      <w:r>
        <w:t xml:space="preserve">yrs, and </w:t>
      </w:r>
      <w:r>
        <w:t>23607</w:t>
      </w:r>
      <w:r>
        <w:t>yrs periods. These are the Milankovitch cycles. They represent periodic changes to the earth’s orbit (</w:t>
      </w:r>
      <w:proofErr w:type="gramStart"/>
      <w:r>
        <w:t>i.e.</w:t>
      </w:r>
      <w:proofErr w:type="gramEnd"/>
      <w:r>
        <w:t xml:space="preserve"> precession, eccentricity, </w:t>
      </w:r>
      <w:proofErr w:type="spellStart"/>
      <w:r>
        <w:t>etc</w:t>
      </w:r>
      <w:proofErr w:type="spellEnd"/>
      <w:r>
        <w:t>).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75038CEF" w14:textId="33C23F30" w:rsidR="00520C52" w:rsidRPr="00520C52" w:rsidRDefault="00520C52" w:rsidP="00520C52">
      <w:pPr>
        <w:rPr>
          <w:rFonts w:ascii="Times New Roman" w:eastAsia="Times New Roman" w:hAnsi="Times New Roman" w:cs="Times New Roman"/>
        </w:rPr>
      </w:pPr>
      <w:r w:rsidRPr="00520C52">
        <w:rPr>
          <w:noProof/>
        </w:rPr>
        <w:drawing>
          <wp:inline distT="0" distB="0" distL="0" distR="0" wp14:anchorId="00B68471" wp14:editId="3DFEE67C">
            <wp:extent cx="5486400" cy="24288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001A" w14:textId="102AED81" w:rsidR="00D91995" w:rsidRDefault="00520C52" w:rsidP="00BE1139">
      <w:pPr>
        <w:jc w:val="both"/>
      </w:pPr>
      <w:r>
        <w:lastRenderedPageBreak/>
        <w:t>We see the same statistically significant peaks</w:t>
      </w:r>
      <w:r w:rsidR="00580B7A">
        <w:t xml:space="preserve"> as with </w:t>
      </w:r>
      <w:proofErr w:type="spellStart"/>
      <w:r w:rsidR="00580B7A">
        <w:t>numpy</w:t>
      </w:r>
      <w:proofErr w:type="spellEnd"/>
      <w:r w:rsidR="00580B7A">
        <w:t xml:space="preserve"> corresponding to the Milankovitch cycles. The peaks using a Boxcar filter are narrower and higher, so probably easier to detect. My intuition is very similar.</w:t>
      </w:r>
    </w:p>
    <w:p w14:paraId="0E48F8D4" w14:textId="207E9F1B" w:rsidR="00520C52" w:rsidRDefault="00520C52" w:rsidP="00BE1139">
      <w:pPr>
        <w:jc w:val="both"/>
      </w:pPr>
    </w:p>
    <w:p w14:paraId="34AA8A3A" w14:textId="77777777" w:rsidR="00520C52" w:rsidRPr="00566D1C" w:rsidRDefault="00520C52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261A2827" w14:textId="782A8291" w:rsidR="00580B7A" w:rsidRPr="00580B7A" w:rsidRDefault="00580B7A" w:rsidP="00580B7A">
      <w:pPr>
        <w:rPr>
          <w:rFonts w:ascii="Times New Roman" w:eastAsia="Times New Roman" w:hAnsi="Times New Roman" w:cs="Times New Roman"/>
        </w:rPr>
      </w:pPr>
      <w:r w:rsidRPr="00580B7A">
        <w:rPr>
          <w:noProof/>
        </w:rPr>
        <w:drawing>
          <wp:inline distT="0" distB="0" distL="0" distR="0" wp14:anchorId="65EBE76D" wp14:editId="11DFF987">
            <wp:extent cx="5486400" cy="311467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507D" w14:textId="05C2EFAE" w:rsidR="007F252B" w:rsidRDefault="00580B7A" w:rsidP="00BE1139">
      <w:pPr>
        <w:jc w:val="both"/>
      </w:pPr>
      <w:r>
        <w:t xml:space="preserve">With a 200 </w:t>
      </w:r>
      <w:proofErr w:type="spellStart"/>
      <w:r>
        <w:t>millenia</w:t>
      </w:r>
      <w:proofErr w:type="spellEnd"/>
      <w:r>
        <w:t xml:space="preserve"> window, we have a much lower frequency resolution. At 800 </w:t>
      </w:r>
      <w:proofErr w:type="spellStart"/>
      <w:r>
        <w:t>millenia</w:t>
      </w:r>
      <w:proofErr w:type="spellEnd"/>
      <w:r>
        <w:t xml:space="preserve">, we have better frequency resolution and </w:t>
      </w:r>
      <w:proofErr w:type="gramStart"/>
      <w:r>
        <w:t>are able to</w:t>
      </w:r>
      <w:proofErr w:type="gramEnd"/>
      <w:r>
        <w:t xml:space="preserve"> identify peaks that we couldn’t see in the other one. The tradeoff is not super apparent to me. A larger window just seems better all around.</w:t>
      </w:r>
    </w:p>
    <w:p w14:paraId="6D4C1042" w14:textId="1A189A68" w:rsidR="00580B7A" w:rsidRDefault="00580B7A" w:rsidP="00BE1139">
      <w:pPr>
        <w:jc w:val="both"/>
      </w:pPr>
    </w:p>
    <w:p w14:paraId="3CE846F2" w14:textId="77777777" w:rsidR="00580B7A" w:rsidRDefault="00580B7A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42472FD6" w:rsidR="00AD4415" w:rsidRDefault="00AD4415" w:rsidP="00BE1139">
      <w:pPr>
        <w:jc w:val="both"/>
        <w:rPr>
          <w:b/>
        </w:rPr>
      </w:pPr>
    </w:p>
    <w:p w14:paraId="4002F823" w14:textId="64ED9385" w:rsidR="003A51F4" w:rsidRPr="003A51F4" w:rsidRDefault="003A51F4" w:rsidP="00BE1139">
      <w:pPr>
        <w:jc w:val="both"/>
        <w:rPr>
          <w:bCs/>
        </w:rPr>
      </w:pPr>
      <w:r w:rsidRPr="003A51F4">
        <w:rPr>
          <w:bCs/>
        </w:rPr>
        <w:t>The</w:t>
      </w:r>
      <w:r>
        <w:rPr>
          <w:bCs/>
        </w:rPr>
        <w:t xml:space="preserve"> advantage of using WOSA is not clear to me. This should boost our degrees of freedom, but I don’t have good intuition about degrees of freedom anyway.</w:t>
      </w:r>
    </w:p>
    <w:sectPr w:rsidR="003A51F4" w:rsidRPr="003A51F4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D5FD4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D7AA5"/>
    <w:rsid w:val="001E0F8F"/>
    <w:rsid w:val="001E285B"/>
    <w:rsid w:val="001E66B0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51F4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D702C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0C52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0B7A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6765F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27166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4FFA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1173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E7845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0FD9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47DC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Jonah Shaw</cp:lastModifiedBy>
  <cp:revision>8</cp:revision>
  <dcterms:created xsi:type="dcterms:W3CDTF">2022-03-15T21:46:00Z</dcterms:created>
  <dcterms:modified xsi:type="dcterms:W3CDTF">2022-03-15T22:07:00Z</dcterms:modified>
</cp:coreProperties>
</file>