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31C57">
      <w:pPr>
        <w:pStyle w:val="23"/>
      </w:pPr>
      <w:r>
        <w:t>CAHAD: Culture-Aware Hybrid Adaptive Distillation for Multi-Agent Cultural Alignment</w:t>
      </w:r>
    </w:p>
    <w:p w14:paraId="7402EBA0">
      <w:pPr>
        <w:pStyle w:val="23"/>
      </w:pPr>
      <w:r>
        <w:rPr>
          <w:i/>
          <w:color w:val="666666"/>
          <w:sz w:val="22"/>
        </w:rPr>
        <w:t>CAHAD: Culture-Aware Hybrid Adaptive Distillation with Home-Field Culture-Authority Collaboration for Multi-Agent Cultural Alignment</w:t>
      </w:r>
    </w:p>
    <w:p w14:paraId="2F1657E8">
      <w:pPr>
        <w:pStyle w:val="23"/>
      </w:pPr>
      <w:r>
        <w:rPr>
          <w:i/>
          <w:color w:val="666666"/>
          <w:sz w:val="22"/>
        </w:rPr>
        <w:t>CAHAD: Distilling Home-Field Culture-Authority Collaboration via Culture-Aware Hybrid Adaptive Distillation for Multi-Agent Cultural Alignment</w:t>
      </w:r>
    </w:p>
    <w:p w14:paraId="07371FA6">
      <w:pPr>
        <w:pStyle w:val="2"/>
      </w:pPr>
      <w:bookmarkStart w:id="0" w:name="摘要"/>
      <w:r>
        <w:rPr>
          <w:rFonts w:hint="eastAsia"/>
          <w:b/>
          <w:bCs/>
        </w:rPr>
        <w:t>摘要</w:t>
      </w:r>
    </w:p>
    <w:p w14:paraId="68C5D7E7">
      <w:pPr>
        <w:pStyle w:val="23"/>
      </w:pPr>
      <w:r>
        <w:rPr>
          <w:rFonts w:hint="eastAsia"/>
          <w:i/>
          <w:iCs/>
        </w:rPr>
        <w:t>（待写）</w:t>
      </w:r>
    </w:p>
    <w:bookmarkEnd w:id="0"/>
    <w:p w14:paraId="08F8A664">
      <w:pPr>
        <w:pStyle w:val="2"/>
      </w:pPr>
      <w:bookmarkStart w:id="1" w:name="引言"/>
      <w:r>
        <w:rPr>
          <w:b/>
          <w:bCs/>
        </w:rPr>
        <w:t xml:space="preserve">1 </w:t>
      </w:r>
      <w:r>
        <w:rPr>
          <w:rFonts w:hint="eastAsia"/>
          <w:b/>
          <w:bCs/>
        </w:rPr>
        <w:t>引言</w:t>
      </w:r>
    </w:p>
    <w:p w14:paraId="46140C44">
      <w:pPr>
        <w:pStyle w:val="23"/>
      </w:pPr>
      <w:r>
        <w:rPr>
          <w:rFonts w:hint="eastAsia"/>
        </w:rPr>
        <w:t>近年来，大语言模型已被广泛部署于面向全球用户的应用场景中，然而大量研究表明，此类模型在涉及社会规范判断、日常生活习俗与文化知识问答等任务上，普遍表现出对主流文化（尤其是西方文化）的偏向，而对稀有文化则表现出明显更弱的理解与判断能力（Tao</w:t>
      </w:r>
      <w:r>
        <w:t xml:space="preserve"> et al. </w:t>
      </w:r>
      <w:r>
        <w:rPr>
          <w:rFonts w:hint="eastAsia"/>
        </w:rPr>
        <w:t>2024）。这一偏见的根源在于预训练语料在文化维度上的不均衡分布：英语及若干高资源语言构成的语料中，西方社会的规范、习俗与知识被大量记录和讨论，而众多发展中地区与非英语文化圈的相关内容则相对稀缺，这直接导致模型在不同文化上的先验知识存在显著差异（Li</w:t>
      </w:r>
      <w:r>
        <w:t xml:space="preserve"> et al. </w:t>
      </w:r>
      <w:r>
        <w:rPr>
          <w:rFonts w:hint="eastAsia"/>
        </w:rPr>
        <w:t>2024）。围绕这一问题，多智能体文化推理近年来成为一种主流的解决思路：通过让多个具备不同文化背景先验或不同立场的智能体围绕同一问题进行协商、辩论或投票，综合多方视角以弥补单一模型在特定文化上的知识盲区。相较于依赖大规模文化标注语料进行数据驱动式训练的方法，多智能体协商无需额外的训练数据即可在推理阶段直接调用，因而成为当前文化对齐研究中的重要范式。</w:t>
      </w:r>
    </w:p>
    <w:p w14:paraId="0A27608D">
      <w:pPr>
        <w:pStyle w:val="3"/>
      </w:pPr>
      <w:r>
        <w:t>然而，多智能体文化推理范式虽然取得了一定成效，围绕其展开的研究仍存在两个尚未得到妥善解决的问题。第一，等权协商是否适合文化推理？现有多智能体方法在设计协商机制时，普遍沿用了通用推理任务中“各智能体地位平等、以多数投票或自由辩论达成共识”的假设。然而文化知识本身具有鲜明的属地性与不对称性：某一文化圈的智能体对其自身文化的判断天然比其他文化圈的智能体更为权威，将这种不对称的知识结构强行套入平权协商框架，可能导致目标文化的权威判断被其他智能体的多数意见所稀释甚至压制。第二，多智能体文化推理能力能否迁移到低成本单一模型？多智能体协商通常需要多个智能体依次或并行生成推理内容，再经由额外的裁决步骤汇总结论，其 token 开销、计算开销与响应延迟均显著高于单一模型。如何在保留多智能体协商所形成的文化推理能力的同时，将其压缩为一个推理成本更低、响应更快的单一模型，是决定该范式能否真正落地的关键问题。</w:t>
      </w:r>
    </w:p>
    <w:p w14:paraId="23AFBE84">
      <w:pPr>
        <w:pStyle w:val="3"/>
      </w:pPr>
      <w:r>
        <w:t>针对上述两个问题，本文提出两种相互衔接的方法。首先，本文提出 HF-CAC 多智能体文化推理范式，引入“主场权威激活”机制，赋予与目标文化相匹配的智能体在协商中的决策主导权，并设计基于文化亲缘度的加权仲裁策略作为主场智能体失效时的回退机制，从而打破现有多智能体方法默认等权协商的潜在假设。其次，本文提出 CAHAD 方法，通过将 Judge 的最终答案作为监督目标、将 Guardian 的文化方向判断作为强化学习引导信号，并采用监督微调与强化学习在线联合优化的混合训练范式，将多智能体系统中形成的结构化文化推理能力迁移到低成本单一模型，在显著降低推理成本的同时保持较好的文化对齐性能。</w:t>
      </w:r>
    </w:p>
    <w:p w14:paraId="282C97C2">
      <w:pPr>
        <w:pStyle w:val="3"/>
      </w:pPr>
      <w:bookmarkStart w:id="2" w:name="OLE_LINK1"/>
      <w:r>
        <w:t>本文的贡献可概括为以下</w:t>
      </w:r>
      <w:r>
        <w:rPr>
          <w:rFonts w:hint="eastAsia"/>
        </w:rPr>
        <w:t>三</w:t>
      </w:r>
      <w:r>
        <w:t>点。</w:t>
      </w:r>
    </w:p>
    <w:bookmarkEnd w:id="2"/>
    <w:p w14:paraId="51C6C418">
      <w:pPr>
        <w:pStyle w:val="3"/>
      </w:pPr>
      <w:r>
        <w:t>第一，针对现有多智能体文化推理默认等权协商、忽视目标文化权威性的问题，我们提出了 HF-CAC，通过根据目标国家动态激活主场 Guardian、赋予其更高的话语权，并在 Guardian 失效时引入基于文化亲缘度的加权仲裁，实现了更符合文化知识结构的协作推理机制。</w:t>
      </w:r>
    </w:p>
    <w:p w14:paraId="515DA5A8">
      <w:pPr>
        <w:pStyle w:val="3"/>
      </w:pPr>
      <w:r>
        <w:t>第二，针对多智能体方法推理成本高、token 开销大且响应延迟高的问题，我们提出了 CAHAD，通过将 Judge 的最终答案作为监督蒸馏目标、将 Guardian 的文化方向判断作为强化学习引导信号，并采用 SFT 与 RL 在线联合优化及难度自适应加权机制，将多智能体系统的文化推理能力迁移到低成本单一模型。</w:t>
      </w:r>
    </w:p>
    <w:p w14:paraId="2270B177">
      <w:pPr>
        <w:pStyle w:val="3"/>
      </w:pPr>
      <w:r>
        <w:t>第三，在 3 个公开文化基准上进行实验，我们的方法均优于其他基线。</w:t>
      </w:r>
    </w:p>
    <w:bookmarkEnd w:id="1"/>
    <w:p w14:paraId="40B7EF77">
      <w:pPr>
        <w:pStyle w:val="2"/>
      </w:pPr>
      <w:bookmarkStart w:id="3" w:name="相关工作"/>
      <w:r>
        <w:rPr>
          <w:b/>
          <w:bCs/>
        </w:rPr>
        <w:t xml:space="preserve">2 </w:t>
      </w:r>
      <w:r>
        <w:rPr>
          <w:rFonts w:hint="eastAsia"/>
          <w:b/>
          <w:bCs/>
        </w:rPr>
        <w:t>相关工作</w:t>
      </w:r>
    </w:p>
    <w:p w14:paraId="6B6A71F5">
      <w:pPr>
        <w:pStyle w:val="4"/>
      </w:pPr>
      <w:bookmarkStart w:id="4" w:name="多智能体文化推理"/>
      <w:r>
        <w:rPr>
          <w:b/>
          <w:bCs/>
        </w:rPr>
        <w:t xml:space="preserve">2.1 </w:t>
      </w:r>
      <w:r>
        <w:rPr>
          <w:rFonts w:hint="eastAsia"/>
          <w:b/>
          <w:bCs/>
        </w:rPr>
        <w:t>多智能体文化推理</w:t>
      </w:r>
    </w:p>
    <w:p w14:paraId="6DA2BA03">
      <w:pPr>
        <w:pStyle w:val="23"/>
      </w:pPr>
      <w:r>
        <w:t>以 MAD（Du et al. 2023）为代表的多智能体辩论方法最早被引入通用推理任务，通过让多个模型实例围绕同一问题进行多轮辩论并最终收敛到共识答案，缓解单一模型的推理偏差。随后的 MACD（Tan et al. 2026）、OG-MAR（Seo et al. 2026）等工作将这一思路引入文化对齐场景，通过为不同智能体赋予不同的文化身份或视角，模拟跨文化协商过程，在若干文化知识与规范判断基准上取得了优于单一模型的表现；此外，Ki et al.（2025）进一步提出了面向公平文化对齐的多智能体辩论框架，考察了辩论轮次与智能体规模对协商结果公平性的影响。然而，这些方法在协商机制的设计上普遍存在两个共性缺陷。其一，默认平等协商、缺少主场权威机制：无论智能体所代表的文化背景与目标问题所涉文化的匹配程度如何，各智能体在最终裁决中通常被赋予相近的话语权重，这一设计忽视了文化知识本身具有的属地性——本地文化的代表性智能体理应在有关该文化的判断上拥有更高的权威性。其二，都是高成本的推理时方法：无论是辩论式协商还是投票式聚合，都需要在推理阶段调用多个智能体依次或并行生成内容，且往往需要多轮迭代才能收敛，这使得其 token 开销、计算成本与响应延迟显著高于单一模型，难以满足实际应用对效率的要求。这些工作在协商结构与推理成本上的固有局限，正是问题一与问题二仍未被充分解决的原因所在。</w:t>
      </w:r>
    </w:p>
    <w:bookmarkEnd w:id="4"/>
    <w:p w14:paraId="16C70898">
      <w:pPr>
        <w:pStyle w:val="4"/>
      </w:pPr>
      <w:bookmarkStart w:id="5" w:name="多智能体蒸馏与训练范式"/>
      <w:r>
        <w:rPr>
          <w:b/>
          <w:bCs/>
        </w:rPr>
        <w:t xml:space="preserve">2.2 </w:t>
      </w:r>
      <w:r>
        <w:rPr>
          <w:rFonts w:hint="eastAsia"/>
          <w:b/>
          <w:bCs/>
        </w:rPr>
        <w:t>多智能体蒸馏与训练范式</w:t>
      </w:r>
    </w:p>
    <w:p w14:paraId="6CA15A4D">
      <w:pPr>
        <w:pStyle w:val="23"/>
      </w:pPr>
      <w:r>
        <w:t>为缓解多智能体系统的推理成本问题，已有研究尝试将多智能体协商过程中产生的推理能力蒸馏至单一模型。MAGDi（Chen et al. 2024）通过将多智能体辩论中的推理链拆解为结构化的交互图训练信号，对单一模型进行监督蒸馏，在数学推理等任务上取得了较好的效果；后续工作进一步探索了多智能体蒸馏在其他推理任务上的适用性。与此同时，围绕大语言模型的对齐训练范式，监督微调（SFT）、强化学习（RL）以及二者依次衔接的 SFT-then-RL 训练流程已成为业界的标准做法：SFT 提供稳定的监督信号使模型快速逼近教师行为，RL 则在此基础上通过奖励信号进一步提升模型在开放式生成任务上的表现。然而，上述蒸馏方法尚未被系统地应用于文化对齐任务，其设计也较少考虑不同文化样本学习难度不均衡这一特点；在文化对齐这类内在具有长尾分布的任务中，若仍采用简单的 SFT-then-RL 串行流程，模型对不同文化的学习强度可能失衡，难以稳定保留教师系统提供的细粒度文化判断能力。本文提出的 CAHAD 方法正是针对这一空白，将多智能体蒸馏与在线 SFT-RL 联合优化的混合训练范式相结合，专门服务于文化对齐这一场景。</w:t>
      </w:r>
    </w:p>
    <w:bookmarkEnd w:id="3"/>
    <w:bookmarkEnd w:id="5"/>
    <w:p w14:paraId="051226D3">
      <w:pPr>
        <w:pStyle w:val="2"/>
      </w:pPr>
      <w:bookmarkStart w:id="6" w:name="方法"/>
      <w:r>
        <w:rPr>
          <w:b/>
          <w:bCs/>
        </w:rPr>
        <w:t xml:space="preserve">3 </w:t>
      </w:r>
      <w:r>
        <w:rPr>
          <w:rFonts w:hint="eastAsia"/>
          <w:b/>
          <w:bCs/>
        </w:rPr>
        <w:t>方法</w:t>
      </w:r>
    </w:p>
    <w:p w14:paraId="24682107">
      <w:pPr>
        <w:pStyle w:val="23"/>
      </w:pPr>
      <w:r>
        <w:t>图 1 展示了本文的两个核心组件。HF-CAC（§3.1）提出主场权威激活的多智能体协作推理范式，负责生成高质量的文化判断；CAHAD（§3.2）通过混合训练范式将该能力蒸馏至单一模型。</w:t>
      </w:r>
    </w:p>
    <w:tbl>
      <w:tblPr>
        <w:tblStyle w:val="41"/>
        <w:tblW w:w="4097" w:type="pct"/>
        <w:tblInd w:w="0" w:type="dxa"/>
        <w:tblLayout w:type="fixed"/>
        <w:tblCellMar>
          <w:top w:w="0" w:type="dxa"/>
          <w:left w:w="108" w:type="dxa"/>
          <w:bottom w:w="0" w:type="dxa"/>
          <w:right w:w="108" w:type="dxa"/>
        </w:tblCellMar>
      </w:tblPr>
      <w:tblGrid>
        <w:gridCol w:w="7257"/>
      </w:tblGrid>
      <w:tr w14:paraId="143A1A7A">
        <w:tblPrEx>
          <w:tblCellMar>
            <w:top w:w="0" w:type="dxa"/>
            <w:left w:w="108" w:type="dxa"/>
            <w:bottom w:w="0" w:type="dxa"/>
            <w:right w:w="108" w:type="dxa"/>
          </w:tblCellMar>
        </w:tblPrEx>
        <w:tc>
          <w:tcPr>
            <w:tcW w:w="6490" w:type="dxa"/>
          </w:tcPr>
          <w:p w14:paraId="49C7E21C">
            <w:pPr>
              <w:pStyle w:val="24"/>
              <w:jc w:val="center"/>
            </w:pPr>
            <w:r>
              <w:rPr>
                <w:rFonts w:hint="eastAsia"/>
                <w:i/>
                <w:iCs/>
                <w:highlight w:val="yellow"/>
              </w:rPr>
              <w:t>图</w:t>
            </w:r>
            <w:r>
              <w:rPr>
                <w:i/>
                <w:iCs/>
                <w:highlight w:val="yellow"/>
              </w:rPr>
              <w:t xml:space="preserve"> 1 </w:t>
            </w:r>
            <w:r>
              <w:rPr>
                <w:rFonts w:hint="eastAsia"/>
                <w:i/>
                <w:iCs/>
                <w:highlight w:val="yellow"/>
              </w:rPr>
              <w:t>占位：HF-CAC</w:t>
            </w:r>
            <w:r>
              <w:rPr>
                <w:i/>
                <w:iCs/>
                <w:highlight w:val="yellow"/>
              </w:rPr>
              <w:t xml:space="preserve"> </w:t>
            </w:r>
            <w:r>
              <w:rPr>
                <w:rFonts w:hint="eastAsia"/>
                <w:i/>
                <w:iCs/>
                <w:highlight w:val="yellow"/>
              </w:rPr>
              <w:t>与</w:t>
            </w:r>
            <w:r>
              <w:rPr>
                <w:i/>
                <w:iCs/>
                <w:highlight w:val="yellow"/>
              </w:rPr>
              <w:t xml:space="preserve"> CAHAD </w:t>
            </w:r>
            <w:r>
              <w:rPr>
                <w:rFonts w:hint="eastAsia"/>
                <w:i/>
                <w:iCs/>
                <w:highlight w:val="yellow"/>
              </w:rPr>
              <w:t>整体架构图</w:t>
            </w:r>
          </w:p>
        </w:tc>
      </w:tr>
    </w:tbl>
    <w:p w14:paraId="141666AE">
      <w:pPr>
        <w:pStyle w:val="3"/>
      </w:pPr>
      <w:r>
        <w:rPr>
          <w:rFonts w:hint="eastAsia"/>
          <w:i/>
          <w:iCs/>
        </w:rPr>
        <w:t>图</w:t>
      </w:r>
      <w:r>
        <w:rPr>
          <w:i/>
          <w:iCs/>
        </w:rPr>
        <w:t xml:space="preserve"> </w:t>
      </w:r>
      <w:r>
        <w:rPr>
          <w:rFonts w:hint="eastAsia"/>
          <w:i/>
          <w:iCs/>
        </w:rPr>
        <w:t>1：本文方法总体架构示意图。</w:t>
      </w:r>
    </w:p>
    <w:p w14:paraId="3A6DE911">
      <w:pPr>
        <w:pStyle w:val="4"/>
      </w:pPr>
      <w:bookmarkStart w:id="7" w:name="hf-cac主场文化激活的协作结构"/>
      <w:r>
        <w:rPr>
          <w:b/>
          <w:bCs/>
        </w:rPr>
        <w:t xml:space="preserve">3.1 </w:t>
      </w:r>
      <w:r>
        <w:rPr>
          <w:rFonts w:hint="eastAsia"/>
          <w:b/>
          <w:bCs/>
        </w:rPr>
        <w:t>HF-CAC：主场文化激活的协作结构</w:t>
      </w:r>
    </w:p>
    <w:p w14:paraId="2593126F">
      <w:pPr>
        <w:pStyle w:val="23"/>
      </w:pPr>
      <w:r>
        <w:t>文化知识与通用事实性知识存在本质差异，突出表现为属地性与不对称性两个特征。属地性是指某一文化规范或知识的权威解释权天然归属于该文化自身的持有者或深入了解者，这与人类学关于“地方性知识”的经典讨论一致：文化意义往往嵌入具体社会语境之中，脱离本土情境便难以获得可靠解释（Geertz 1983）。不对称性则是指不同文化群体在价值观、社会规范与行为解释框架上存在稳定而系统的差异，不同判断者对同一目标文化的知识储备和解释能力并不对等（Triandis 1995; Inglehart and Baker 2000）。例如，某一社会习俗是否被普遍接受，通常只有熟悉该地区社会脉络的判断者才能给出可靠答案；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制真正了解该文化的判断，形成“多数压制少数权威”的谬误。</w:t>
      </w:r>
    </w:p>
    <w:p w14:paraId="1636FD53">
      <w:pPr>
        <w:pStyle w:val="3"/>
      </w:pPr>
      <w:r>
        <w:rPr>
          <w:rFonts w:hint="eastAsia"/>
        </w:rPr>
        <w:t>针对这一问题，本文提出</w:t>
      </w:r>
      <w:r>
        <w:t xml:space="preserve"> </w:t>
      </w:r>
      <w:r>
        <w:rPr>
          <w:rFonts w:hint="eastAsia"/>
        </w:rPr>
        <w:t>HF-CAC（Home-Field</w:t>
      </w:r>
      <w:r>
        <w:t xml:space="preserve"> Culture-Authority </w:t>
      </w:r>
      <w:r>
        <w:rPr>
          <w:rFonts w:hint="eastAsia"/>
        </w:rPr>
        <w:t>Collaboration）框架，其核心思想是根据目标问题所涉及的文化归属，动态激活一个具有对应文化背景先验的智能体作为"主场权威"，赋予其在协商中更高的话语权重，同时保留其他文化背景的智能体作为"审议者"提供多元的对比视角，最终由中立的"裁决者"综合所有信息给出最终判断。三者的角色分工从根本上打破了等权协商的潜在假设：Guardian</w:t>
      </w:r>
      <w:r>
        <w:t xml:space="preserve"> </w:t>
      </w:r>
      <w:r>
        <w:rPr>
          <w:rFonts w:hint="eastAsia"/>
        </w:rPr>
        <w:t>承担对目标文化的权威判断职责，Auditor</w:t>
      </w:r>
      <w:r>
        <w:t xml:space="preserve"> </w:t>
      </w:r>
      <w:r>
        <w:rPr>
          <w:rFonts w:hint="eastAsia"/>
        </w:rPr>
        <w:t>承担交叉验证与补充视角的职责，Judge</w:t>
      </w:r>
      <w:r>
        <w:t xml:space="preserve"> </w:t>
      </w:r>
      <w:r>
        <w:rPr>
          <w:rFonts w:hint="eastAsia"/>
        </w:rPr>
        <w:t>承担综合裁决与冲突消解的职责，三者各司其职而非同质化地共同投票。</w:t>
      </w:r>
    </w:p>
    <w:p w14:paraId="56A11A30">
      <w:pPr>
        <w:pStyle w:val="3"/>
      </w:pPr>
      <w:r>
        <w:t xml:space="preserve">HF-CAC </w:t>
      </w:r>
      <w:r>
        <w:rPr>
          <w:rFonts w:hint="eastAsia"/>
        </w:rPr>
        <w:t>的协商流程采用三阶段结构化设计。第一阶段为独立生成阶段：Guardian</w:t>
      </w:r>
      <w:r>
        <w:t xml:space="preserve"> </w:t>
      </w:r>
      <w:r>
        <w:rPr>
          <w:rFonts w:hint="eastAsia"/>
        </w:rPr>
        <w:t>与所有</w:t>
      </w:r>
      <w:r>
        <w:t xml:space="preserve"> Auditor </w:t>
      </w:r>
      <w:r>
        <w:rPr>
          <w:rFonts w:hint="eastAsia"/>
        </w:rPr>
        <w:t>在互不可见彼此输出的条件下，分别基于自身的文化认知基础对问题给出初步判断与推理依据；这一阶段保证了各智能体的判断不受他人观点的过早干扰，保留了判断的独立性与多样性。第二阶段为辩论与协商阶段：所有智能体在获知彼此的初步判断与理由后，围绕分歧点展开一轮结构化的辩论，Auditor</w:t>
      </w:r>
      <w:r>
        <w:t xml:space="preserve"> </w:t>
      </w:r>
      <w:r>
        <w:rPr>
          <w:rFonts w:hint="eastAsia"/>
        </w:rPr>
        <w:t>可以针对</w:t>
      </w:r>
      <w:r>
        <w:t xml:space="preserve"> Guardian </w:t>
      </w:r>
      <w:r>
        <w:rPr>
          <w:rFonts w:hint="eastAsia"/>
        </w:rPr>
        <w:t>的判断提出质疑或补充的对比证据，Guardian</w:t>
      </w:r>
      <w:r>
        <w:t xml:space="preserve"> </w:t>
      </w:r>
      <w:r>
        <w:rPr>
          <w:rFonts w:hint="eastAsia"/>
        </w:rPr>
        <w:t>也需要针对</w:t>
      </w:r>
      <w:r>
        <w:t xml:space="preserve"> Auditor </w:t>
      </w:r>
      <w:r>
        <w:rPr>
          <w:rFonts w:hint="eastAsia"/>
        </w:rPr>
        <w:t>提出的反例或异议做出回应与澄清，双方在这一轮交互中充分交换证据与理由，而非简单地复核修正，从而使潜在的分歧在进入裁决前得到充分暴露。第三阶段为裁决阶段：中立的</w:t>
      </w:r>
      <w:r>
        <w:t xml:space="preserve"> Judge </w:t>
      </w:r>
      <w:r>
        <w:rPr>
          <w:rFonts w:hint="eastAsia"/>
        </w:rPr>
        <w:t>综合前两阶段中</w:t>
      </w:r>
      <w:r>
        <w:t xml:space="preserve"> Guardian </w:t>
      </w:r>
      <w:r>
        <w:rPr>
          <w:rFonts w:hint="eastAsia"/>
        </w:rPr>
        <w:t>与各</w:t>
      </w:r>
      <w:r>
        <w:t xml:space="preserve"> Auditor </w:t>
      </w:r>
      <w:r>
        <w:rPr>
          <w:rFonts w:hint="eastAsia"/>
        </w:rPr>
        <w:t>的完整判断与辩论过程，依据既定的证据优先级规则给出最终结论，完成对分歧的消解。三阶段依次递进——独立生成保证判断的多样性与独立性，辩论与协商保证分歧的充分暴露与证据的交叉验证，裁决保证最终结论的权威性与一致性——共同构成了</w:t>
      </w:r>
      <w:r>
        <w:t xml:space="preserve"> HF-CAC </w:t>
      </w:r>
      <w:r>
        <w:rPr>
          <w:rFonts w:hint="eastAsia"/>
        </w:rPr>
        <w:t>有别于现有等权协商方法的核心流程设计。</w:t>
      </w:r>
    </w:p>
    <w:p w14:paraId="52426AAB">
      <w:pPr>
        <w:pStyle w:val="3"/>
      </w:pPr>
      <w:r>
        <w:rPr>
          <w:rFonts w:hint="eastAsia"/>
        </w:rPr>
        <w:t>在裁决机制上，Judge</w:t>
      </w:r>
      <w:r>
        <w:t xml:space="preserve"> </w:t>
      </w:r>
      <w:r>
        <w:rPr>
          <w:rFonts w:hint="eastAsia"/>
        </w:rPr>
        <w:t>默认给予</w:t>
      </w:r>
      <w:r>
        <w:t xml:space="preserve"> Guardian </w:t>
      </w:r>
      <w:r>
        <w:rPr>
          <w:rFonts w:hint="eastAsia"/>
        </w:rPr>
        <w:t>的判断更高权重，若</w:t>
      </w:r>
      <w:r>
        <w:t xml:space="preserve"> Guardian </w:t>
      </w:r>
      <w:r>
        <w:rPr>
          <w:rFonts w:hint="eastAsia"/>
        </w:rPr>
        <w:t>在辩论与协商阶段提供了具体、可验证的文化证据，则在与</w:t>
      </w:r>
      <w:r>
        <w:t xml:space="preserve"> Auditor </w:t>
      </w:r>
      <w:r>
        <w:rPr>
          <w:rFonts w:hint="eastAsia"/>
        </w:rPr>
        <w:t>存在分歧时优先采纳</w:t>
      </w:r>
      <w:r>
        <w:t xml:space="preserve"> Guardian </w:t>
      </w:r>
      <w:r>
        <w:rPr>
          <w:rFonts w:hint="eastAsia"/>
        </w:rPr>
        <w:t>的结论，此即"优先采纳权"机制。然而，Guardian</w:t>
      </w:r>
      <w:r>
        <w:t xml:space="preserve"> </w:t>
      </w:r>
      <w:r>
        <w:rPr>
          <w:rFonts w:hint="eastAsia"/>
        </w:rPr>
        <w:t>也可能因自身知识局限而未能给出有效判断（例如明确表示不确定），此时系统需要一种合理的回退机制来避免退回至简单多数投票。为此，本文引入了基于文化亲缘度矩阵的加权仲裁策略：将世界主要文化划分为六大文化圈，并基于各文化圈在权威跨文化调查数据中的相对位置构建一个文化圈间的亲缘度矩阵，用以刻画不同文化圈之间的相对距离。当</w:t>
      </w:r>
      <w:r>
        <w:t xml:space="preserve"> Guardian </w:t>
      </w:r>
      <w:r>
        <w:rPr>
          <w:rFonts w:hint="eastAsia"/>
        </w:rPr>
        <w:t>失效时，Judge</w:t>
      </w:r>
      <w:r>
        <w:t xml:space="preserve"> </w:t>
      </w:r>
      <w:r>
        <w:rPr>
          <w:rFonts w:hint="eastAsia"/>
        </w:rPr>
        <w:t>转而查询该矩阵，在辩论阶段提供了具体文化证据的</w:t>
      </w:r>
      <w:r>
        <w:t xml:space="preserve"> Auditor </w:t>
      </w:r>
      <w:r>
        <w:rPr>
          <w:rFonts w:hint="eastAsia"/>
        </w:rPr>
        <w:t>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A。</w:t>
      </w:r>
    </w:p>
    <w:bookmarkEnd w:id="7"/>
    <w:p w14:paraId="590303E7">
      <w:pPr>
        <w:pStyle w:val="4"/>
      </w:pPr>
      <w:r>
        <w:rPr>
          <w:b/>
          <w:bCs/>
        </w:rPr>
        <w:t xml:space="preserve">3.2 </w:t>
      </w:r>
      <w:r>
        <w:rPr>
          <w:rFonts w:hint="eastAsia"/>
          <w:b/>
          <w:bCs/>
        </w:rPr>
        <w:t>CAHAD：文化感知的混合自适应蒸馏</w:t>
      </w:r>
    </w:p>
    <w:p w14:paraId="63B99054">
      <w:pPr>
        <w:pStyle w:val="23"/>
      </w:pPr>
      <w:r>
        <w:t>尽管 HF-CAC 通过结构化的协作分工有效提升了跨文化推理的准确性，其多智能体协商的性质决定了每次推理都需要多个智能体依次生成内容并经过裁决步骤，token 开销、计算成本与响应延迟均显著高于单一模型。为此，本文提出 CAHAD（Culture-Aware Hybrid Adaptive Distillation）方法，旨在将 HF-CAC 多智能体系统中蕴含的结构化跨文化推理能力迁移至一个推理成本较低的单一模型，在兼顾文化对齐性能的同时显著提升推理效率。</w:t>
      </w:r>
    </w:p>
    <w:p w14:paraId="60E2D76E">
      <w:pPr>
        <w:pStyle w:val="3"/>
      </w:pPr>
      <w:r>
        <w:t xml:space="preserve">CAHAD </w:t>
      </w:r>
      <w:r>
        <w:rPr>
          <w:rFonts w:hint="eastAsia"/>
        </w:rPr>
        <w:t>的核心设计在于对</w:t>
      </w:r>
      <w:r>
        <w:t xml:space="preserve"> HF-CAC </w:t>
      </w:r>
      <w:r>
        <w:rPr>
          <w:rFonts w:hint="eastAsia"/>
        </w:rPr>
        <w:t>中各角色功能的重新映射：将</w:t>
      </w:r>
      <w:r>
        <w:t xml:space="preserve"> Judge </w:t>
      </w:r>
      <w:r>
        <w:rPr>
          <w:rFonts w:hint="eastAsia"/>
        </w:rPr>
        <w:t>给出的最终答案作为监督蒸馏的目标，用于构造标准的监督微调训练样本；将</w:t>
      </w:r>
      <w:r>
        <w:t xml:space="preserve"> Guardian </w:t>
      </w:r>
      <w:r>
        <w:rPr>
          <w:rFonts w:hint="eastAsia"/>
        </w:rPr>
        <w:t>给出的文化方向判断作为强化学习阶段的引导信号，而非直接作为监督目标。这一映射设计的动机在于，Judge</w:t>
      </w:r>
      <w:r>
        <w:t xml:space="preserve"> </w:t>
      </w:r>
      <w:r>
        <w:rPr>
          <w:rFonts w:hint="eastAsia"/>
        </w:rPr>
        <w:t>的最终答案代表了经过多方证据综合后的结论，适合作为稳定的模仿学习目标；而</w:t>
      </w:r>
      <w:r>
        <w:t xml:space="preserve"> Guardian </w:t>
      </w:r>
      <w:r>
        <w:rPr>
          <w:rFonts w:hint="eastAsia"/>
        </w:rPr>
        <w:t>的判断代表了对目标文化更具方向性的专家意见，更适合以奖励信号的形式引导学生模型在强化学习探索过程中向正确的文化方向收敛，而非要求模型逐字复现</w:t>
      </w:r>
      <w:r>
        <w:t xml:space="preserve"> Guardian </w:t>
      </w:r>
      <w:r>
        <w:rPr>
          <w:rFonts w:hint="eastAsia"/>
        </w:rPr>
        <w:t>的输出。</w:t>
      </w:r>
    </w:p>
    <w:p w14:paraId="796F8CE5">
      <w:pPr>
        <w:pStyle w:val="3"/>
      </w:pPr>
      <w:r>
        <w:rPr>
          <w:rFonts w:hint="eastAsia"/>
        </w:rPr>
        <w:t>在训练机制上，CAHAD</w:t>
      </w:r>
      <w:r>
        <w:t xml:space="preserve"> </w:t>
      </w:r>
      <w:r>
        <w:rPr>
          <w:rFonts w:hint="eastAsia"/>
        </w:rPr>
        <w:t>采用在线</w:t>
      </w:r>
      <w:r>
        <w:t xml:space="preserve"> SFT </w:t>
      </w:r>
      <w:r>
        <w:rPr>
          <w:rFonts w:hint="eastAsia"/>
        </w:rPr>
        <w:t>与</w:t>
      </w:r>
      <w:r>
        <w:t xml:space="preserve"> RL </w:t>
      </w:r>
      <w:r>
        <w:rPr>
          <w:rFonts w:hint="eastAsia"/>
        </w:rPr>
        <w:t>联合优化的混合训练范式，而非</w:t>
      </w:r>
      <w:r>
        <w:t xml:space="preserve"> SFT-then-RL </w:t>
      </w:r>
      <w:r>
        <w:rPr>
          <w:rFonts w:hint="eastAsia"/>
        </w:rPr>
        <w:t>训练流程。具体而言，在同一训练过程中，模型同时接受来自</w:t>
      </w:r>
      <w:r>
        <w:t xml:space="preserve"> Judge </w:t>
      </w:r>
      <w:r>
        <w:rPr>
          <w:rFonts w:hint="eastAsia"/>
        </w:rPr>
        <w:t>答案的监督微调损失与来自策略梯度的强化学习损失的共同约束；Guardian</w:t>
      </w:r>
      <w:r>
        <w:t xml:space="preserve"> </w:t>
      </w:r>
      <w:r>
        <w:rPr>
          <w:rFonts w:hint="eastAsia"/>
        </w:rPr>
        <w:t>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具体而言，模型对某一文化样本的掌握程度由其在线采样命中率</w:t>
      </w:r>
      <w:r>
        <w:t xml:space="preserve"> hitrate </w:t>
      </w:r>
      <w:r>
        <w:rPr>
          <w:rFonts w:hint="eastAsia"/>
        </w:rPr>
        <w:t>刻画，RL</w:t>
      </w:r>
      <w:r>
        <w:t xml:space="preserve"> </w:t>
      </w:r>
      <w:r>
        <w:rPr>
          <w:rFonts w:hint="eastAsia"/>
        </w:rPr>
        <w:t>引导权重与</w:t>
      </w:r>
      <w:r>
        <w:t xml:space="preserve"> SFT </w:t>
      </w:r>
      <w:r>
        <w:rPr>
          <w:rFonts w:hint="eastAsia"/>
        </w:rPr>
        <w:t>监督权重均由</w:t>
      </w:r>
      <w:r>
        <w:t xml:space="preserve"> hitrate </w:t>
      </w:r>
      <w:r>
        <w:rPr>
          <w:rFonts w:hint="eastAsia"/>
        </w:rPr>
        <w:t>驱动，如式</w:t>
      </w:r>
      <w:r>
        <w:t xml:space="preserve"> (1) </w:t>
      </w:r>
      <w:r>
        <w:rPr>
          <w:rFonts w:hint="eastAsia"/>
        </w:rPr>
        <w:t>所示：</w:t>
      </w:r>
    </w:p>
    <w:tbl>
      <w:tblPr>
        <w:tblStyle w:val="41"/>
        <w:tblW w:w="4653" w:type="pct"/>
        <w:tblInd w:w="0" w:type="dxa"/>
        <w:tblLayout w:type="fixed"/>
        <w:tblCellMar>
          <w:top w:w="0" w:type="dxa"/>
          <w:left w:w="108" w:type="dxa"/>
          <w:bottom w:w="0" w:type="dxa"/>
          <w:right w:w="108" w:type="dxa"/>
        </w:tblCellMar>
      </w:tblPr>
      <w:tblGrid>
        <w:gridCol w:w="7134"/>
        <w:gridCol w:w="1107"/>
      </w:tblGrid>
      <w:tr w14:paraId="2F3DF383">
        <w:tblPrEx>
          <w:tblCellMar>
            <w:top w:w="0" w:type="dxa"/>
            <w:left w:w="108" w:type="dxa"/>
            <w:bottom w:w="0" w:type="dxa"/>
            <w:right w:w="108" w:type="dxa"/>
          </w:tblCellMar>
        </w:tblPrEx>
        <w:tc>
          <w:tcPr>
            <w:tcW w:w="6380" w:type="dxa"/>
          </w:tcPr>
          <w:p w14:paraId="477D29A6">
            <w:pPr>
              <w:pStyle w:val="24"/>
              <w:jc w:val="right"/>
            </w:pPr>
            <m:oMathPara>
              <m:oMath>
                <m:r>
                  <m:rPr/>
                  <w:rPr>
                    <w:rFonts w:ascii="Cambria Math" w:hAnsi="Cambria Math"/>
                  </w:rPr>
                  <m:t>w</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hitrate</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sft</m:t>
                    </m:r>
                    <m:ctrlPr>
                      <w:rPr>
                        <w:rFonts w:ascii="Cambria Math" w:hAnsi="Cambria Math"/>
                      </w:rPr>
                    </m:ctrlPr>
                  </m:sub>
                </m:sSub>
                <m:r>
                  <m:rPr>
                    <m:sty m:val="p"/>
                  </m:rPr>
                  <w:rPr>
                    <w:rFonts w:ascii="Cambria Math" w:hAnsi="Cambria Math"/>
                  </w:rPr>
                  <m:t>=</m:t>
                </m:r>
                <m:r>
                  <m:rPr/>
                  <w:rPr>
                    <w:rFonts w:ascii="Cambria Math" w:hAnsi="Cambria Math"/>
                  </w:rPr>
                  <m:t>max</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hitrate</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Cambria Math" w:hAnsi="Cambria Math"/>
                  </w:rPr>
                  <m:t>)</m:t>
                </m:r>
              </m:oMath>
            </m:oMathPara>
          </w:p>
        </w:tc>
        <w:tc>
          <w:tcPr>
            <w:tcW w:w="990" w:type="dxa"/>
          </w:tcPr>
          <w:p w14:paraId="27B393E8">
            <w:pPr>
              <w:pStyle w:val="24"/>
            </w:pPr>
            <w:r>
              <w:t>(1)</w:t>
            </w:r>
          </w:p>
        </w:tc>
      </w:tr>
    </w:tbl>
    <w:p w14:paraId="76B3C652">
      <w:pPr>
        <w:pStyle w:val="3"/>
      </w:pPr>
      <w:r>
        <w:t>其中 w 为 RL 阶段 Guardian 引导权重，模型已较好掌握该文化时可降至 0，回归标准 GRPO 探索；w_sft 为 SFT 阶段监督权重，引入地板值 w_min（默认 0.1）。当前轮命中率记为 acc_cur，即当前 G 个 rollout 中回答正确的比例，hitrate 则采用指数滑动平均更新：hitrate ← m·hitrate_prev + (1−m)·acc_cur，其中 m = 0.9。这样既能保留当前轮表现信息，又能降低小采样数下的离散噪声，使权重调度更加稳定。</w:t>
      </w:r>
    </w:p>
    <w:p w14:paraId="69CC40E8">
      <w:pPr>
        <w:pStyle w:val="3"/>
      </w:pPr>
      <w:r>
        <w:rPr>
          <w:rFonts w:hint="eastAsia"/>
        </w:rPr>
        <w:t>在强化学习阶段，标准</w:t>
      </w:r>
      <w:r>
        <w:t xml:space="preserve"> GRPO </w:t>
      </w:r>
      <w:r>
        <w:rPr>
          <w:rFonts w:hint="eastAsia"/>
        </w:rPr>
        <w:t>采用组内</w:t>
      </w:r>
      <w:r>
        <w:t xml:space="preserve"> baseline </w:t>
      </w:r>
      <w:r>
        <w:rPr>
          <w:rFonts w:hint="eastAsia"/>
        </w:rPr>
        <w:t>归一化定义优势函数。CAHAD</w:t>
      </w:r>
      <w:r>
        <w:t xml:space="preserve"> </w:t>
      </w:r>
      <w:r>
        <w:rPr>
          <w:rFonts w:hint="eastAsia"/>
        </w:rPr>
        <w:t>在此基础上叠加</w:t>
      </w:r>
      <w:r>
        <w:t xml:space="preserve"> Guardian </w:t>
      </w:r>
      <w:r>
        <w:rPr>
          <w:rFonts w:hint="eastAsia"/>
        </w:rPr>
        <w:t>文化引导项，得到式</w:t>
      </w:r>
      <w:r>
        <w:t xml:space="preserve"> </w:t>
      </w:r>
      <w:r>
        <w:rPr>
          <w:rFonts w:hint="eastAsia"/>
        </w:rPr>
        <w:t>(2)：</w:t>
      </w:r>
    </w:p>
    <w:tbl>
      <w:tblPr>
        <w:tblStyle w:val="41"/>
        <w:tblW w:w="4872" w:type="pct"/>
        <w:tblInd w:w="0" w:type="dxa"/>
        <w:tblLayout w:type="fixed"/>
        <w:tblCellMar>
          <w:top w:w="0" w:type="dxa"/>
          <w:left w:w="108" w:type="dxa"/>
          <w:bottom w:w="0" w:type="dxa"/>
          <w:right w:w="108" w:type="dxa"/>
        </w:tblCellMar>
      </w:tblPr>
      <w:tblGrid>
        <w:gridCol w:w="7721"/>
        <w:gridCol w:w="908"/>
      </w:tblGrid>
      <w:tr w14:paraId="6648DF78">
        <w:tblPrEx>
          <w:tblCellMar>
            <w:top w:w="0" w:type="dxa"/>
            <w:left w:w="108" w:type="dxa"/>
            <w:bottom w:w="0" w:type="dxa"/>
            <w:right w:w="108" w:type="dxa"/>
          </w:tblCellMar>
        </w:tblPrEx>
        <w:tc>
          <w:tcPr>
            <w:tcW w:w="6904" w:type="dxa"/>
          </w:tcPr>
          <w:p w14:paraId="5BE2EDB4">
            <w:pPr>
              <w:pStyle w:val="24"/>
              <w:jc w:val="center"/>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base</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w</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guardian</m:t>
                    </m:r>
                    <m:ctrlPr>
                      <w:rPr>
                        <w:rFonts w:ascii="Cambria Math" w:hAnsi="Cambria Math"/>
                      </w:rPr>
                    </m:ctrlPr>
                  </m:sub>
                </m:sSub>
              </m:oMath>
            </m:oMathPara>
          </w:p>
        </w:tc>
        <w:tc>
          <w:tcPr>
            <w:tcW w:w="812" w:type="dxa"/>
          </w:tcPr>
          <w:p w14:paraId="2BC60209">
            <w:pPr>
              <w:pStyle w:val="24"/>
              <w:jc w:val="right"/>
            </w:pPr>
            <w:r>
              <w:t>(2)</w:t>
            </w:r>
          </w:p>
        </w:tc>
      </w:tr>
    </w:tbl>
    <w:p w14:paraId="14B1F462">
      <w:pPr>
        <w:pStyle w:val="3"/>
      </w:pPr>
      <w:r>
        <w:rPr>
          <w:rFonts w:hint="eastAsia"/>
        </w:rPr>
        <w:t>其中组内</w:t>
      </w:r>
      <w:r>
        <w:t xml:space="preserve"> baseline </w:t>
      </w:r>
      <w:r>
        <w:rPr>
          <w:rFonts w:hint="eastAsia"/>
        </w:rPr>
        <w:t>优势</w:t>
      </w:r>
      <w:r>
        <w:t xml:space="preserve"> A_i^base = R_i − </w:t>
      </w:r>
      <w:r>
        <w:rPr>
          <w:rFonts w:hint="eastAsia"/>
        </w:rPr>
        <w:t>R̄，R_i</w:t>
      </w:r>
      <w:r>
        <w:t xml:space="preserve"> </w:t>
      </w:r>
      <w:r>
        <w:rPr>
          <w:rFonts w:hint="eastAsia"/>
        </w:rPr>
        <w:t>为第</w:t>
      </w:r>
      <w:r>
        <w:t xml:space="preserve"> i </w:t>
      </w:r>
      <w:r>
        <w:rPr>
          <w:rFonts w:hint="eastAsia"/>
        </w:rPr>
        <w:t>个</w:t>
      </w:r>
      <w:r>
        <w:t xml:space="preserve"> rollout </w:t>
      </w:r>
      <w:r>
        <w:rPr>
          <w:rFonts w:hint="eastAsia"/>
        </w:rPr>
        <w:t>的奖励，由结果正确性与过程奖励模型（PRM）打分加权构成，R̄</w:t>
      </w:r>
      <w:r>
        <w:t xml:space="preserve"> </w:t>
      </w:r>
      <w:r>
        <w:rPr>
          <w:rFonts w:hint="eastAsia"/>
        </w:rPr>
        <w:t>为同一</w:t>
      </w:r>
      <w:r>
        <w:t xml:space="preserve"> prompt </w:t>
      </w:r>
      <w:r>
        <w:rPr>
          <w:rFonts w:hint="eastAsia"/>
        </w:rPr>
        <w:t>下所有</w:t>
      </w:r>
      <w:r>
        <w:t xml:space="preserve"> rollout </w:t>
      </w:r>
      <w:r>
        <w:rPr>
          <w:rFonts w:hint="eastAsia"/>
        </w:rPr>
        <w:t>的奖励均值；S_guardian</w:t>
      </w:r>
      <w:r>
        <w:t xml:space="preserve"> ∈ {0, 1} </w:t>
      </w:r>
      <w:r>
        <w:rPr>
          <w:rFonts w:hint="eastAsia"/>
        </w:rPr>
        <w:t>为</w:t>
      </w:r>
      <w:r>
        <w:t xml:space="preserve"> per-rollout </w:t>
      </w:r>
      <w:r>
        <w:rPr>
          <w:rFonts w:hint="eastAsia"/>
        </w:rPr>
        <w:t>文化一致性信号，判断该</w:t>
      </w:r>
      <w:r>
        <w:t xml:space="preserve"> rollout </w:t>
      </w:r>
      <w:r>
        <w:rPr>
          <w:rFonts w:hint="eastAsia"/>
        </w:rPr>
        <w:t>的文化推理方向是否与</w:t>
      </w:r>
      <w:r>
        <w:t xml:space="preserve"> Guardian </w:t>
      </w:r>
      <w:r>
        <w:rPr>
          <w:rFonts w:hint="eastAsia"/>
        </w:rPr>
        <w:t>判断一致（而非最终选项对错），即使最终答案错误、只要文化方向正确也赋值为</w:t>
      </w:r>
      <w:r>
        <w:t xml:space="preserve"> </w:t>
      </w:r>
      <w:r>
        <w:rPr>
          <w:rFonts w:hint="eastAsia"/>
        </w:rPr>
        <w:t>1；λ_g</w:t>
      </w:r>
      <w:r>
        <w:t xml:space="preserve"> </w:t>
      </w:r>
      <w:r>
        <w:rPr>
          <w:rFonts w:hint="eastAsia"/>
        </w:rPr>
        <w:t>为</w:t>
      </w:r>
      <w:r>
        <w:t xml:space="preserve"> Guardian </w:t>
      </w:r>
      <w:r>
        <w:rPr>
          <w:rFonts w:hint="eastAsia"/>
        </w:rPr>
        <w:t>引导全局强度系数（默认</w:t>
      </w:r>
      <w:r>
        <w:t xml:space="preserve"> </w:t>
      </w:r>
      <w:r>
        <w:rPr>
          <w:rFonts w:hint="eastAsia"/>
        </w:rPr>
        <w:t>0.5），用于平衡原始奖励与</w:t>
      </w:r>
      <w:r>
        <w:t xml:space="preserve"> Guardian </w:t>
      </w:r>
      <w:r>
        <w:rPr>
          <w:rFonts w:hint="eastAsia"/>
        </w:rPr>
        <w:t>信号、防止二值信号完全主导优势的符号。采用</w:t>
      </w:r>
      <w:r>
        <w:t xml:space="preserve"> per-rollout </w:t>
      </w:r>
      <w:r>
        <w:rPr>
          <w:rFonts w:hint="eastAsia"/>
        </w:rPr>
        <w:t>而非对同一</w:t>
      </w:r>
      <w:r>
        <w:t xml:space="preserve"> prompt </w:t>
      </w:r>
      <w:r>
        <w:rPr>
          <w:rFonts w:hint="eastAsia"/>
        </w:rPr>
        <w:t>统一偏移的设计，能够充分利用组内差异：文化方向正确的轨迹被相对鼓励，错误的被相对抑制；而</w:t>
      </w:r>
      <w:r>
        <w:t xml:space="preserve"> w </w:t>
      </w:r>
      <w:r>
        <w:rPr>
          <w:rFonts w:hint="eastAsia"/>
        </w:rPr>
        <w:t>的存在使得该引导项随模型对该文化的掌握程度自适应衰减。</w:t>
      </w:r>
    </w:p>
    <w:p w14:paraId="09F91BC3">
      <w:pPr>
        <w:pStyle w:val="3"/>
      </w:pPr>
      <w:r>
        <w:rPr>
          <w:rFonts w:hint="eastAsia"/>
        </w:rPr>
        <w:t>在监督微调阶段，CAHAD</w:t>
      </w:r>
      <w:r>
        <w:t xml:space="preserve"> </w:t>
      </w:r>
      <w:r>
        <w:rPr>
          <w:rFonts w:hint="eastAsia"/>
        </w:rPr>
        <w:t>将</w:t>
      </w:r>
      <w:r>
        <w:t xml:space="preserve"> Judge </w:t>
      </w:r>
      <w:r>
        <w:rPr>
          <w:rFonts w:hint="eastAsia"/>
        </w:rPr>
        <w:t>给出的最终答案</w:t>
      </w:r>
      <w:r>
        <w:t xml:space="preserve"> y_judge </w:t>
      </w:r>
      <w:r>
        <w:rPr>
          <w:rFonts w:hint="eastAsia"/>
        </w:rPr>
        <w:t>作为蒸馏目标，采用标准交叉熵损失并按</w:t>
      </w:r>
      <w:r>
        <w:t xml:space="preserve"> w_sft </w:t>
      </w:r>
      <w:r>
        <w:rPr>
          <w:rFonts w:hint="eastAsia"/>
        </w:rPr>
        <w:t>加权，如式</w:t>
      </w:r>
      <w:r>
        <w:t xml:space="preserve"> (3) </w:t>
      </w:r>
      <w:r>
        <w:rPr>
          <w:rFonts w:hint="eastAsia"/>
        </w:rPr>
        <w:t>所示：</w:t>
      </w:r>
    </w:p>
    <w:tbl>
      <w:tblPr>
        <w:tblStyle w:val="41"/>
        <w:tblW w:w="4895" w:type="pct"/>
        <w:tblInd w:w="0" w:type="dxa"/>
        <w:tblLayout w:type="fixed"/>
        <w:tblCellMar>
          <w:top w:w="0" w:type="dxa"/>
          <w:left w:w="108" w:type="dxa"/>
          <w:bottom w:w="0" w:type="dxa"/>
          <w:right w:w="108" w:type="dxa"/>
        </w:tblCellMar>
      </w:tblPr>
      <w:tblGrid>
        <w:gridCol w:w="7925"/>
        <w:gridCol w:w="745"/>
      </w:tblGrid>
      <w:tr w14:paraId="695476F4">
        <w:tblPrEx>
          <w:tblCellMar>
            <w:top w:w="0" w:type="dxa"/>
            <w:left w:w="108" w:type="dxa"/>
            <w:bottom w:w="0" w:type="dxa"/>
            <w:right w:w="108" w:type="dxa"/>
          </w:tblCellMar>
        </w:tblPrEx>
        <w:tc>
          <w:tcPr>
            <w:tcW w:w="7086" w:type="dxa"/>
          </w:tcPr>
          <w:p w14:paraId="34AAB83F">
            <w:pPr>
              <w:pStyle w:val="24"/>
              <w:jc w:val="center"/>
            </w:pPr>
            <m:oMathPara>
              <m:oMathParaPr>
                <m:jc m:val="center"/>
              </m:oMathParaP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SFT</m:t>
                    </m:r>
                    <m:ctrlPr>
                      <w:rPr>
                        <w:rFonts w:ascii="Cambria Math" w:hAnsi="Cambria Math"/>
                      </w:rPr>
                    </m:ctrlPr>
                  </m:sub>
                  <m:sup>
                    <m:r>
                      <m:rPr/>
                      <w:rPr>
                        <w:rFonts w:ascii="Cambria Math" w:hAnsi="Cambria Math"/>
                      </w:rPr>
                      <m:t>weighted</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sft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SFT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sft</m:t>
                    </m:r>
                    <m:ctrlPr>
                      <w:rPr>
                        <w:rFonts w:ascii="Cambria Math" w:hAnsi="Cambria Math"/>
                      </w:rPr>
                    </m:ctrlPr>
                  </m:sub>
                </m:sSub>
                <m:r>
                  <m:rPr>
                    <m:sty m:val="p"/>
                  </m:rPr>
                  <w:rPr>
                    <w:rFonts w:ascii="Cambria Math" w:hAnsi="Cambria Math"/>
                  </w:rPr>
                  <m:t>⋅</m:t>
                </m:r>
                <m:r>
                  <m:rPr/>
                  <w:rPr>
                    <w:rFonts w:ascii="Cambria Math" w:hAnsi="Cambria Math"/>
                  </w:rPr>
                  <m:t>logP</m:t>
                </m:r>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judge</m:t>
                    </m:r>
                    <m:ctrlPr>
                      <w:rPr>
                        <w:rFonts w:ascii="Cambria Math" w:hAnsi="Cambria Math"/>
                      </w:rPr>
                    </m:ctrlPr>
                  </m:sub>
                </m:sSub>
                <m:r>
                  <m:rPr>
                    <m:sty m:val="p"/>
                  </m:rPr>
                  <w:rPr>
                    <w:rFonts w:ascii="Cambria Math" w:hAnsi="Cambria Math"/>
                  </w:rPr>
                  <m:t>|</m:t>
                </m:r>
                <m:r>
                  <m:rPr/>
                  <w:rPr>
                    <w:rFonts w:ascii="Cambria Math" w:hAnsi="Cambria Math"/>
                  </w:rPr>
                  <m:t>x</m:t>
                </m:r>
                <m:r>
                  <m:rPr>
                    <m:sty m:val="p"/>
                  </m:rPr>
                  <w:rPr>
                    <w:rFonts w:ascii="Cambria Math" w:hAnsi="Cambria Math"/>
                  </w:rPr>
                  <m:t>)</m:t>
                </m:r>
              </m:oMath>
            </m:oMathPara>
          </w:p>
        </w:tc>
        <w:tc>
          <w:tcPr>
            <w:tcW w:w="666" w:type="dxa"/>
          </w:tcPr>
          <w:p w14:paraId="146B0967">
            <w:pPr>
              <w:pStyle w:val="24"/>
              <w:jc w:val="right"/>
            </w:pPr>
            <w:r>
              <w:t>(3)</w:t>
            </w:r>
          </w:p>
        </w:tc>
      </w:tr>
    </w:tbl>
    <w:p w14:paraId="686453DE">
      <w:pPr>
        <w:pStyle w:val="3"/>
      </w:pPr>
      <w:r>
        <w:t>模型在某一文化样本上越不擅长（hitrate 越低、w_sft 越大），监督信号越强，从而优先将 Judge 蕴含的文化知识补充进单一模型；地板值 w_min 则保证即便模型已较好掌握该文化，也保留弱监督信号，以维持训练过程中的稳定文化锚定。</w:t>
      </w:r>
    </w:p>
    <w:p w14:paraId="6BF254B2">
      <w:pPr>
        <w:pStyle w:val="3"/>
      </w:pPr>
      <w:r>
        <w:rPr>
          <w:rFonts w:hint="eastAsia"/>
        </w:rPr>
        <w:t>最终，CAHAD</w:t>
      </w:r>
      <w:r>
        <w:t xml:space="preserve"> </w:t>
      </w:r>
      <w:r>
        <w:rPr>
          <w:rFonts w:hint="eastAsia"/>
        </w:rPr>
        <w:t>在同一次优化步内联合更新</w:t>
      </w:r>
      <w:r>
        <w:t xml:space="preserve"> RL </w:t>
      </w:r>
      <w:r>
        <w:rPr>
          <w:rFonts w:hint="eastAsia"/>
        </w:rPr>
        <w:t>与</w:t>
      </w:r>
      <w:r>
        <w:t xml:space="preserve"> SFT </w:t>
      </w:r>
      <w:r>
        <w:rPr>
          <w:rFonts w:hint="eastAsia"/>
        </w:rPr>
        <w:t>两项损失，总体训练目标如式</w:t>
      </w:r>
      <w:r>
        <w:t xml:space="preserve"> (4) </w:t>
      </w:r>
      <w:r>
        <w:rPr>
          <w:rFonts w:hint="eastAsia"/>
        </w:rPr>
        <w:t>所示：</w:t>
      </w:r>
    </w:p>
    <w:tbl>
      <w:tblPr>
        <w:tblStyle w:val="41"/>
        <w:tblW w:w="4861" w:type="pct"/>
        <w:tblInd w:w="0" w:type="dxa"/>
        <w:tblLayout w:type="fixed"/>
        <w:tblCellMar>
          <w:top w:w="0" w:type="dxa"/>
          <w:left w:w="108" w:type="dxa"/>
          <w:bottom w:w="0" w:type="dxa"/>
          <w:right w:w="108" w:type="dxa"/>
        </w:tblCellMar>
      </w:tblPr>
      <w:tblGrid>
        <w:gridCol w:w="7626"/>
        <w:gridCol w:w="984"/>
      </w:tblGrid>
      <w:tr w14:paraId="77BFB812">
        <w:tblPrEx>
          <w:tblCellMar>
            <w:top w:w="0" w:type="dxa"/>
            <w:left w:w="108" w:type="dxa"/>
            <w:bottom w:w="0" w:type="dxa"/>
            <w:right w:w="108" w:type="dxa"/>
          </w:tblCellMar>
        </w:tblPrEx>
        <w:tc>
          <w:tcPr>
            <w:tcW w:w="6820" w:type="dxa"/>
          </w:tcPr>
          <w:p w14:paraId="4AA823D4">
            <w:pPr>
              <w:pStyle w:val="24"/>
              <w:jc w:val="center"/>
            </w:pPr>
            <m:oMathPara>
              <m:oMathParaPr>
                <m:jc m:val="center"/>
              </m:oMathParaPr>
              <m:oMath>
                <m:r>
                  <m:rPr/>
                  <w:rPr>
                    <w:rFonts w:ascii="Cambria Math" w:hAnsi="Cambria Math"/>
                  </w:rPr>
                  <m:t>L</m:t>
                </m:r>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GRPO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sft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SFT</m:t>
                    </m:r>
                    <m:ctrlPr>
                      <w:rPr>
                        <w:rFonts w:ascii="Cambria Math" w:hAnsi="Cambria Math"/>
                      </w:rPr>
                    </m:ctrlPr>
                  </m:sub>
                </m:sSub>
              </m:oMath>
            </m:oMathPara>
          </w:p>
        </w:tc>
        <w:tc>
          <w:tcPr>
            <w:tcW w:w="880" w:type="dxa"/>
          </w:tcPr>
          <w:p w14:paraId="2F735CE6">
            <w:pPr>
              <w:pStyle w:val="24"/>
              <w:jc w:val="right"/>
            </w:pPr>
            <w:r>
              <w:t>(4)</w:t>
            </w:r>
          </w:p>
        </w:tc>
      </w:tr>
    </w:tbl>
    <w:p w14:paraId="1105868C">
      <w:pPr>
        <w:pStyle w:val="3"/>
      </w:pPr>
      <w:r>
        <w:rPr>
          <w:rFonts w:hint="eastAsia"/>
        </w:rPr>
        <w:t>其中</w:t>
      </w:r>
      <w:r>
        <w:t xml:space="preserve"> L_GRPO(A_i) </w:t>
      </w:r>
      <w:r>
        <w:rPr>
          <w:rFonts w:hint="eastAsia"/>
        </w:rPr>
        <w:t>为使用式</w:t>
      </w:r>
      <w:r>
        <w:t xml:space="preserve"> (2) </w:t>
      </w:r>
      <w:r>
        <w:rPr>
          <w:rFonts w:hint="eastAsia"/>
        </w:rPr>
        <w:t>中文化引导后优势</w:t>
      </w:r>
      <w:r>
        <w:t xml:space="preserve"> A_i </w:t>
      </w:r>
      <w:r>
        <w:rPr>
          <w:rFonts w:hint="eastAsia"/>
        </w:rPr>
        <w:t>计算的策略梯度损失；β</w:t>
      </w:r>
      <w:r>
        <w:t xml:space="preserve"> </w:t>
      </w:r>
      <w:r>
        <w:rPr>
          <w:rFonts w:hint="eastAsia"/>
        </w:rPr>
        <w:t>为平衡</w:t>
      </w:r>
      <w:r>
        <w:t xml:space="preserve"> RL </w:t>
      </w:r>
      <w:r>
        <w:rPr>
          <w:rFonts w:hint="eastAsia"/>
        </w:rPr>
        <w:t>与</w:t>
      </w:r>
      <w:r>
        <w:t xml:space="preserve"> SFT </w:t>
      </w:r>
      <w:r>
        <w:rPr>
          <w:rFonts w:hint="eastAsia"/>
        </w:rPr>
        <w:t>两项损失量纲的系数。由于</w:t>
      </w:r>
      <w:r>
        <w:t xml:space="preserve"> L_GRPO </w:t>
      </w:r>
      <w:r>
        <w:rPr>
          <w:rFonts w:hint="eastAsia"/>
        </w:rPr>
        <w:t>为</w:t>
      </w:r>
      <w:r>
        <w:t xml:space="preserve"> on-policy </w:t>
      </w:r>
      <w:r>
        <w:rPr>
          <w:rFonts w:hint="eastAsia"/>
        </w:rPr>
        <w:t>损失、量级较小，而</w:t>
      </w:r>
      <w:r>
        <w:t xml:space="preserve"> L_SFT </w:t>
      </w:r>
      <w:r>
        <w:rPr>
          <w:rFonts w:hint="eastAsia"/>
        </w:rPr>
        <w:t>为交叉熵损失、量级较大，若不加约束则</w:t>
      </w:r>
      <w:r>
        <w:t xml:space="preserve"> SFT </w:t>
      </w:r>
      <w:r>
        <w:rPr>
          <w:rFonts w:hint="eastAsia"/>
        </w:rPr>
        <w:t>项会主导梯度更新、使联合训练退化为加权</w:t>
      </w:r>
      <w:r>
        <w:t xml:space="preserve"> </w:t>
      </w:r>
      <w:r>
        <w:rPr>
          <w:rFonts w:hint="eastAsia"/>
        </w:rPr>
        <w:t>SFT，因此必须引入</w:t>
      </w:r>
      <w:r>
        <w:t xml:space="preserve"> β </w:t>
      </w:r>
      <w:r>
        <w:rPr>
          <w:rFonts w:hint="eastAsia"/>
        </w:rPr>
        <w:t>对</w:t>
      </w:r>
      <w:r>
        <w:t xml:space="preserve"> SFT </w:t>
      </w:r>
      <w:r>
        <w:rPr>
          <w:rFonts w:hint="eastAsia"/>
        </w:rPr>
        <w:t>项进行缩放。式</w:t>
      </w:r>
      <w:r>
        <w:t xml:space="preserve"> (4) </w:t>
      </w:r>
      <w:r>
        <w:rPr>
          <w:rFonts w:hint="eastAsia"/>
        </w:rPr>
        <w:t>中</w:t>
      </w:r>
      <w:r>
        <w:t xml:space="preserve"> RL </w:t>
      </w:r>
      <w:r>
        <w:rPr>
          <w:rFonts w:hint="eastAsia"/>
        </w:rPr>
        <w:t>与</w:t>
      </w:r>
      <w:r>
        <w:t xml:space="preserve"> SFT </w:t>
      </w:r>
      <w:r>
        <w:rPr>
          <w:rFonts w:hint="eastAsia"/>
        </w:rPr>
        <w:t>两项在同一次反向传播中联合优化：RL</w:t>
      </w:r>
      <w:r>
        <w:t xml:space="preserve"> </w:t>
      </w:r>
      <w:r>
        <w:rPr>
          <w:rFonts w:hint="eastAsia"/>
        </w:rPr>
        <w:t>部分负责探索与文化方向引导，SFT</w:t>
      </w:r>
      <w:r>
        <w:t xml:space="preserve"> </w:t>
      </w:r>
      <w:r>
        <w:rPr>
          <w:rFonts w:hint="eastAsia"/>
        </w:rPr>
        <w:t>部分负责以难度自适应的方式持续锚定</w:t>
      </w:r>
      <w:r>
        <w:t xml:space="preserve"> Judge </w:t>
      </w:r>
      <w:r>
        <w:rPr>
          <w:rFonts w:hint="eastAsia"/>
        </w:rPr>
        <w:t>的文化知识，二者共同使</w:t>
      </w:r>
      <w:r>
        <w:t xml:space="preserve"> CAHAD </w:t>
      </w:r>
      <w:r>
        <w:rPr>
          <w:rFonts w:hint="eastAsia"/>
        </w:rPr>
        <w:t>在压缩为单一模型的同时保留多智能体系统的文化推理能力。</w:t>
      </w:r>
    </w:p>
    <w:p w14:paraId="1C077404">
      <w:pPr>
        <w:pStyle w:val="3"/>
        <w:rPr>
          <w:i/>
          <w:iCs/>
          <w:color w:val="BEBEBE" w:themeColor="background1" w:themeShade="BF"/>
        </w:rPr>
      </w:pPr>
      <w:r>
        <w:t>CAHAD 采用这一在线联合优化的混合训练范式，动机并不局限于降低推理成本这一单一目标。更重要的是，在文化对齐这类文化分布不均衡的任务中，监督信号与强化学习信号在同一训练过程中同步作用，可以让模型在不同文化样本上的学习强度随当前掌握程度自适应调节：模型尚不熟悉的文化样本获得更强监督与引导，模型已经掌握较好的文化样本则减少干预、保留探索空间。因此，混合训练范式同时兼顾了训练稳定性、文化对齐性能与推理效率，其机制由 §3.2 的难度自适应加权详细阐述，并在 §5.2 消融实验中通过准确率与训练稳定性得到支持。</w:t>
      </w:r>
    </w:p>
    <w:bookmarkEnd w:id="6"/>
    <w:p w14:paraId="2EAA2F0F">
      <w:pPr>
        <w:pStyle w:val="2"/>
      </w:pPr>
      <w:bookmarkStart w:id="8" w:name="实验设置"/>
      <w:r>
        <w:rPr>
          <w:b/>
          <w:bCs/>
        </w:rPr>
        <w:t xml:space="preserve">4 </w:t>
      </w:r>
      <w:r>
        <w:rPr>
          <w:rFonts w:hint="eastAsia"/>
          <w:b/>
          <w:bCs/>
        </w:rPr>
        <w:t>实验设置</w:t>
      </w:r>
    </w:p>
    <w:p w14:paraId="51DC1D9A">
      <w:pPr>
        <w:pStyle w:val="4"/>
      </w:pPr>
      <w:bookmarkStart w:id="9" w:name="数据集"/>
      <w:r>
        <w:rPr>
          <w:b/>
          <w:bCs/>
        </w:rPr>
        <w:t xml:space="preserve">4.1 </w:t>
      </w:r>
      <w:r>
        <w:rPr>
          <w:rFonts w:hint="eastAsia"/>
          <w:b/>
          <w:bCs/>
        </w:rPr>
        <w:t>数据集</w:t>
      </w:r>
    </w:p>
    <w:p w14:paraId="04687DE8">
      <w:pPr>
        <w:pStyle w:val="23"/>
      </w:pPr>
      <w:r>
        <w:rPr>
          <w:rFonts w:hint="eastAsia"/>
        </w:rPr>
        <w:t>本文在三个跨文化基准数据集上进行评估。NormAd（Rao</w:t>
      </w:r>
      <w:r>
        <w:t xml:space="preserve"> et al. </w:t>
      </w:r>
      <w:r>
        <w:rPr>
          <w:rFonts w:hint="eastAsia"/>
        </w:rPr>
        <w:t>2025）是一个社会规范判断数据集，任务形式为三分类（可接受、不可接受、中性），覆盖</w:t>
      </w:r>
      <w:r>
        <w:t xml:space="preserve"> 75 </w:t>
      </w:r>
      <w:r>
        <w:rPr>
          <w:rFonts w:hint="eastAsia"/>
        </w:rPr>
        <w:t>个文化，共包含</w:t>
      </w:r>
      <w:r>
        <w:t xml:space="preserve"> 2633 </w:t>
      </w:r>
      <w:r>
        <w:rPr>
          <w:rFonts w:hint="eastAsia"/>
        </w:rPr>
        <w:t>道题目。CulturalBench（Chiu</w:t>
      </w:r>
      <w:r>
        <w:t xml:space="preserve"> et al. </w:t>
      </w:r>
      <w:r>
        <w:rPr>
          <w:rFonts w:hint="eastAsia"/>
        </w:rPr>
        <w:t>2025）是一个文化知识问答数据集，任务形式为四选一多选题，覆盖</w:t>
      </w:r>
      <w:r>
        <w:t xml:space="preserve"> 45 </w:t>
      </w:r>
      <w:r>
        <w:rPr>
          <w:rFonts w:hint="eastAsia"/>
        </w:rPr>
        <w:t>个文化，共包含</w:t>
      </w:r>
      <w:r>
        <w:t xml:space="preserve"> 1227 </w:t>
      </w:r>
      <w:r>
        <w:rPr>
          <w:rFonts w:hint="eastAsia"/>
        </w:rPr>
        <w:t>道题目。BLEnD（Myung</w:t>
      </w:r>
      <w:r>
        <w:t xml:space="preserve"> et al. </w:t>
      </w:r>
      <w:r>
        <w:rPr>
          <w:rFonts w:hint="eastAsia"/>
        </w:rPr>
        <w:t>2024）是一个日常生活文化知识数据集，任务形式同样为四选一多选题，覆盖</w:t>
      </w:r>
      <w:r>
        <w:t xml:space="preserve"> 15 </w:t>
      </w:r>
      <w:r>
        <w:rPr>
          <w:rFonts w:hint="eastAsia"/>
        </w:rPr>
        <w:t>个文化或地区，实验中使用的评估子集共包含</w:t>
      </w:r>
      <w:r>
        <w:t xml:space="preserve"> 5081 </w:t>
      </w:r>
      <w:r>
        <w:rPr>
          <w:rFonts w:hint="eastAsia"/>
        </w:rPr>
        <w:t>道题目。三个数据集在任务类型、文化覆盖范围与题目规模上均存在差异，能够较为全面地检验方法在不同评估场景下的稳健性。</w:t>
      </w:r>
    </w:p>
    <w:bookmarkEnd w:id="9"/>
    <w:p w14:paraId="37B2E268">
      <w:pPr>
        <w:pStyle w:val="4"/>
      </w:pPr>
      <w:bookmarkStart w:id="10" w:name="基线方法"/>
      <w:r>
        <w:rPr>
          <w:b/>
          <w:bCs/>
        </w:rPr>
        <w:t xml:space="preserve">4.2 </w:t>
      </w:r>
      <w:r>
        <w:rPr>
          <w:rFonts w:hint="eastAsia"/>
          <w:b/>
          <w:bCs/>
        </w:rPr>
        <w:t>基线方法</w:t>
      </w:r>
    </w:p>
    <w:p w14:paraId="64A4814D">
      <w:pPr>
        <w:pStyle w:val="23"/>
      </w:pPr>
      <w:r>
        <w:rPr>
          <w:rFonts w:hint="eastAsia"/>
        </w:rPr>
        <w:t>本文实验涉及的基线方法按策略类型分为五类，如下所述：零样本方法（不依赖任何训练）、单教师蒸馏方法（基于单一监督信号进行训练）、多智能体辩论方法（推理时多智能体协商，不涉及训练）、多教师聚合蒸馏方法（基于多个教师信号进行训练）。</w:t>
      </w:r>
    </w:p>
    <w:p w14:paraId="160158CB">
      <w:pPr>
        <w:pStyle w:val="3"/>
      </w:pPr>
      <w:r>
        <w:rPr>
          <w:rFonts w:hint="eastAsia"/>
        </w:rPr>
        <w:t>（1）零样本基座模型（Zero-shot</w:t>
      </w:r>
      <w:r>
        <w:t xml:space="preserve"> </w:t>
      </w:r>
      <w:r>
        <w:rPr>
          <w:rFonts w:hint="eastAsia"/>
        </w:rPr>
        <w:t>Base）：直接使用未经过任何文化对齐处理的基座模型进行推理，包括</w:t>
      </w:r>
      <w:r>
        <w:t xml:space="preserve"> </w:t>
      </w:r>
      <w:r>
        <w:rPr>
          <w:rFonts w:hint="eastAsia"/>
        </w:rPr>
        <w:t>Qwen-2.5-7B-Instruct（Qwen</w:t>
      </w:r>
      <w:r>
        <w:t xml:space="preserve"> Team </w:t>
      </w:r>
      <w:r>
        <w:rPr>
          <w:rFonts w:hint="eastAsia"/>
        </w:rPr>
        <w:t>2024）与</w:t>
      </w:r>
      <w:r>
        <w:t xml:space="preserve"> </w:t>
      </w:r>
      <w:r>
        <w:rPr>
          <w:rFonts w:hint="eastAsia"/>
        </w:rPr>
        <w:t>Llama-3.1-8B-Instruct（Llama</w:t>
      </w:r>
      <w:r>
        <w:t xml:space="preserve"> Team </w:t>
      </w:r>
      <w:r>
        <w:rPr>
          <w:rFonts w:hint="eastAsia"/>
        </w:rPr>
        <w:t>2024），用以建立未经干预的性能下界。</w:t>
      </w:r>
    </w:p>
    <w:p w14:paraId="4CB813DA">
      <w:pPr>
        <w:pStyle w:val="3"/>
      </w:pPr>
      <w:r>
        <w:rPr>
          <w:rFonts w:hint="eastAsia"/>
        </w:rPr>
        <w:t>（2）角色扮演提示（Roleplay</w:t>
      </w:r>
      <w:r>
        <w:t xml:space="preserve"> </w:t>
      </w:r>
      <w:r>
        <w:rPr>
          <w:rFonts w:hint="eastAsia"/>
        </w:rPr>
        <w:t>Prompting）：通过在系统提示词中赋予模型特定文化身份来引导其对目标文化做出符合该身份的回答，属于无需训练的最轻量级对齐手段。</w:t>
      </w:r>
    </w:p>
    <w:p w14:paraId="4CDE5D33">
      <w:pPr>
        <w:pStyle w:val="3"/>
      </w:pPr>
      <w:r>
        <w:rPr>
          <w:rFonts w:hint="eastAsia"/>
        </w:rPr>
        <w:t>（3）单教师监督微调（Single-Reteacher</w:t>
      </w:r>
      <w:r>
        <w:t xml:space="preserve"> </w:t>
      </w:r>
      <w:r>
        <w:rPr>
          <w:rFonts w:hint="eastAsia"/>
        </w:rPr>
        <w:t>SFT）：使用标准的文化标注语料对基座模型进行单轮监督微调，代表当前工业界最基础的对齐训练方式。</w:t>
      </w:r>
    </w:p>
    <w:p w14:paraId="09AA408D">
      <w:pPr>
        <w:pStyle w:val="3"/>
      </w:pPr>
      <w:r>
        <w:rPr>
          <w:rFonts w:hint="eastAsia"/>
        </w:rPr>
        <w:t>（4）多智能体辩论（Multi-Agent</w:t>
      </w:r>
      <w:r>
        <w:t xml:space="preserve"> </w:t>
      </w:r>
      <w:r>
        <w:rPr>
          <w:rFonts w:hint="eastAsia"/>
        </w:rPr>
        <w:t>Debate）：选取</w:t>
      </w:r>
      <w:r>
        <w:t xml:space="preserve"> </w:t>
      </w:r>
      <w:r>
        <w:rPr>
          <w:rFonts w:hint="eastAsia"/>
        </w:rPr>
        <w:t>MD（Du</w:t>
      </w:r>
      <w:r>
        <w:t xml:space="preserve"> et al. 2023</w:t>
      </w:r>
      <w:r>
        <w:rPr>
          <w:rFonts w:hint="eastAsia"/>
        </w:rPr>
        <w:t>，3</w:t>
      </w:r>
      <w:r>
        <w:t xml:space="preserve"> </w:t>
      </w:r>
      <w:r>
        <w:rPr>
          <w:rFonts w:hint="eastAsia"/>
        </w:rPr>
        <w:t>智能体辩论）、MAD（Ki</w:t>
      </w:r>
      <w:r>
        <w:t xml:space="preserve"> et al. 2025</w:t>
      </w:r>
      <w:r>
        <w:rPr>
          <w:rFonts w:hint="eastAsia"/>
        </w:rPr>
        <w:t>，2</w:t>
      </w:r>
      <w:r>
        <w:t xml:space="preserve"> </w:t>
      </w:r>
      <w:r>
        <w:rPr>
          <w:rFonts w:hint="eastAsia"/>
        </w:rPr>
        <w:t>智能体轻量化配置）、MACD（Tan</w:t>
      </w:r>
      <w:r>
        <w:t xml:space="preserve"> et al. </w:t>
      </w:r>
      <w:r>
        <w:rPr>
          <w:rFonts w:hint="eastAsia"/>
        </w:rPr>
        <w:t>2026）、OG-MAR（Seo</w:t>
      </w:r>
      <w:r>
        <w:t xml:space="preserve"> et al. </w:t>
      </w:r>
      <w:r>
        <w:rPr>
          <w:rFonts w:hint="eastAsia"/>
        </w:rPr>
        <w:t>2026）四种代表性方法。</w:t>
      </w:r>
    </w:p>
    <w:p w14:paraId="637B1E96">
      <w:pPr>
        <w:pStyle w:val="3"/>
      </w:pPr>
      <w:r>
        <w:rPr>
          <w:rFonts w:hint="eastAsia"/>
        </w:rPr>
        <w:t>（5）多教师蒸馏（Multi-Teacher</w:t>
      </w:r>
      <w:r>
        <w:t xml:space="preserve"> </w:t>
      </w:r>
      <w:r>
        <w:rPr>
          <w:rFonts w:hint="eastAsia"/>
        </w:rPr>
        <w:t>Distillation）：选取</w:t>
      </w:r>
      <w:r>
        <w:t xml:space="preserve"> </w:t>
      </w:r>
      <w:r>
        <w:rPr>
          <w:rFonts w:hint="eastAsia"/>
        </w:rPr>
        <w:t>MAGDi（Chen</w:t>
      </w:r>
      <w:r>
        <w:t xml:space="preserve"> et al. </w:t>
      </w:r>
      <w:r>
        <w:rPr>
          <w:rFonts w:hint="eastAsia"/>
        </w:rPr>
        <w:t>2024）与</w:t>
      </w:r>
      <w:r>
        <w:t xml:space="preserve"> </w:t>
      </w:r>
      <w:r>
        <w:rPr>
          <w:rFonts w:hint="eastAsia"/>
        </w:rPr>
        <w:t>AgentArk两类基线，它们同样尝试融合多个教师模型或多智能体交互产生的信号以提升文化对齐效果。</w:t>
      </w:r>
    </w:p>
    <w:p w14:paraId="055157A2">
      <w:pPr>
        <w:pStyle w:val="3"/>
      </w:pPr>
      <w:r>
        <w:rPr>
          <w:rFonts w:hint="eastAsia"/>
        </w:rPr>
        <w:t>所有实验均在</w:t>
      </w:r>
      <w:r>
        <w:t xml:space="preserve">Qwen-2.5-7B-Instruct </w:t>
      </w:r>
      <w:r>
        <w:rPr>
          <w:rFonts w:hint="eastAsia"/>
        </w:rPr>
        <w:t>与</w:t>
      </w:r>
      <w:r>
        <w:t xml:space="preserve"> Llama-3.1-8B-Instruct </w:t>
      </w:r>
      <w:r>
        <w:rPr>
          <w:rFonts w:hint="eastAsia"/>
        </w:rPr>
        <w:t>两种主流开源基座模型上进行。</w:t>
      </w:r>
    </w:p>
    <w:bookmarkEnd w:id="10"/>
    <w:p w14:paraId="1C9B8DFD">
      <w:pPr>
        <w:pStyle w:val="4"/>
      </w:pPr>
      <w:bookmarkStart w:id="11" w:name="评估指标"/>
      <w:r>
        <w:rPr>
          <w:b/>
          <w:bCs/>
        </w:rPr>
        <w:t xml:space="preserve">4.3 </w:t>
      </w:r>
      <w:r>
        <w:rPr>
          <w:rFonts w:hint="eastAsia"/>
          <w:b/>
          <w:bCs/>
        </w:rPr>
        <w:t>评估指标</w:t>
      </w:r>
    </w:p>
    <w:p w14:paraId="16A2D5DD">
      <w:pPr>
        <w:pStyle w:val="23"/>
      </w:pPr>
      <w:r>
        <w:t>本文采用的主指标为准确率，即在各数据集的全部题目上报告方法的整体答对比例；此外，针对问题二关注的部署效率，还报告推理阶段的 token 消耗量与响应时延这两项效率指标，用以量化 CAHAD 相较 HF-CAC 多智能体系统在部署成本上的改善程度。</w:t>
      </w:r>
    </w:p>
    <w:bookmarkEnd w:id="8"/>
    <w:bookmarkEnd w:id="11"/>
    <w:p w14:paraId="7FF3468A">
      <w:pPr>
        <w:pStyle w:val="2"/>
      </w:pPr>
      <w:bookmarkStart w:id="12" w:name="实验结果与分析"/>
      <w:r>
        <w:rPr>
          <w:b/>
          <w:bCs/>
        </w:rPr>
        <w:t xml:space="preserve">5 </w:t>
      </w:r>
      <w:r>
        <w:rPr>
          <w:rFonts w:hint="eastAsia"/>
          <w:b/>
          <w:bCs/>
        </w:rPr>
        <w:t>实验结果与分析</w:t>
      </w:r>
    </w:p>
    <w:p w14:paraId="32E6125F">
      <w:pPr>
        <w:pStyle w:val="4"/>
      </w:pPr>
      <w:bookmarkStart w:id="13" w:name="问题一hf-cac-的主结果与结构分析"/>
      <w:r>
        <w:rPr>
          <w:b/>
          <w:bCs/>
        </w:rPr>
        <w:t xml:space="preserve">5.1 </w:t>
      </w:r>
      <w:r>
        <w:rPr>
          <w:rFonts w:hint="eastAsia"/>
          <w:b/>
          <w:bCs/>
        </w:rPr>
        <w:t>问题一：HF-CAC</w:t>
      </w:r>
      <w:r>
        <w:rPr>
          <w:b/>
          <w:bCs/>
        </w:rPr>
        <w:t xml:space="preserve"> </w:t>
      </w:r>
      <w:r>
        <w:rPr>
          <w:rFonts w:hint="eastAsia"/>
          <w:b/>
          <w:bCs/>
        </w:rPr>
        <w:t>的主结果与结构分析</w:t>
      </w:r>
    </w:p>
    <w:p w14:paraId="3F5B9244">
      <w:pPr>
        <w:pStyle w:val="5"/>
      </w:pPr>
      <w:bookmarkStart w:id="14" w:name="主对比实验"/>
      <w:r>
        <w:rPr>
          <w:rFonts w:hint="eastAsia"/>
          <w:b/>
          <w:bCs/>
        </w:rPr>
        <w:t>主对比实验</w:t>
      </w:r>
    </w:p>
    <w:p w14:paraId="370706AE">
      <w:pPr>
        <w:pStyle w:val="23"/>
      </w:pPr>
      <w:r>
        <w:t>表 1 给出了 HF-CAC 与零样本基线（Base、Role-play）以及四种多智能体基线方法（MD、MAD、MACD、OG-MAR）在三个数据集、两个基座模型上的准确率对比。总体而言，HF-CAC 在几乎所有数据集与基座组合上均取得了优于全部基线方法的表现，验证了主场权威激活机制相较通用等权协商范式的有效性：通过赋予目标文化智能体决策主导权，HF-CAC 能够更充分地利用协商过程中蕴含的权威文化知识，而非任由等权投票稀释这一优势</w:t>
      </w:r>
      <w:bookmarkStart w:id="42" w:name="_GoBack"/>
      <w:bookmarkEnd w:id="42"/>
      <w:r>
        <w:t>。</w:t>
      </w:r>
    </w:p>
    <w:tbl>
      <w:tblPr>
        <w:tblStyle w:val="41"/>
        <w:tblW w:w="4865" w:type="pct"/>
        <w:tblInd w:w="0" w:type="dxa"/>
        <w:tblLayout w:type="fixed"/>
        <w:tblCellMar>
          <w:top w:w="0" w:type="dxa"/>
          <w:left w:w="108" w:type="dxa"/>
          <w:bottom w:w="0" w:type="dxa"/>
          <w:right w:w="108" w:type="dxa"/>
        </w:tblCellMar>
      </w:tblPr>
      <w:tblGrid>
        <w:gridCol w:w="2155"/>
        <w:gridCol w:w="2154"/>
        <w:gridCol w:w="2154"/>
        <w:gridCol w:w="2154"/>
      </w:tblGrid>
      <w:tr w14:paraId="7193B3FF">
        <w:tblPrEx>
          <w:tblCellMar>
            <w:top w:w="0" w:type="dxa"/>
            <w:left w:w="108" w:type="dxa"/>
            <w:bottom w:w="0" w:type="dxa"/>
            <w:right w:w="108" w:type="dxa"/>
          </w:tblCellMar>
        </w:tblPrEx>
        <w:trPr>
          <w:tblHeader/>
        </w:trPr>
        <w:tc>
          <w:tcPr>
            <w:tcW w:w="1926" w:type="dxa"/>
            <w:tcBorders>
              <w:bottom w:val="single" w:color="auto" w:sz="0" w:space="0"/>
              <w:insideH w:val="single" w:sz="0" w:space="0"/>
            </w:tcBorders>
            <w:vAlign w:val="bottom"/>
          </w:tcPr>
          <w:p w14:paraId="23982218">
            <w:pPr>
              <w:pStyle w:val="24"/>
              <w:jc w:val="center"/>
            </w:pPr>
            <w:r>
              <w:rPr>
                <w:b/>
                <w:bCs/>
              </w:rPr>
              <w:t>Method</w:t>
            </w:r>
          </w:p>
        </w:tc>
        <w:tc>
          <w:tcPr>
            <w:tcW w:w="1926" w:type="dxa"/>
            <w:tcBorders>
              <w:bottom w:val="single" w:color="auto" w:sz="0" w:space="0"/>
              <w:insideH w:val="single" w:sz="0" w:space="0"/>
            </w:tcBorders>
            <w:vAlign w:val="bottom"/>
          </w:tcPr>
          <w:p w14:paraId="1E60C73E">
            <w:pPr>
              <w:pStyle w:val="24"/>
              <w:jc w:val="center"/>
            </w:pPr>
            <w:r>
              <w:rPr>
                <w:b/>
                <w:bCs/>
              </w:rPr>
              <w:t>NormAd</w:t>
            </w:r>
          </w:p>
        </w:tc>
        <w:tc>
          <w:tcPr>
            <w:tcW w:w="1926" w:type="dxa"/>
            <w:tcBorders>
              <w:bottom w:val="single" w:color="auto" w:sz="0" w:space="0"/>
              <w:insideH w:val="single" w:sz="0" w:space="0"/>
            </w:tcBorders>
            <w:vAlign w:val="bottom"/>
          </w:tcPr>
          <w:p w14:paraId="01C844CF">
            <w:pPr>
              <w:pStyle w:val="24"/>
              <w:jc w:val="center"/>
            </w:pPr>
            <w:r>
              <w:rPr>
                <w:b/>
                <w:bCs/>
              </w:rPr>
              <w:t>C</w:t>
            </w:r>
            <w:r>
              <w:rPr>
                <w:rFonts w:hint="eastAsia"/>
                <w:b/>
                <w:bCs/>
              </w:rPr>
              <w:t>ultural</w:t>
            </w:r>
            <w:r>
              <w:rPr>
                <w:b/>
                <w:bCs/>
              </w:rPr>
              <w:t>B</w:t>
            </w:r>
            <w:r>
              <w:rPr>
                <w:rFonts w:hint="eastAsia"/>
                <w:b/>
                <w:bCs/>
              </w:rPr>
              <w:t>ench</w:t>
            </w:r>
          </w:p>
        </w:tc>
        <w:tc>
          <w:tcPr>
            <w:tcW w:w="1926" w:type="dxa"/>
            <w:tcBorders>
              <w:bottom w:val="single" w:color="auto" w:sz="0" w:space="0"/>
              <w:insideH w:val="single" w:sz="0" w:space="0"/>
            </w:tcBorders>
            <w:vAlign w:val="bottom"/>
          </w:tcPr>
          <w:p w14:paraId="7B045DE9">
            <w:pPr>
              <w:pStyle w:val="24"/>
              <w:jc w:val="center"/>
            </w:pPr>
            <w:r>
              <w:rPr>
                <w:b/>
                <w:bCs/>
              </w:rPr>
              <w:t>BLEnD</w:t>
            </w:r>
          </w:p>
        </w:tc>
      </w:tr>
      <w:tr w14:paraId="5A7A4368">
        <w:tblPrEx>
          <w:tblCellMar>
            <w:top w:w="0" w:type="dxa"/>
            <w:left w:w="108" w:type="dxa"/>
            <w:bottom w:w="0" w:type="dxa"/>
            <w:right w:w="108" w:type="dxa"/>
          </w:tblCellMar>
        </w:tblPrEx>
        <w:tc>
          <w:tcPr>
            <w:tcW w:w="7704" w:type="dxa"/>
            <w:gridSpan w:val="4"/>
          </w:tcPr>
          <w:p w14:paraId="4A6D343F">
            <w:pPr>
              <w:pStyle w:val="24"/>
              <w:jc w:val="center"/>
            </w:pPr>
            <w:r>
              <w:rPr>
                <w:b/>
                <w:bCs/>
              </w:rPr>
              <w:t>Qwen2.5-7B-Instruct as backbone model</w:t>
            </w:r>
          </w:p>
        </w:tc>
      </w:tr>
      <w:tr w14:paraId="6575F160">
        <w:tblPrEx>
          <w:tblCellMar>
            <w:top w:w="0" w:type="dxa"/>
            <w:left w:w="108" w:type="dxa"/>
            <w:bottom w:w="0" w:type="dxa"/>
            <w:right w:w="108" w:type="dxa"/>
          </w:tblCellMar>
        </w:tblPrEx>
        <w:tc>
          <w:tcPr>
            <w:tcW w:w="1926" w:type="dxa"/>
          </w:tcPr>
          <w:p w14:paraId="1F78C38D">
            <w:pPr>
              <w:pStyle w:val="24"/>
              <w:jc w:val="center"/>
            </w:pPr>
            <w:r>
              <w:t>Base</w:t>
            </w:r>
          </w:p>
        </w:tc>
        <w:tc>
          <w:tcPr>
            <w:tcW w:w="1926" w:type="dxa"/>
          </w:tcPr>
          <w:p w14:paraId="76F2B8BC">
            <w:pPr>
              <w:pStyle w:val="24"/>
              <w:jc w:val="center"/>
            </w:pPr>
            <w:r>
              <w:t>59.78</w:t>
            </w:r>
          </w:p>
        </w:tc>
        <w:tc>
          <w:tcPr>
            <w:tcW w:w="1926" w:type="dxa"/>
          </w:tcPr>
          <w:p w14:paraId="58A5ED32">
            <w:pPr>
              <w:pStyle w:val="24"/>
              <w:jc w:val="center"/>
            </w:pPr>
            <w:r>
              <w:t>72.13</w:t>
            </w:r>
          </w:p>
        </w:tc>
        <w:tc>
          <w:tcPr>
            <w:tcW w:w="1926" w:type="dxa"/>
          </w:tcPr>
          <w:p w14:paraId="70897C64">
            <w:pPr>
              <w:pStyle w:val="24"/>
              <w:jc w:val="center"/>
            </w:pPr>
            <w:r>
              <w:t>66.09</w:t>
            </w:r>
          </w:p>
        </w:tc>
      </w:tr>
      <w:tr w14:paraId="54B57B57">
        <w:tblPrEx>
          <w:tblCellMar>
            <w:top w:w="0" w:type="dxa"/>
            <w:left w:w="108" w:type="dxa"/>
            <w:bottom w:w="0" w:type="dxa"/>
            <w:right w:w="108" w:type="dxa"/>
          </w:tblCellMar>
        </w:tblPrEx>
        <w:tc>
          <w:tcPr>
            <w:tcW w:w="1926" w:type="dxa"/>
          </w:tcPr>
          <w:p w14:paraId="78B9E330">
            <w:pPr>
              <w:pStyle w:val="24"/>
              <w:jc w:val="center"/>
            </w:pPr>
            <w:r>
              <w:t>Role-play</w:t>
            </w:r>
          </w:p>
        </w:tc>
        <w:tc>
          <w:tcPr>
            <w:tcW w:w="1926" w:type="dxa"/>
          </w:tcPr>
          <w:p w14:paraId="0E4D972F">
            <w:pPr>
              <w:pStyle w:val="24"/>
              <w:jc w:val="center"/>
            </w:pPr>
            <w:r>
              <w:t>59.51</w:t>
            </w:r>
          </w:p>
        </w:tc>
        <w:tc>
          <w:tcPr>
            <w:tcW w:w="1926" w:type="dxa"/>
          </w:tcPr>
          <w:p w14:paraId="51ADAB88">
            <w:pPr>
              <w:pStyle w:val="24"/>
              <w:jc w:val="center"/>
            </w:pPr>
            <w:r>
              <w:t>71.31</w:t>
            </w:r>
          </w:p>
        </w:tc>
        <w:tc>
          <w:tcPr>
            <w:tcW w:w="1926" w:type="dxa"/>
          </w:tcPr>
          <w:p w14:paraId="0E9A68DC">
            <w:pPr>
              <w:pStyle w:val="24"/>
              <w:jc w:val="center"/>
            </w:pPr>
            <w:r>
              <w:t>66.52</w:t>
            </w:r>
          </w:p>
        </w:tc>
      </w:tr>
      <w:tr w14:paraId="59C26685">
        <w:tblPrEx>
          <w:tblCellMar>
            <w:top w:w="0" w:type="dxa"/>
            <w:left w:w="108" w:type="dxa"/>
            <w:bottom w:w="0" w:type="dxa"/>
            <w:right w:w="108" w:type="dxa"/>
          </w:tblCellMar>
        </w:tblPrEx>
        <w:tc>
          <w:tcPr>
            <w:tcW w:w="1926" w:type="dxa"/>
          </w:tcPr>
          <w:p w14:paraId="51499404">
            <w:pPr>
              <w:pStyle w:val="24"/>
              <w:jc w:val="center"/>
            </w:pPr>
            <w:r>
              <w:t>MD</w:t>
            </w:r>
          </w:p>
        </w:tc>
        <w:tc>
          <w:tcPr>
            <w:tcW w:w="1926" w:type="dxa"/>
          </w:tcPr>
          <w:p w14:paraId="0EC04E60">
            <w:pPr>
              <w:pStyle w:val="24"/>
              <w:jc w:val="center"/>
            </w:pPr>
            <w:r>
              <w:t>64.68</w:t>
            </w:r>
          </w:p>
        </w:tc>
        <w:tc>
          <w:tcPr>
            <w:tcW w:w="1926" w:type="dxa"/>
          </w:tcPr>
          <w:p w14:paraId="028B6217">
            <w:pPr>
              <w:pStyle w:val="24"/>
              <w:jc w:val="center"/>
            </w:pPr>
            <w:r>
              <w:t>67.40</w:t>
            </w:r>
          </w:p>
        </w:tc>
        <w:tc>
          <w:tcPr>
            <w:tcW w:w="1926" w:type="dxa"/>
          </w:tcPr>
          <w:p w14:paraId="383EBC16">
            <w:pPr>
              <w:pStyle w:val="24"/>
              <w:jc w:val="center"/>
            </w:pPr>
            <w:r>
              <w:t>64.71</w:t>
            </w:r>
          </w:p>
        </w:tc>
      </w:tr>
      <w:tr w14:paraId="744E929A">
        <w:tblPrEx>
          <w:tblCellMar>
            <w:top w:w="0" w:type="dxa"/>
            <w:left w:w="108" w:type="dxa"/>
            <w:bottom w:w="0" w:type="dxa"/>
            <w:right w:w="108" w:type="dxa"/>
          </w:tblCellMar>
        </w:tblPrEx>
        <w:tc>
          <w:tcPr>
            <w:tcW w:w="1926" w:type="dxa"/>
          </w:tcPr>
          <w:p w14:paraId="11E3D496">
            <w:pPr>
              <w:pStyle w:val="24"/>
              <w:jc w:val="center"/>
            </w:pPr>
            <w:r>
              <w:t>MAD</w:t>
            </w:r>
          </w:p>
        </w:tc>
        <w:tc>
          <w:tcPr>
            <w:tcW w:w="1926" w:type="dxa"/>
          </w:tcPr>
          <w:p w14:paraId="6C5F30EB">
            <w:pPr>
              <w:pStyle w:val="24"/>
              <w:jc w:val="center"/>
            </w:pPr>
            <w:r>
              <w:t>62.59</w:t>
            </w:r>
          </w:p>
        </w:tc>
        <w:tc>
          <w:tcPr>
            <w:tcW w:w="1926" w:type="dxa"/>
          </w:tcPr>
          <w:p w14:paraId="1AE48A94">
            <w:pPr>
              <w:pStyle w:val="24"/>
              <w:jc w:val="center"/>
            </w:pPr>
            <w:r>
              <w:t>74.41</w:t>
            </w:r>
          </w:p>
        </w:tc>
        <w:tc>
          <w:tcPr>
            <w:tcW w:w="1926" w:type="dxa"/>
          </w:tcPr>
          <w:p w14:paraId="4CA5161F">
            <w:pPr>
              <w:pStyle w:val="24"/>
              <w:jc w:val="center"/>
            </w:pPr>
            <w:r>
              <w:t>67.07</w:t>
            </w:r>
          </w:p>
        </w:tc>
      </w:tr>
      <w:tr w14:paraId="7D82307F">
        <w:tblPrEx>
          <w:tblCellMar>
            <w:top w:w="0" w:type="dxa"/>
            <w:left w:w="108" w:type="dxa"/>
            <w:bottom w:w="0" w:type="dxa"/>
            <w:right w:w="108" w:type="dxa"/>
          </w:tblCellMar>
        </w:tblPrEx>
        <w:tc>
          <w:tcPr>
            <w:tcW w:w="1926" w:type="dxa"/>
          </w:tcPr>
          <w:p w14:paraId="055B1B01">
            <w:pPr>
              <w:pStyle w:val="24"/>
              <w:jc w:val="center"/>
            </w:pPr>
            <w:r>
              <w:t>MACD</w:t>
            </w:r>
          </w:p>
        </w:tc>
        <w:tc>
          <w:tcPr>
            <w:tcW w:w="1926" w:type="dxa"/>
          </w:tcPr>
          <w:p w14:paraId="1327AEFC">
            <w:pPr>
              <w:pStyle w:val="24"/>
              <w:jc w:val="center"/>
            </w:pPr>
            <w:r>
              <w:t>65.78</w:t>
            </w:r>
          </w:p>
        </w:tc>
        <w:tc>
          <w:tcPr>
            <w:tcW w:w="1926" w:type="dxa"/>
          </w:tcPr>
          <w:p w14:paraId="7470C72B">
            <w:pPr>
              <w:pStyle w:val="24"/>
              <w:jc w:val="center"/>
            </w:pPr>
            <w:r>
              <w:t>72.05</w:t>
            </w:r>
          </w:p>
        </w:tc>
        <w:tc>
          <w:tcPr>
            <w:tcW w:w="1926" w:type="dxa"/>
          </w:tcPr>
          <w:p w14:paraId="2595C3B8">
            <w:pPr>
              <w:pStyle w:val="24"/>
              <w:jc w:val="center"/>
            </w:pPr>
            <w:r>
              <w:t>64.34</w:t>
            </w:r>
          </w:p>
        </w:tc>
      </w:tr>
      <w:tr w14:paraId="48F0DA5F">
        <w:tblPrEx>
          <w:tblCellMar>
            <w:top w:w="0" w:type="dxa"/>
            <w:left w:w="108" w:type="dxa"/>
            <w:bottom w:w="0" w:type="dxa"/>
            <w:right w:w="108" w:type="dxa"/>
          </w:tblCellMar>
        </w:tblPrEx>
        <w:tc>
          <w:tcPr>
            <w:tcW w:w="1926" w:type="dxa"/>
          </w:tcPr>
          <w:p w14:paraId="068B835B">
            <w:pPr>
              <w:pStyle w:val="24"/>
              <w:jc w:val="center"/>
            </w:pPr>
            <w:r>
              <w:t>OG-MAR</w:t>
            </w:r>
          </w:p>
        </w:tc>
        <w:tc>
          <w:tcPr>
            <w:tcW w:w="1926" w:type="dxa"/>
          </w:tcPr>
          <w:p w14:paraId="313B006B">
            <w:pPr>
              <w:pStyle w:val="24"/>
              <w:jc w:val="center"/>
            </w:pPr>
            <w:r>
              <w:t>61.98</w:t>
            </w:r>
          </w:p>
        </w:tc>
        <w:tc>
          <w:tcPr>
            <w:tcW w:w="1926" w:type="dxa"/>
          </w:tcPr>
          <w:p w14:paraId="3F8BD1DA">
            <w:pPr>
              <w:pStyle w:val="24"/>
              <w:jc w:val="center"/>
            </w:pPr>
            <w:r>
              <w:t>65.85</w:t>
            </w:r>
          </w:p>
        </w:tc>
        <w:tc>
          <w:tcPr>
            <w:tcW w:w="1926" w:type="dxa"/>
          </w:tcPr>
          <w:p w14:paraId="71FE6EE2">
            <w:pPr>
              <w:pStyle w:val="24"/>
              <w:jc w:val="center"/>
            </w:pPr>
            <w:r>
              <w:t>63.35</w:t>
            </w:r>
          </w:p>
        </w:tc>
      </w:tr>
      <w:tr w14:paraId="4398F4A3">
        <w:tblPrEx>
          <w:tblCellMar>
            <w:top w:w="0" w:type="dxa"/>
            <w:left w:w="108" w:type="dxa"/>
            <w:bottom w:w="0" w:type="dxa"/>
            <w:right w:w="108" w:type="dxa"/>
          </w:tblCellMar>
        </w:tblPrEx>
        <w:tc>
          <w:tcPr>
            <w:tcW w:w="1926" w:type="dxa"/>
          </w:tcPr>
          <w:p w14:paraId="5AF65B88">
            <w:pPr>
              <w:pStyle w:val="24"/>
              <w:jc w:val="center"/>
            </w:pPr>
            <w:r>
              <w:rPr>
                <w:b/>
                <w:bCs/>
              </w:rPr>
              <w:t>HF-CAC</w:t>
            </w:r>
          </w:p>
        </w:tc>
        <w:tc>
          <w:tcPr>
            <w:tcW w:w="1926" w:type="dxa"/>
          </w:tcPr>
          <w:p w14:paraId="38225543">
            <w:pPr>
              <w:pStyle w:val="24"/>
              <w:jc w:val="center"/>
            </w:pPr>
            <w:r>
              <w:rPr>
                <w:b/>
                <w:bCs/>
              </w:rPr>
              <w:t>66.81</w:t>
            </w:r>
          </w:p>
        </w:tc>
        <w:tc>
          <w:tcPr>
            <w:tcW w:w="1926" w:type="dxa"/>
          </w:tcPr>
          <w:p w14:paraId="182DB18D">
            <w:pPr>
              <w:pStyle w:val="24"/>
              <w:jc w:val="center"/>
            </w:pPr>
            <w:r>
              <w:rPr>
                <w:b/>
                <w:bCs/>
              </w:rPr>
              <w:t>75.57</w:t>
            </w:r>
          </w:p>
        </w:tc>
        <w:tc>
          <w:tcPr>
            <w:tcW w:w="1926" w:type="dxa"/>
          </w:tcPr>
          <w:p w14:paraId="2C012945">
            <w:pPr>
              <w:pStyle w:val="24"/>
              <w:jc w:val="center"/>
            </w:pPr>
            <w:r>
              <w:rPr>
                <w:b/>
                <w:bCs/>
              </w:rPr>
              <w:t>68.45</w:t>
            </w:r>
          </w:p>
        </w:tc>
      </w:tr>
      <w:tr w14:paraId="0C2B6094">
        <w:tblPrEx>
          <w:tblCellMar>
            <w:top w:w="0" w:type="dxa"/>
            <w:left w:w="108" w:type="dxa"/>
            <w:bottom w:w="0" w:type="dxa"/>
            <w:right w:w="108" w:type="dxa"/>
          </w:tblCellMar>
        </w:tblPrEx>
        <w:tc>
          <w:tcPr>
            <w:tcW w:w="7704" w:type="dxa"/>
            <w:gridSpan w:val="4"/>
          </w:tcPr>
          <w:p w14:paraId="5DEDF05F">
            <w:pPr>
              <w:pStyle w:val="24"/>
              <w:jc w:val="center"/>
            </w:pPr>
            <w:r>
              <w:rPr>
                <w:b/>
                <w:bCs/>
              </w:rPr>
              <w:t>Llama-3.1-8B-Instruct as backbone model</w:t>
            </w:r>
          </w:p>
        </w:tc>
      </w:tr>
      <w:tr w14:paraId="7E581177">
        <w:tblPrEx>
          <w:tblCellMar>
            <w:top w:w="0" w:type="dxa"/>
            <w:left w:w="108" w:type="dxa"/>
            <w:bottom w:w="0" w:type="dxa"/>
            <w:right w:w="108" w:type="dxa"/>
          </w:tblCellMar>
        </w:tblPrEx>
        <w:tc>
          <w:tcPr>
            <w:tcW w:w="1926" w:type="dxa"/>
          </w:tcPr>
          <w:p w14:paraId="7724CF1A">
            <w:pPr>
              <w:pStyle w:val="24"/>
              <w:jc w:val="center"/>
            </w:pPr>
            <w:r>
              <w:t>Base</w:t>
            </w:r>
          </w:p>
        </w:tc>
        <w:tc>
          <w:tcPr>
            <w:tcW w:w="1926" w:type="dxa"/>
          </w:tcPr>
          <w:p w14:paraId="5A2A0145">
            <w:pPr>
              <w:pStyle w:val="24"/>
              <w:jc w:val="center"/>
            </w:pPr>
            <w:r>
              <w:t>58.15</w:t>
            </w:r>
          </w:p>
        </w:tc>
        <w:tc>
          <w:tcPr>
            <w:tcW w:w="1926" w:type="dxa"/>
          </w:tcPr>
          <w:p w14:paraId="187F9267">
            <w:pPr>
              <w:pStyle w:val="24"/>
              <w:jc w:val="center"/>
            </w:pPr>
            <w:r>
              <w:t>67.21</w:t>
            </w:r>
          </w:p>
        </w:tc>
        <w:tc>
          <w:tcPr>
            <w:tcW w:w="1926" w:type="dxa"/>
          </w:tcPr>
          <w:p w14:paraId="71204731">
            <w:pPr>
              <w:pStyle w:val="24"/>
              <w:jc w:val="center"/>
            </w:pPr>
            <w:r>
              <w:t>65.95</w:t>
            </w:r>
          </w:p>
        </w:tc>
      </w:tr>
      <w:tr w14:paraId="76CB1878">
        <w:tblPrEx>
          <w:tblCellMar>
            <w:top w:w="0" w:type="dxa"/>
            <w:left w:w="108" w:type="dxa"/>
            <w:bottom w:w="0" w:type="dxa"/>
            <w:right w:w="108" w:type="dxa"/>
          </w:tblCellMar>
        </w:tblPrEx>
        <w:tc>
          <w:tcPr>
            <w:tcW w:w="1926" w:type="dxa"/>
          </w:tcPr>
          <w:p w14:paraId="13A30D60">
            <w:pPr>
              <w:pStyle w:val="24"/>
              <w:jc w:val="center"/>
            </w:pPr>
            <w:r>
              <w:t>Role-play</w:t>
            </w:r>
          </w:p>
        </w:tc>
        <w:tc>
          <w:tcPr>
            <w:tcW w:w="1926" w:type="dxa"/>
          </w:tcPr>
          <w:p w14:paraId="7144DB30">
            <w:pPr>
              <w:pStyle w:val="24"/>
              <w:jc w:val="center"/>
            </w:pPr>
            <w:r>
              <w:t>58.64</w:t>
            </w:r>
          </w:p>
        </w:tc>
        <w:tc>
          <w:tcPr>
            <w:tcW w:w="1926" w:type="dxa"/>
          </w:tcPr>
          <w:p w14:paraId="7999ACEE">
            <w:pPr>
              <w:pStyle w:val="24"/>
              <w:jc w:val="center"/>
            </w:pPr>
            <w:r>
              <w:t>68.03</w:t>
            </w:r>
          </w:p>
        </w:tc>
        <w:tc>
          <w:tcPr>
            <w:tcW w:w="1926" w:type="dxa"/>
          </w:tcPr>
          <w:p w14:paraId="178C2744">
            <w:pPr>
              <w:pStyle w:val="24"/>
              <w:jc w:val="center"/>
            </w:pPr>
            <w:r>
              <w:t>65.87</w:t>
            </w:r>
          </w:p>
        </w:tc>
      </w:tr>
      <w:tr w14:paraId="0DE3D366">
        <w:tblPrEx>
          <w:tblCellMar>
            <w:top w:w="0" w:type="dxa"/>
            <w:left w:w="108" w:type="dxa"/>
            <w:bottom w:w="0" w:type="dxa"/>
            <w:right w:w="108" w:type="dxa"/>
          </w:tblCellMar>
        </w:tblPrEx>
        <w:tc>
          <w:tcPr>
            <w:tcW w:w="1926" w:type="dxa"/>
          </w:tcPr>
          <w:p w14:paraId="68769958">
            <w:pPr>
              <w:pStyle w:val="24"/>
              <w:jc w:val="center"/>
            </w:pPr>
            <w:r>
              <w:t>MD</w:t>
            </w:r>
          </w:p>
        </w:tc>
        <w:tc>
          <w:tcPr>
            <w:tcW w:w="1926" w:type="dxa"/>
          </w:tcPr>
          <w:p w14:paraId="28E5B896">
            <w:pPr>
              <w:pStyle w:val="24"/>
              <w:jc w:val="center"/>
            </w:pPr>
            <w:r>
              <w:t>65.36</w:t>
            </w:r>
          </w:p>
        </w:tc>
        <w:tc>
          <w:tcPr>
            <w:tcW w:w="1926" w:type="dxa"/>
          </w:tcPr>
          <w:p w14:paraId="0FE71063">
            <w:pPr>
              <w:pStyle w:val="24"/>
              <w:jc w:val="center"/>
            </w:pPr>
            <w:r>
              <w:t>51.59</w:t>
            </w:r>
          </w:p>
        </w:tc>
        <w:tc>
          <w:tcPr>
            <w:tcW w:w="1926" w:type="dxa"/>
          </w:tcPr>
          <w:p w14:paraId="2E6C5ACA">
            <w:pPr>
              <w:pStyle w:val="24"/>
              <w:jc w:val="center"/>
            </w:pPr>
            <w:r>
              <w:t>66.48</w:t>
            </w:r>
          </w:p>
        </w:tc>
      </w:tr>
      <w:tr w14:paraId="44CAEAD8">
        <w:tblPrEx>
          <w:tblCellMar>
            <w:top w:w="0" w:type="dxa"/>
            <w:left w:w="108" w:type="dxa"/>
            <w:bottom w:w="0" w:type="dxa"/>
            <w:right w:w="108" w:type="dxa"/>
          </w:tblCellMar>
        </w:tblPrEx>
        <w:tc>
          <w:tcPr>
            <w:tcW w:w="1926" w:type="dxa"/>
          </w:tcPr>
          <w:p w14:paraId="7831A5A0">
            <w:pPr>
              <w:pStyle w:val="24"/>
              <w:jc w:val="center"/>
            </w:pPr>
            <w:r>
              <w:t>MAD</w:t>
            </w:r>
          </w:p>
        </w:tc>
        <w:tc>
          <w:tcPr>
            <w:tcW w:w="1926" w:type="dxa"/>
          </w:tcPr>
          <w:p w14:paraId="23ABE676">
            <w:pPr>
              <w:pStyle w:val="24"/>
              <w:jc w:val="center"/>
            </w:pPr>
            <w:r>
              <w:t>64.68</w:t>
            </w:r>
          </w:p>
        </w:tc>
        <w:tc>
          <w:tcPr>
            <w:tcW w:w="1926" w:type="dxa"/>
          </w:tcPr>
          <w:p w14:paraId="14B4EFBF">
            <w:pPr>
              <w:pStyle w:val="24"/>
              <w:jc w:val="center"/>
            </w:pPr>
            <w:r>
              <w:t>69.03</w:t>
            </w:r>
          </w:p>
        </w:tc>
        <w:tc>
          <w:tcPr>
            <w:tcW w:w="1926" w:type="dxa"/>
          </w:tcPr>
          <w:p w14:paraId="7C5E32AC">
            <w:pPr>
              <w:pStyle w:val="24"/>
              <w:jc w:val="center"/>
            </w:pPr>
            <w:r>
              <w:t>66.23</w:t>
            </w:r>
          </w:p>
        </w:tc>
      </w:tr>
      <w:tr w14:paraId="55167C9C">
        <w:tblPrEx>
          <w:tblCellMar>
            <w:top w:w="0" w:type="dxa"/>
            <w:left w:w="108" w:type="dxa"/>
            <w:bottom w:w="0" w:type="dxa"/>
            <w:right w:w="108" w:type="dxa"/>
          </w:tblCellMar>
        </w:tblPrEx>
        <w:tc>
          <w:tcPr>
            <w:tcW w:w="1926" w:type="dxa"/>
          </w:tcPr>
          <w:p w14:paraId="37A02BC6">
            <w:pPr>
              <w:pStyle w:val="24"/>
              <w:jc w:val="center"/>
            </w:pPr>
            <w:r>
              <w:t>MACD</w:t>
            </w:r>
          </w:p>
        </w:tc>
        <w:tc>
          <w:tcPr>
            <w:tcW w:w="1926" w:type="dxa"/>
          </w:tcPr>
          <w:p w14:paraId="16BC1377">
            <w:pPr>
              <w:pStyle w:val="24"/>
              <w:jc w:val="center"/>
            </w:pPr>
            <w:r>
              <w:t>60.24</w:t>
            </w:r>
          </w:p>
        </w:tc>
        <w:tc>
          <w:tcPr>
            <w:tcW w:w="1926" w:type="dxa"/>
          </w:tcPr>
          <w:p w14:paraId="4843691D">
            <w:pPr>
              <w:pStyle w:val="24"/>
              <w:jc w:val="center"/>
            </w:pPr>
            <w:r>
              <w:t>66.10</w:t>
            </w:r>
          </w:p>
        </w:tc>
        <w:tc>
          <w:tcPr>
            <w:tcW w:w="1926" w:type="dxa"/>
          </w:tcPr>
          <w:p w14:paraId="5D244FCE">
            <w:pPr>
              <w:pStyle w:val="24"/>
              <w:jc w:val="center"/>
            </w:pPr>
            <w:r>
              <w:t>66.33</w:t>
            </w:r>
          </w:p>
        </w:tc>
      </w:tr>
      <w:tr w14:paraId="210DC106">
        <w:tblPrEx>
          <w:tblCellMar>
            <w:top w:w="0" w:type="dxa"/>
            <w:left w:w="108" w:type="dxa"/>
            <w:bottom w:w="0" w:type="dxa"/>
            <w:right w:w="108" w:type="dxa"/>
          </w:tblCellMar>
        </w:tblPrEx>
        <w:tc>
          <w:tcPr>
            <w:tcW w:w="1926" w:type="dxa"/>
          </w:tcPr>
          <w:p w14:paraId="5AB7404A">
            <w:pPr>
              <w:pStyle w:val="24"/>
              <w:jc w:val="center"/>
            </w:pPr>
            <w:r>
              <w:t>OG-MAR</w:t>
            </w:r>
          </w:p>
        </w:tc>
        <w:tc>
          <w:tcPr>
            <w:tcW w:w="1926" w:type="dxa"/>
          </w:tcPr>
          <w:p w14:paraId="432A4BFF">
            <w:pPr>
              <w:pStyle w:val="24"/>
              <w:jc w:val="center"/>
            </w:pPr>
            <w:r>
              <w:t>59.36</w:t>
            </w:r>
          </w:p>
        </w:tc>
        <w:tc>
          <w:tcPr>
            <w:tcW w:w="1926" w:type="dxa"/>
          </w:tcPr>
          <w:p w14:paraId="48B24BCE">
            <w:pPr>
              <w:pStyle w:val="24"/>
              <w:jc w:val="center"/>
            </w:pPr>
            <w:r>
              <w:t>63.98</w:t>
            </w:r>
          </w:p>
        </w:tc>
        <w:tc>
          <w:tcPr>
            <w:tcW w:w="1926" w:type="dxa"/>
          </w:tcPr>
          <w:p w14:paraId="7B12F353">
            <w:pPr>
              <w:pStyle w:val="24"/>
              <w:jc w:val="center"/>
            </w:pPr>
            <w:r>
              <w:t>63.61</w:t>
            </w:r>
          </w:p>
        </w:tc>
      </w:tr>
      <w:tr w14:paraId="40173F2F">
        <w:tblPrEx>
          <w:tblCellMar>
            <w:top w:w="0" w:type="dxa"/>
            <w:left w:w="108" w:type="dxa"/>
            <w:bottom w:w="0" w:type="dxa"/>
            <w:right w:w="108" w:type="dxa"/>
          </w:tblCellMar>
        </w:tblPrEx>
        <w:tc>
          <w:tcPr>
            <w:tcW w:w="1926" w:type="dxa"/>
          </w:tcPr>
          <w:p w14:paraId="27B2BF0D">
            <w:pPr>
              <w:pStyle w:val="24"/>
              <w:jc w:val="center"/>
            </w:pPr>
            <w:r>
              <w:rPr>
                <w:b/>
                <w:bCs/>
              </w:rPr>
              <w:t>HF-CAC</w:t>
            </w:r>
          </w:p>
        </w:tc>
        <w:tc>
          <w:tcPr>
            <w:tcW w:w="1926" w:type="dxa"/>
          </w:tcPr>
          <w:p w14:paraId="0F580E39">
            <w:pPr>
              <w:pStyle w:val="24"/>
              <w:jc w:val="center"/>
            </w:pPr>
            <w:r>
              <w:rPr>
                <w:b/>
                <w:bCs/>
              </w:rPr>
              <w:t>65.86</w:t>
            </w:r>
          </w:p>
        </w:tc>
        <w:tc>
          <w:tcPr>
            <w:tcW w:w="1926" w:type="dxa"/>
          </w:tcPr>
          <w:p w14:paraId="40265289">
            <w:pPr>
              <w:pStyle w:val="24"/>
              <w:jc w:val="center"/>
            </w:pPr>
            <w:r>
              <w:rPr>
                <w:b/>
                <w:bCs/>
              </w:rPr>
              <w:t>72.37</w:t>
            </w:r>
          </w:p>
        </w:tc>
        <w:tc>
          <w:tcPr>
            <w:tcW w:w="1926" w:type="dxa"/>
          </w:tcPr>
          <w:p w14:paraId="19392398">
            <w:pPr>
              <w:pStyle w:val="24"/>
              <w:jc w:val="center"/>
            </w:pPr>
            <w:r>
              <w:rPr>
                <w:b/>
                <w:bCs/>
              </w:rPr>
              <w:t>67.25</w:t>
            </w:r>
          </w:p>
        </w:tc>
      </w:tr>
    </w:tbl>
    <w:p w14:paraId="56DFB40E">
      <w:pPr>
        <w:pStyle w:val="3"/>
      </w:pPr>
      <w:r>
        <w:rPr>
          <w:rFonts w:hint="eastAsia"/>
          <w:i/>
          <w:iCs/>
        </w:rPr>
        <w:t>表</w:t>
      </w:r>
      <w:r>
        <w:rPr>
          <w:i/>
          <w:iCs/>
        </w:rPr>
        <w:t xml:space="preserve"> </w:t>
      </w:r>
      <w:r>
        <w:rPr>
          <w:rFonts w:hint="eastAsia"/>
          <w:i/>
          <w:iCs/>
        </w:rPr>
        <w:t>1：HF-CAC</w:t>
      </w:r>
      <w:r>
        <w:rPr>
          <w:i/>
          <w:iCs/>
        </w:rPr>
        <w:t xml:space="preserve"> </w:t>
      </w:r>
      <w:r>
        <w:rPr>
          <w:rFonts w:hint="eastAsia"/>
          <w:i/>
          <w:iCs/>
        </w:rPr>
        <w:t>与零样本基线及多智能体基线在三个数据集、两个基座模型上的准确率（%）对比</w:t>
      </w:r>
      <w:r>
        <w:rPr>
          <w:i/>
          <w:iCs/>
        </w:rPr>
        <w:t>。</w:t>
      </w:r>
    </w:p>
    <w:bookmarkEnd w:id="14"/>
    <w:p w14:paraId="5F0B6FF3">
      <w:pPr>
        <w:pStyle w:val="5"/>
      </w:pPr>
      <w:bookmarkStart w:id="15" w:name="结构分析"/>
      <w:r>
        <w:rPr>
          <w:rFonts w:hint="eastAsia"/>
          <w:b/>
          <w:bCs/>
          <w:lang w:val="en-US" w:eastAsia="zh-CN"/>
        </w:rPr>
        <w:t>分析实验</w:t>
      </w:r>
    </w:p>
    <w:p w14:paraId="1C36B9F4">
      <w:pPr>
        <w:pStyle w:val="47"/>
      </w:pPr>
      <w:r>
        <w:drawing>
          <wp:inline distT="0" distB="0" distL="0" distR="0">
            <wp:extent cx="5334000" cy="3925570"/>
            <wp:effectExtent l="0" t="0" r="0" b="0"/>
            <wp:docPr id="200" name="Picture" descr="(a) 智能体数量分析与 (b) 协商轮次分析（Qwen 与 L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descr="(a) 智能体数量分析与 (b) 协商轮次分析（Qwen 与 Llama）"/>
                    <pic:cNvPicPr>
                      <a:picLocks noChangeAspect="1" noChangeArrowheads="1"/>
                    </pic:cNvPicPr>
                  </pic:nvPicPr>
                  <pic:blipFill>
                    <a:blip r:embed="rId5"/>
                    <a:stretch>
                      <a:fillRect/>
                    </a:stretch>
                  </pic:blipFill>
                  <pic:spPr>
                    <a:xfrm>
                      <a:off x="0" y="0"/>
                      <a:ext cx="5334000" cy="3925824"/>
                    </a:xfrm>
                    <a:prstGeom prst="rect">
                      <a:avLst/>
                    </a:prstGeom>
                    <a:noFill/>
                    <a:ln w="9525">
                      <a:noFill/>
                    </a:ln>
                  </pic:spPr>
                </pic:pic>
              </a:graphicData>
            </a:graphic>
          </wp:inline>
        </w:drawing>
      </w:r>
    </w:p>
    <w:p w14:paraId="1C36B9F5">
      <w:pPr>
        <w:pStyle w:val="3"/>
      </w:pPr>
      <w:r>
        <w:rPr>
          <w:rFonts w:hint="eastAsia"/>
          <w:i/>
          <w:iCs/>
        </w:rPr>
        <w:t>图</w:t>
      </w:r>
      <w:r>
        <w:rPr>
          <w:i/>
          <w:iCs/>
        </w:rPr>
        <w:t xml:space="preserve"> </w:t>
      </w:r>
      <w:r>
        <w:rPr>
          <w:rFonts w:hint="eastAsia"/>
          <w:i/>
          <w:iCs/>
        </w:rPr>
        <w:t>3：(a)</w:t>
      </w:r>
      <w:r>
        <w:rPr>
          <w:i/>
          <w:iCs/>
        </w:rPr>
        <w:t xml:space="preserve"> </w:t>
      </w:r>
      <w:r>
        <w:rPr>
          <w:rFonts w:hint="eastAsia"/>
          <w:i/>
          <w:iCs/>
        </w:rPr>
        <w:t>智能体数量对准确率的影响；(b)</w:t>
      </w:r>
      <w:r>
        <w:rPr>
          <w:i/>
          <w:iCs/>
        </w:rPr>
        <w:t xml:space="preserve"> </w:t>
      </w:r>
      <w:r>
        <w:rPr>
          <w:rFonts w:hint="eastAsia"/>
          <w:i/>
          <w:iCs/>
        </w:rPr>
        <w:t>协商轮次对准确率的影响。</w:t>
      </w:r>
    </w:p>
    <w:p w14:paraId="7A889E6D">
      <w:pPr>
        <w:pStyle w:val="3"/>
      </w:pPr>
      <w:r>
        <w:rPr>
          <w:rFonts w:hint="eastAsia"/>
        </w:rPr>
        <w:t>为进一步理解</w:t>
      </w:r>
      <w:r>
        <w:t xml:space="preserve"> HF-CAC </w:t>
      </w:r>
      <w:r>
        <w:rPr>
          <w:rFonts w:hint="eastAsia"/>
        </w:rPr>
        <w:t>性能的来源，本文考察了智能体数量与协商轮次两个结构性因素对最终准确率的影响，结果如图</w:t>
      </w:r>
      <w:r>
        <w:t xml:space="preserve"> 3 </w:t>
      </w:r>
      <w:r>
        <w:rPr>
          <w:rFonts w:hint="eastAsia"/>
        </w:rPr>
        <w:t>所示。整体而言，两个基座上的准确率均随智能体数量增加呈现总体上升的趋势，但上升速率与饱和点因数据集而异，其中</w:t>
      </w:r>
      <w:r>
        <w:t xml:space="preserve"> Llama </w:t>
      </w:r>
      <w:r>
        <w:rPr>
          <w:rFonts w:hint="eastAsia"/>
        </w:rPr>
        <w:t>基座的趋势更为平滑单调，而</w:t>
      </w:r>
      <w:r>
        <w:t xml:space="preserve"> Qwen </w:t>
      </w:r>
      <w:r>
        <w:rPr>
          <w:rFonts w:hint="eastAsia"/>
        </w:rPr>
        <w:t>基座上个别数据集出现了非单调的波动，说明智能体数量的影响并非简单的"越多越好"，而是与协商结构本身的设计密切相关。基于图</w:t>
      </w:r>
      <w:r>
        <w:t xml:space="preserve"> 3 </w:t>
      </w:r>
      <w:r>
        <w:rPr>
          <w:rFonts w:hint="eastAsia"/>
        </w:rPr>
        <w:t>中的权衡结果，本文在主实验中统一采用六个智能体作为默认配置，该配置在两个基座上均取得了具有竞争力的结果。</w:t>
      </w:r>
    </w:p>
    <w:bookmarkEnd w:id="13"/>
    <w:bookmarkEnd w:id="15"/>
    <w:p w14:paraId="6632C52A">
      <w:pPr>
        <w:pStyle w:val="4"/>
      </w:pPr>
      <w:r>
        <w:rPr>
          <w:b/>
          <w:bCs/>
        </w:rPr>
        <w:t xml:space="preserve">5.2 </w:t>
      </w:r>
      <w:r>
        <w:rPr>
          <w:rFonts w:hint="eastAsia"/>
          <w:b/>
          <w:bCs/>
        </w:rPr>
        <w:t>问题二：CAHAD</w:t>
      </w:r>
      <w:r>
        <w:rPr>
          <w:b/>
          <w:bCs/>
        </w:rPr>
        <w:t xml:space="preserve"> </w:t>
      </w:r>
      <w:r>
        <w:rPr>
          <w:rFonts w:hint="eastAsia"/>
          <w:b/>
          <w:bCs/>
        </w:rPr>
        <w:t>的主结果与部署效率分析</w:t>
      </w:r>
    </w:p>
    <w:p w14:paraId="44C2C8FB">
      <w:pPr>
        <w:pStyle w:val="5"/>
      </w:pPr>
      <w:bookmarkStart w:id="16" w:name="主对比实验-1"/>
      <w:r>
        <w:rPr>
          <w:rFonts w:hint="eastAsia"/>
          <w:b/>
          <w:bCs/>
        </w:rPr>
        <w:t>主对比实验</w:t>
      </w:r>
    </w:p>
    <w:p w14:paraId="7FA50E29">
      <w:pPr>
        <w:pStyle w:val="23"/>
      </w:pPr>
      <w:r>
        <w:t>表 2 给出了 CAHAD 与零样本基线（Base、Role-play）、单教师基线（SFT）以及多教师聚合基线（MAGDi、AgentArk）在三个数据集、两个基座模型上的准确率对比。CAHAD 在全部数据集与基座组合中均取得了优于其余单一模型基线的表现，说明本文提出的混合训练范式相较传统监督蒸馏与多教师聚合方法能够更充分地保留 HF-CAC 教师系统所蕴含的文化推理能力；结合表 1 的结果还可以发现，CAHAD 作为单一模型，其准确率已经能够较为接近甚至在部分设置下超越部分多智能体基线方法。</w:t>
      </w:r>
    </w:p>
    <w:tbl>
      <w:tblPr>
        <w:tblStyle w:val="41"/>
        <w:tblW w:w="4865" w:type="pct"/>
        <w:tblInd w:w="0" w:type="dxa"/>
        <w:tblLayout w:type="fixed"/>
        <w:tblCellMar>
          <w:top w:w="0" w:type="dxa"/>
          <w:left w:w="108" w:type="dxa"/>
          <w:bottom w:w="0" w:type="dxa"/>
          <w:right w:w="108" w:type="dxa"/>
        </w:tblCellMar>
      </w:tblPr>
      <w:tblGrid>
        <w:gridCol w:w="2155"/>
        <w:gridCol w:w="2154"/>
        <w:gridCol w:w="2154"/>
        <w:gridCol w:w="2154"/>
      </w:tblGrid>
      <w:tr w14:paraId="37C801B4">
        <w:tblPrEx>
          <w:tblCellMar>
            <w:top w:w="0" w:type="dxa"/>
            <w:left w:w="108" w:type="dxa"/>
            <w:bottom w:w="0" w:type="dxa"/>
            <w:right w:w="108" w:type="dxa"/>
          </w:tblCellMar>
        </w:tblPrEx>
        <w:trPr>
          <w:tblHeader/>
        </w:trPr>
        <w:tc>
          <w:tcPr>
            <w:tcW w:w="1926" w:type="dxa"/>
            <w:tcBorders>
              <w:bottom w:val="single" w:color="auto" w:sz="0" w:space="0"/>
              <w:insideH w:val="single" w:sz="0" w:space="0"/>
            </w:tcBorders>
            <w:vAlign w:val="bottom"/>
          </w:tcPr>
          <w:p w14:paraId="7A1D37F2">
            <w:pPr>
              <w:pStyle w:val="24"/>
              <w:jc w:val="center"/>
            </w:pPr>
            <w:r>
              <w:rPr>
                <w:b/>
                <w:bCs/>
              </w:rPr>
              <w:t>Method</w:t>
            </w:r>
          </w:p>
        </w:tc>
        <w:tc>
          <w:tcPr>
            <w:tcW w:w="1926" w:type="dxa"/>
            <w:tcBorders>
              <w:bottom w:val="single" w:color="auto" w:sz="0" w:space="0"/>
              <w:insideH w:val="single" w:sz="0" w:space="0"/>
            </w:tcBorders>
            <w:vAlign w:val="bottom"/>
          </w:tcPr>
          <w:p w14:paraId="4DF84543">
            <w:pPr>
              <w:pStyle w:val="24"/>
              <w:jc w:val="center"/>
            </w:pPr>
            <w:r>
              <w:rPr>
                <w:b/>
                <w:bCs/>
              </w:rPr>
              <w:t>NormAd</w:t>
            </w:r>
          </w:p>
        </w:tc>
        <w:tc>
          <w:tcPr>
            <w:tcW w:w="1926" w:type="dxa"/>
            <w:tcBorders>
              <w:bottom w:val="single" w:color="auto" w:sz="0" w:space="0"/>
              <w:insideH w:val="single" w:sz="0" w:space="0"/>
            </w:tcBorders>
            <w:vAlign w:val="bottom"/>
          </w:tcPr>
          <w:p w14:paraId="4885E90A">
            <w:pPr>
              <w:pStyle w:val="24"/>
              <w:jc w:val="center"/>
            </w:pPr>
            <w:r>
              <w:rPr>
                <w:b/>
                <w:bCs/>
              </w:rPr>
              <w:t>C</w:t>
            </w:r>
            <w:r>
              <w:rPr>
                <w:rFonts w:hint="eastAsia"/>
                <w:b/>
                <w:bCs/>
              </w:rPr>
              <w:t>ultural</w:t>
            </w:r>
            <w:r>
              <w:rPr>
                <w:b/>
                <w:bCs/>
              </w:rPr>
              <w:t>B</w:t>
            </w:r>
            <w:r>
              <w:rPr>
                <w:rFonts w:hint="eastAsia"/>
                <w:b/>
                <w:bCs/>
              </w:rPr>
              <w:t>ench</w:t>
            </w:r>
          </w:p>
        </w:tc>
        <w:tc>
          <w:tcPr>
            <w:tcW w:w="1926" w:type="dxa"/>
            <w:tcBorders>
              <w:bottom w:val="single" w:color="auto" w:sz="0" w:space="0"/>
              <w:insideH w:val="single" w:sz="0" w:space="0"/>
            </w:tcBorders>
            <w:vAlign w:val="bottom"/>
          </w:tcPr>
          <w:p w14:paraId="544A0C55">
            <w:pPr>
              <w:pStyle w:val="24"/>
              <w:jc w:val="center"/>
            </w:pPr>
            <w:r>
              <w:rPr>
                <w:b/>
                <w:bCs/>
              </w:rPr>
              <w:t>BLEnD</w:t>
            </w:r>
          </w:p>
        </w:tc>
      </w:tr>
      <w:tr w14:paraId="164EB17A">
        <w:tblPrEx>
          <w:tblCellMar>
            <w:top w:w="0" w:type="dxa"/>
            <w:left w:w="108" w:type="dxa"/>
            <w:bottom w:w="0" w:type="dxa"/>
            <w:right w:w="108" w:type="dxa"/>
          </w:tblCellMar>
        </w:tblPrEx>
        <w:tc>
          <w:tcPr>
            <w:tcW w:w="7704" w:type="dxa"/>
            <w:gridSpan w:val="4"/>
          </w:tcPr>
          <w:p w14:paraId="0EF634A7">
            <w:pPr>
              <w:pStyle w:val="24"/>
              <w:jc w:val="center"/>
            </w:pPr>
            <w:r>
              <w:rPr>
                <w:b/>
                <w:bCs/>
              </w:rPr>
              <w:t>Qwen2.5-7B-Instruct as backbone model</w:t>
            </w:r>
          </w:p>
        </w:tc>
      </w:tr>
      <w:tr w14:paraId="3DE1C0B7">
        <w:tblPrEx>
          <w:tblCellMar>
            <w:top w:w="0" w:type="dxa"/>
            <w:left w:w="108" w:type="dxa"/>
            <w:bottom w:w="0" w:type="dxa"/>
            <w:right w:w="108" w:type="dxa"/>
          </w:tblCellMar>
        </w:tblPrEx>
        <w:tc>
          <w:tcPr>
            <w:tcW w:w="7704" w:type="dxa"/>
            <w:gridSpan w:val="4"/>
          </w:tcPr>
          <w:p w14:paraId="63FB61BF">
            <w:pPr>
              <w:pStyle w:val="24"/>
              <w:jc w:val="center"/>
            </w:pPr>
            <w:r>
              <w:rPr>
                <w:rFonts w:hint="eastAsia"/>
                <w:i/>
                <w:iCs/>
              </w:rPr>
              <w:t>零样本方法（Zero-shot）</w:t>
            </w:r>
          </w:p>
        </w:tc>
      </w:tr>
      <w:tr w14:paraId="167CD79B">
        <w:tc>
          <w:tcPr>
            <w:tcW w:w="1926" w:type="dxa"/>
          </w:tcPr>
          <w:p w14:paraId="18AB0EA4">
            <w:pPr>
              <w:pStyle w:val="24"/>
              <w:jc w:val="center"/>
            </w:pPr>
            <w:r>
              <w:t>Base</w:t>
            </w:r>
          </w:p>
        </w:tc>
        <w:tc>
          <w:tcPr>
            <w:tcW w:w="1926" w:type="dxa"/>
          </w:tcPr>
          <w:p w14:paraId="755D5B1A">
            <w:pPr>
              <w:pStyle w:val="24"/>
              <w:jc w:val="center"/>
            </w:pPr>
            <w:r>
              <w:t>59.78</w:t>
            </w:r>
          </w:p>
        </w:tc>
        <w:tc>
          <w:tcPr>
            <w:tcW w:w="1926" w:type="dxa"/>
          </w:tcPr>
          <w:p w14:paraId="197CF71F">
            <w:pPr>
              <w:pStyle w:val="24"/>
              <w:jc w:val="center"/>
            </w:pPr>
            <w:r>
              <w:t>72.13</w:t>
            </w:r>
          </w:p>
        </w:tc>
        <w:tc>
          <w:tcPr>
            <w:tcW w:w="1926" w:type="dxa"/>
          </w:tcPr>
          <w:p w14:paraId="6A2131B5">
            <w:pPr>
              <w:pStyle w:val="24"/>
              <w:jc w:val="center"/>
            </w:pPr>
            <w:r>
              <w:t>66.09</w:t>
            </w:r>
          </w:p>
        </w:tc>
      </w:tr>
      <w:tr w14:paraId="16B4C3A3">
        <w:tblPrEx>
          <w:tblCellMar>
            <w:top w:w="0" w:type="dxa"/>
            <w:left w:w="108" w:type="dxa"/>
            <w:bottom w:w="0" w:type="dxa"/>
            <w:right w:w="108" w:type="dxa"/>
          </w:tblCellMar>
        </w:tblPrEx>
        <w:tc>
          <w:tcPr>
            <w:tcW w:w="1926" w:type="dxa"/>
          </w:tcPr>
          <w:p w14:paraId="4E680988">
            <w:pPr>
              <w:pStyle w:val="24"/>
              <w:jc w:val="center"/>
            </w:pPr>
            <w:r>
              <w:t>Role-play</w:t>
            </w:r>
          </w:p>
        </w:tc>
        <w:tc>
          <w:tcPr>
            <w:tcW w:w="1926" w:type="dxa"/>
          </w:tcPr>
          <w:p w14:paraId="08429767">
            <w:pPr>
              <w:pStyle w:val="24"/>
              <w:jc w:val="center"/>
            </w:pPr>
            <w:r>
              <w:t>59.51</w:t>
            </w:r>
          </w:p>
        </w:tc>
        <w:tc>
          <w:tcPr>
            <w:tcW w:w="1926" w:type="dxa"/>
          </w:tcPr>
          <w:p w14:paraId="7DB6FA98">
            <w:pPr>
              <w:pStyle w:val="24"/>
              <w:jc w:val="center"/>
            </w:pPr>
            <w:r>
              <w:t>71.31</w:t>
            </w:r>
          </w:p>
        </w:tc>
        <w:tc>
          <w:tcPr>
            <w:tcW w:w="1926" w:type="dxa"/>
          </w:tcPr>
          <w:p w14:paraId="6FB8918D">
            <w:pPr>
              <w:pStyle w:val="24"/>
              <w:jc w:val="center"/>
            </w:pPr>
            <w:r>
              <w:t>66.52</w:t>
            </w:r>
          </w:p>
        </w:tc>
      </w:tr>
      <w:tr w14:paraId="42EB6912">
        <w:tblPrEx>
          <w:tblCellMar>
            <w:top w:w="0" w:type="dxa"/>
            <w:left w:w="108" w:type="dxa"/>
            <w:bottom w:w="0" w:type="dxa"/>
            <w:right w:w="108" w:type="dxa"/>
          </w:tblCellMar>
        </w:tblPrEx>
        <w:tc>
          <w:tcPr>
            <w:tcW w:w="7704" w:type="dxa"/>
            <w:gridSpan w:val="4"/>
          </w:tcPr>
          <w:p w14:paraId="2FC20FF8">
            <w:pPr>
              <w:pStyle w:val="24"/>
              <w:jc w:val="center"/>
            </w:pPr>
            <w:r>
              <w:rPr>
                <w:rFonts w:hint="eastAsia"/>
                <w:i/>
                <w:iCs/>
              </w:rPr>
              <w:t>单教师蒸馏（Single-Teacher</w:t>
            </w:r>
            <w:r>
              <w:rPr>
                <w:i/>
                <w:iCs/>
              </w:rPr>
              <w:t xml:space="preserve"> </w:t>
            </w:r>
            <w:r>
              <w:rPr>
                <w:rFonts w:hint="eastAsia"/>
                <w:i/>
                <w:iCs/>
              </w:rPr>
              <w:t>Distillation）</w:t>
            </w:r>
          </w:p>
        </w:tc>
      </w:tr>
      <w:tr w14:paraId="703F1A85">
        <w:tblPrEx>
          <w:tblCellMar>
            <w:top w:w="0" w:type="dxa"/>
            <w:left w:w="108" w:type="dxa"/>
            <w:bottom w:w="0" w:type="dxa"/>
            <w:right w:w="108" w:type="dxa"/>
          </w:tblCellMar>
        </w:tblPrEx>
        <w:tc>
          <w:tcPr>
            <w:tcW w:w="1926" w:type="dxa"/>
          </w:tcPr>
          <w:p w14:paraId="5C2AB86C">
            <w:pPr>
              <w:pStyle w:val="24"/>
              <w:jc w:val="center"/>
            </w:pPr>
            <w:r>
              <w:t>SFT</w:t>
            </w:r>
          </w:p>
        </w:tc>
        <w:tc>
          <w:tcPr>
            <w:tcW w:w="1926" w:type="dxa"/>
          </w:tcPr>
          <w:p w14:paraId="6DF1DBC0">
            <w:pPr>
              <w:pStyle w:val="24"/>
              <w:jc w:val="center"/>
            </w:pPr>
            <w:r>
              <w:t>65.15</w:t>
            </w:r>
          </w:p>
        </w:tc>
        <w:tc>
          <w:tcPr>
            <w:tcW w:w="1926" w:type="dxa"/>
          </w:tcPr>
          <w:p w14:paraId="728850C1">
            <w:pPr>
              <w:pStyle w:val="24"/>
              <w:jc w:val="center"/>
            </w:pPr>
            <w:r>
              <w:t>66.13</w:t>
            </w:r>
          </w:p>
        </w:tc>
        <w:tc>
          <w:tcPr>
            <w:tcW w:w="1926" w:type="dxa"/>
          </w:tcPr>
          <w:p w14:paraId="728EEDA0">
            <w:pPr>
              <w:pStyle w:val="24"/>
              <w:jc w:val="center"/>
            </w:pPr>
            <w:r>
              <w:t>68.26</w:t>
            </w:r>
          </w:p>
        </w:tc>
      </w:tr>
      <w:tr w14:paraId="72B65346">
        <w:tblPrEx>
          <w:tblCellMar>
            <w:top w:w="0" w:type="dxa"/>
            <w:left w:w="108" w:type="dxa"/>
            <w:bottom w:w="0" w:type="dxa"/>
            <w:right w:w="108" w:type="dxa"/>
          </w:tblCellMar>
        </w:tblPrEx>
        <w:tc>
          <w:tcPr>
            <w:tcW w:w="7704" w:type="dxa"/>
            <w:gridSpan w:val="4"/>
          </w:tcPr>
          <w:p w14:paraId="3FE942D9">
            <w:pPr>
              <w:pStyle w:val="24"/>
              <w:jc w:val="center"/>
            </w:pPr>
            <w:r>
              <w:rPr>
                <w:rFonts w:hint="eastAsia"/>
                <w:i/>
                <w:iCs/>
              </w:rPr>
              <w:t>多教师蒸馏（Multi-Teacher</w:t>
            </w:r>
            <w:r>
              <w:rPr>
                <w:i/>
                <w:iCs/>
              </w:rPr>
              <w:t xml:space="preserve"> </w:t>
            </w:r>
            <w:r>
              <w:rPr>
                <w:rFonts w:hint="eastAsia"/>
                <w:i/>
                <w:iCs/>
              </w:rPr>
              <w:t>Distillation）</w:t>
            </w:r>
          </w:p>
        </w:tc>
      </w:tr>
      <w:tr w14:paraId="14082B62">
        <w:tblPrEx>
          <w:tblCellMar>
            <w:top w:w="0" w:type="dxa"/>
            <w:left w:w="108" w:type="dxa"/>
            <w:bottom w:w="0" w:type="dxa"/>
            <w:right w:w="108" w:type="dxa"/>
          </w:tblCellMar>
        </w:tblPrEx>
        <w:tc>
          <w:tcPr>
            <w:tcW w:w="1926" w:type="dxa"/>
          </w:tcPr>
          <w:p w14:paraId="57A59977">
            <w:pPr>
              <w:pStyle w:val="24"/>
              <w:jc w:val="center"/>
            </w:pPr>
            <w:r>
              <w:t>MAGDi</w:t>
            </w:r>
          </w:p>
        </w:tc>
        <w:tc>
          <w:tcPr>
            <w:tcW w:w="1926" w:type="dxa"/>
          </w:tcPr>
          <w:p w14:paraId="06FD5FF2">
            <w:pPr>
              <w:pStyle w:val="24"/>
              <w:jc w:val="center"/>
            </w:pPr>
            <w:r>
              <w:t>65.02</w:t>
            </w:r>
          </w:p>
        </w:tc>
        <w:tc>
          <w:tcPr>
            <w:tcW w:w="1926" w:type="dxa"/>
          </w:tcPr>
          <w:p w14:paraId="4156881A">
            <w:pPr>
              <w:pStyle w:val="24"/>
              <w:jc w:val="center"/>
            </w:pPr>
            <w:r>
              <w:t>72.95</w:t>
            </w:r>
          </w:p>
        </w:tc>
        <w:tc>
          <w:tcPr>
            <w:tcW w:w="1926" w:type="dxa"/>
          </w:tcPr>
          <w:p w14:paraId="2FB02856">
            <w:pPr>
              <w:pStyle w:val="24"/>
              <w:jc w:val="center"/>
            </w:pPr>
            <w:r>
              <w:t>67.86</w:t>
            </w:r>
          </w:p>
        </w:tc>
      </w:tr>
      <w:tr w14:paraId="4401B089">
        <w:tblPrEx>
          <w:tblCellMar>
            <w:top w:w="0" w:type="dxa"/>
            <w:left w:w="108" w:type="dxa"/>
            <w:bottom w:w="0" w:type="dxa"/>
            <w:right w:w="108" w:type="dxa"/>
          </w:tblCellMar>
        </w:tblPrEx>
        <w:tc>
          <w:tcPr>
            <w:tcW w:w="1926" w:type="dxa"/>
          </w:tcPr>
          <w:p w14:paraId="187514AA">
            <w:pPr>
              <w:pStyle w:val="24"/>
              <w:jc w:val="center"/>
            </w:pPr>
            <w:r>
              <w:t>AgentArk</w:t>
            </w:r>
          </w:p>
        </w:tc>
        <w:tc>
          <w:tcPr>
            <w:tcW w:w="1926" w:type="dxa"/>
          </w:tcPr>
          <w:p w14:paraId="5EA66ADD">
            <w:pPr>
              <w:pStyle w:val="24"/>
              <w:jc w:val="center"/>
            </w:pPr>
            <w:r>
              <w:t>65.40</w:t>
            </w:r>
          </w:p>
        </w:tc>
        <w:tc>
          <w:tcPr>
            <w:tcW w:w="1926" w:type="dxa"/>
          </w:tcPr>
          <w:p w14:paraId="315E8776">
            <w:pPr>
              <w:pStyle w:val="24"/>
              <w:jc w:val="center"/>
            </w:pPr>
            <w:r>
              <w:t>73.77</w:t>
            </w:r>
          </w:p>
        </w:tc>
        <w:tc>
          <w:tcPr>
            <w:tcW w:w="1926" w:type="dxa"/>
          </w:tcPr>
          <w:p w14:paraId="127F9848">
            <w:pPr>
              <w:pStyle w:val="24"/>
              <w:jc w:val="center"/>
            </w:pPr>
            <w:r>
              <w:t>68.06</w:t>
            </w:r>
          </w:p>
        </w:tc>
      </w:tr>
      <w:tr w14:paraId="6F464E6A">
        <w:tblPrEx>
          <w:tblCellMar>
            <w:top w:w="0" w:type="dxa"/>
            <w:left w:w="108" w:type="dxa"/>
            <w:bottom w:w="0" w:type="dxa"/>
            <w:right w:w="108" w:type="dxa"/>
          </w:tblCellMar>
        </w:tblPrEx>
        <w:tc>
          <w:tcPr>
            <w:tcW w:w="1926" w:type="dxa"/>
          </w:tcPr>
          <w:p w14:paraId="0FDE6252">
            <w:pPr>
              <w:pStyle w:val="24"/>
              <w:jc w:val="center"/>
            </w:pPr>
            <w:r>
              <w:rPr>
                <w:b/>
                <w:bCs/>
              </w:rPr>
              <w:t>CAHAD</w:t>
            </w:r>
          </w:p>
        </w:tc>
        <w:tc>
          <w:tcPr>
            <w:tcW w:w="1926" w:type="dxa"/>
          </w:tcPr>
          <w:p w14:paraId="616EA281">
            <w:pPr>
              <w:pStyle w:val="24"/>
              <w:jc w:val="center"/>
            </w:pPr>
            <w:r>
              <w:rPr>
                <w:b/>
                <w:bCs/>
              </w:rPr>
              <w:t>66.29</w:t>
            </w:r>
          </w:p>
        </w:tc>
        <w:tc>
          <w:tcPr>
            <w:tcW w:w="1926" w:type="dxa"/>
          </w:tcPr>
          <w:p w14:paraId="6C5D09F9">
            <w:pPr>
              <w:pStyle w:val="24"/>
              <w:jc w:val="center"/>
            </w:pPr>
            <w:r>
              <w:rPr>
                <w:b/>
                <w:bCs/>
              </w:rPr>
              <w:t>75.00</w:t>
            </w:r>
          </w:p>
        </w:tc>
        <w:tc>
          <w:tcPr>
            <w:tcW w:w="1926" w:type="dxa"/>
          </w:tcPr>
          <w:p w14:paraId="485490DD">
            <w:pPr>
              <w:pStyle w:val="24"/>
              <w:jc w:val="center"/>
            </w:pPr>
            <w:r>
              <w:rPr>
                <w:b/>
                <w:bCs/>
              </w:rPr>
              <w:t>68.57</w:t>
            </w:r>
          </w:p>
        </w:tc>
      </w:tr>
      <w:tr w14:paraId="363D8CF7">
        <w:tblPrEx>
          <w:tblCellMar>
            <w:top w:w="0" w:type="dxa"/>
            <w:left w:w="108" w:type="dxa"/>
            <w:bottom w:w="0" w:type="dxa"/>
            <w:right w:w="108" w:type="dxa"/>
          </w:tblCellMar>
        </w:tblPrEx>
        <w:tc>
          <w:tcPr>
            <w:tcW w:w="7704" w:type="dxa"/>
            <w:gridSpan w:val="4"/>
          </w:tcPr>
          <w:p w14:paraId="773B3A6E">
            <w:pPr>
              <w:pStyle w:val="24"/>
              <w:jc w:val="center"/>
            </w:pPr>
            <w:r>
              <w:rPr>
                <w:b/>
                <w:bCs/>
              </w:rPr>
              <w:t>Llama-3.1-8B-Instruct as backbone model</w:t>
            </w:r>
          </w:p>
        </w:tc>
      </w:tr>
      <w:tr w14:paraId="5D106F78">
        <w:tblPrEx>
          <w:tblCellMar>
            <w:top w:w="0" w:type="dxa"/>
            <w:left w:w="108" w:type="dxa"/>
            <w:bottom w:w="0" w:type="dxa"/>
            <w:right w:w="108" w:type="dxa"/>
          </w:tblCellMar>
        </w:tblPrEx>
        <w:tc>
          <w:tcPr>
            <w:tcW w:w="7704" w:type="dxa"/>
            <w:gridSpan w:val="4"/>
          </w:tcPr>
          <w:p w14:paraId="7255B512">
            <w:pPr>
              <w:pStyle w:val="24"/>
              <w:jc w:val="center"/>
            </w:pPr>
            <w:r>
              <w:rPr>
                <w:rFonts w:hint="eastAsia"/>
                <w:i/>
                <w:iCs/>
              </w:rPr>
              <w:t>零样本方法（Zero-shot）</w:t>
            </w:r>
          </w:p>
        </w:tc>
      </w:tr>
      <w:tr w14:paraId="72376CF9">
        <w:tblPrEx>
          <w:tblCellMar>
            <w:top w:w="0" w:type="dxa"/>
            <w:left w:w="108" w:type="dxa"/>
            <w:bottom w:w="0" w:type="dxa"/>
            <w:right w:w="108" w:type="dxa"/>
          </w:tblCellMar>
        </w:tblPrEx>
        <w:tc>
          <w:tcPr>
            <w:tcW w:w="1926" w:type="dxa"/>
          </w:tcPr>
          <w:p w14:paraId="5A913937">
            <w:pPr>
              <w:pStyle w:val="24"/>
              <w:jc w:val="center"/>
            </w:pPr>
            <w:r>
              <w:t>Base</w:t>
            </w:r>
          </w:p>
        </w:tc>
        <w:tc>
          <w:tcPr>
            <w:tcW w:w="1926" w:type="dxa"/>
          </w:tcPr>
          <w:p w14:paraId="104CDF08">
            <w:pPr>
              <w:pStyle w:val="24"/>
              <w:jc w:val="center"/>
            </w:pPr>
            <w:r>
              <w:t>58.15</w:t>
            </w:r>
          </w:p>
        </w:tc>
        <w:tc>
          <w:tcPr>
            <w:tcW w:w="1926" w:type="dxa"/>
          </w:tcPr>
          <w:p w14:paraId="7014E688">
            <w:pPr>
              <w:pStyle w:val="24"/>
              <w:jc w:val="center"/>
            </w:pPr>
            <w:r>
              <w:t>67.21</w:t>
            </w:r>
          </w:p>
        </w:tc>
        <w:tc>
          <w:tcPr>
            <w:tcW w:w="1926" w:type="dxa"/>
          </w:tcPr>
          <w:p w14:paraId="6CDCEB2F">
            <w:pPr>
              <w:pStyle w:val="24"/>
              <w:jc w:val="center"/>
            </w:pPr>
            <w:r>
              <w:t>65.95</w:t>
            </w:r>
          </w:p>
        </w:tc>
      </w:tr>
      <w:tr w14:paraId="48460CF0">
        <w:tblPrEx>
          <w:tblCellMar>
            <w:top w:w="0" w:type="dxa"/>
            <w:left w:w="108" w:type="dxa"/>
            <w:bottom w:w="0" w:type="dxa"/>
            <w:right w:w="108" w:type="dxa"/>
          </w:tblCellMar>
        </w:tblPrEx>
        <w:tc>
          <w:tcPr>
            <w:tcW w:w="1926" w:type="dxa"/>
          </w:tcPr>
          <w:p w14:paraId="535C72E2">
            <w:pPr>
              <w:pStyle w:val="24"/>
              <w:jc w:val="center"/>
            </w:pPr>
            <w:r>
              <w:t>Role-play</w:t>
            </w:r>
          </w:p>
        </w:tc>
        <w:tc>
          <w:tcPr>
            <w:tcW w:w="1926" w:type="dxa"/>
          </w:tcPr>
          <w:p w14:paraId="1CB02DA2">
            <w:pPr>
              <w:pStyle w:val="24"/>
              <w:jc w:val="center"/>
            </w:pPr>
            <w:r>
              <w:t>58.64</w:t>
            </w:r>
          </w:p>
        </w:tc>
        <w:tc>
          <w:tcPr>
            <w:tcW w:w="1926" w:type="dxa"/>
          </w:tcPr>
          <w:p w14:paraId="2DD3580D">
            <w:pPr>
              <w:pStyle w:val="24"/>
              <w:jc w:val="center"/>
            </w:pPr>
            <w:r>
              <w:t>68.03</w:t>
            </w:r>
          </w:p>
        </w:tc>
        <w:tc>
          <w:tcPr>
            <w:tcW w:w="1926" w:type="dxa"/>
          </w:tcPr>
          <w:p w14:paraId="1FE5A70B">
            <w:pPr>
              <w:pStyle w:val="24"/>
              <w:jc w:val="center"/>
            </w:pPr>
            <w:r>
              <w:t>65.87</w:t>
            </w:r>
          </w:p>
        </w:tc>
      </w:tr>
      <w:tr w14:paraId="26772286">
        <w:tblPrEx>
          <w:tblCellMar>
            <w:top w:w="0" w:type="dxa"/>
            <w:left w:w="108" w:type="dxa"/>
            <w:bottom w:w="0" w:type="dxa"/>
            <w:right w:w="108" w:type="dxa"/>
          </w:tblCellMar>
        </w:tblPrEx>
        <w:tc>
          <w:tcPr>
            <w:tcW w:w="7704" w:type="dxa"/>
            <w:gridSpan w:val="4"/>
          </w:tcPr>
          <w:p w14:paraId="426B3904">
            <w:pPr>
              <w:pStyle w:val="24"/>
              <w:jc w:val="center"/>
            </w:pPr>
            <w:r>
              <w:rPr>
                <w:rFonts w:hint="eastAsia"/>
                <w:i/>
                <w:iCs/>
              </w:rPr>
              <w:t>单教师蒸馏（Single-Teacher</w:t>
            </w:r>
            <w:r>
              <w:rPr>
                <w:i/>
                <w:iCs/>
              </w:rPr>
              <w:t xml:space="preserve"> </w:t>
            </w:r>
            <w:r>
              <w:rPr>
                <w:rFonts w:hint="eastAsia"/>
                <w:i/>
                <w:iCs/>
              </w:rPr>
              <w:t>Distillation）</w:t>
            </w:r>
          </w:p>
        </w:tc>
      </w:tr>
      <w:tr w14:paraId="227B36A5">
        <w:tblPrEx>
          <w:tblCellMar>
            <w:top w:w="0" w:type="dxa"/>
            <w:left w:w="108" w:type="dxa"/>
            <w:bottom w:w="0" w:type="dxa"/>
            <w:right w:w="108" w:type="dxa"/>
          </w:tblCellMar>
        </w:tblPrEx>
        <w:tc>
          <w:tcPr>
            <w:tcW w:w="1926" w:type="dxa"/>
          </w:tcPr>
          <w:p w14:paraId="437440E0">
            <w:pPr>
              <w:pStyle w:val="24"/>
              <w:jc w:val="center"/>
            </w:pPr>
            <w:r>
              <w:t>SFT</w:t>
            </w:r>
          </w:p>
        </w:tc>
        <w:tc>
          <w:tcPr>
            <w:tcW w:w="1926" w:type="dxa"/>
          </w:tcPr>
          <w:p w14:paraId="5DE9B52E">
            <w:pPr>
              <w:pStyle w:val="24"/>
              <w:jc w:val="center"/>
            </w:pPr>
            <w:r>
              <w:t>54.75</w:t>
            </w:r>
          </w:p>
        </w:tc>
        <w:tc>
          <w:tcPr>
            <w:tcW w:w="1926" w:type="dxa"/>
          </w:tcPr>
          <w:p w14:paraId="69D87D73">
            <w:pPr>
              <w:pStyle w:val="24"/>
              <w:jc w:val="center"/>
            </w:pPr>
            <w:r>
              <w:t>64.52</w:t>
            </w:r>
          </w:p>
        </w:tc>
        <w:tc>
          <w:tcPr>
            <w:tcW w:w="1926" w:type="dxa"/>
          </w:tcPr>
          <w:p w14:paraId="31519984">
            <w:pPr>
              <w:pStyle w:val="24"/>
              <w:jc w:val="center"/>
            </w:pPr>
            <w:r>
              <w:t>64.44</w:t>
            </w:r>
          </w:p>
        </w:tc>
      </w:tr>
      <w:tr w14:paraId="5BEE9D7A">
        <w:tblPrEx>
          <w:tblCellMar>
            <w:top w:w="0" w:type="dxa"/>
            <w:left w:w="108" w:type="dxa"/>
            <w:bottom w:w="0" w:type="dxa"/>
            <w:right w:w="108" w:type="dxa"/>
          </w:tblCellMar>
        </w:tblPrEx>
        <w:tc>
          <w:tcPr>
            <w:tcW w:w="7704" w:type="dxa"/>
            <w:gridSpan w:val="4"/>
          </w:tcPr>
          <w:p w14:paraId="6BEC1BAD">
            <w:pPr>
              <w:pStyle w:val="24"/>
              <w:jc w:val="center"/>
            </w:pPr>
            <w:r>
              <w:rPr>
                <w:rFonts w:hint="eastAsia"/>
                <w:i/>
                <w:iCs/>
              </w:rPr>
              <w:t>多教师蒸馏（Multi-Teacher</w:t>
            </w:r>
            <w:r>
              <w:rPr>
                <w:i/>
                <w:iCs/>
              </w:rPr>
              <w:t xml:space="preserve"> </w:t>
            </w:r>
            <w:r>
              <w:rPr>
                <w:rFonts w:hint="eastAsia"/>
                <w:i/>
                <w:iCs/>
              </w:rPr>
              <w:t>Distillation）</w:t>
            </w:r>
          </w:p>
        </w:tc>
      </w:tr>
      <w:tr w14:paraId="6982A283">
        <w:tblPrEx>
          <w:tblCellMar>
            <w:top w:w="0" w:type="dxa"/>
            <w:left w:w="108" w:type="dxa"/>
            <w:bottom w:w="0" w:type="dxa"/>
            <w:right w:w="108" w:type="dxa"/>
          </w:tblCellMar>
        </w:tblPrEx>
        <w:tc>
          <w:tcPr>
            <w:tcW w:w="1926" w:type="dxa"/>
          </w:tcPr>
          <w:p w14:paraId="6C1C453B">
            <w:pPr>
              <w:pStyle w:val="24"/>
              <w:jc w:val="center"/>
            </w:pPr>
            <w:r>
              <w:t>MAGDi</w:t>
            </w:r>
          </w:p>
        </w:tc>
        <w:tc>
          <w:tcPr>
            <w:tcW w:w="1926" w:type="dxa"/>
          </w:tcPr>
          <w:p w14:paraId="1398E890">
            <w:pPr>
              <w:pStyle w:val="24"/>
              <w:jc w:val="center"/>
            </w:pPr>
            <w:r>
              <w:t>59.32</w:t>
            </w:r>
          </w:p>
        </w:tc>
        <w:tc>
          <w:tcPr>
            <w:tcW w:w="1926" w:type="dxa"/>
          </w:tcPr>
          <w:p w14:paraId="6C1EA72A">
            <w:pPr>
              <w:pStyle w:val="24"/>
              <w:jc w:val="center"/>
            </w:pPr>
            <w:r>
              <w:t>71.31</w:t>
            </w:r>
          </w:p>
        </w:tc>
        <w:tc>
          <w:tcPr>
            <w:tcW w:w="1926" w:type="dxa"/>
          </w:tcPr>
          <w:p w14:paraId="6EFFE1B4">
            <w:pPr>
              <w:pStyle w:val="24"/>
              <w:jc w:val="center"/>
            </w:pPr>
            <w:r>
              <w:t>66.07</w:t>
            </w:r>
          </w:p>
        </w:tc>
      </w:tr>
      <w:tr w14:paraId="785C4C09">
        <w:tblPrEx>
          <w:tblCellMar>
            <w:top w:w="0" w:type="dxa"/>
            <w:left w:w="108" w:type="dxa"/>
            <w:bottom w:w="0" w:type="dxa"/>
            <w:right w:w="108" w:type="dxa"/>
          </w:tblCellMar>
        </w:tblPrEx>
        <w:tc>
          <w:tcPr>
            <w:tcW w:w="1926" w:type="dxa"/>
          </w:tcPr>
          <w:p w14:paraId="53A159A0">
            <w:pPr>
              <w:pStyle w:val="24"/>
              <w:jc w:val="center"/>
            </w:pPr>
            <w:r>
              <w:t>AgentArk</w:t>
            </w:r>
          </w:p>
        </w:tc>
        <w:tc>
          <w:tcPr>
            <w:tcW w:w="1926" w:type="dxa"/>
          </w:tcPr>
          <w:p w14:paraId="6FF82763">
            <w:pPr>
              <w:pStyle w:val="24"/>
              <w:jc w:val="center"/>
            </w:pPr>
            <w:r>
              <w:t>61.22</w:t>
            </w:r>
          </w:p>
        </w:tc>
        <w:tc>
          <w:tcPr>
            <w:tcW w:w="1926" w:type="dxa"/>
          </w:tcPr>
          <w:p w14:paraId="1E0C001F">
            <w:pPr>
              <w:pStyle w:val="24"/>
              <w:jc w:val="center"/>
            </w:pPr>
            <w:r>
              <w:t>70.49</w:t>
            </w:r>
          </w:p>
        </w:tc>
        <w:tc>
          <w:tcPr>
            <w:tcW w:w="1926" w:type="dxa"/>
          </w:tcPr>
          <w:p w14:paraId="4D6D622E">
            <w:pPr>
              <w:pStyle w:val="24"/>
              <w:jc w:val="center"/>
            </w:pPr>
            <w:r>
              <w:t>66.47</w:t>
            </w:r>
          </w:p>
        </w:tc>
      </w:tr>
      <w:tr w14:paraId="614E265E">
        <w:tblPrEx>
          <w:tblCellMar>
            <w:top w:w="0" w:type="dxa"/>
            <w:left w:w="108" w:type="dxa"/>
            <w:bottom w:w="0" w:type="dxa"/>
            <w:right w:w="108" w:type="dxa"/>
          </w:tblCellMar>
        </w:tblPrEx>
        <w:tc>
          <w:tcPr>
            <w:tcW w:w="1926" w:type="dxa"/>
          </w:tcPr>
          <w:p w14:paraId="07DDE07F">
            <w:pPr>
              <w:pStyle w:val="24"/>
              <w:jc w:val="center"/>
            </w:pPr>
            <w:r>
              <w:rPr>
                <w:b/>
                <w:bCs/>
              </w:rPr>
              <w:t>CAHAD</w:t>
            </w:r>
          </w:p>
        </w:tc>
        <w:tc>
          <w:tcPr>
            <w:tcW w:w="1926" w:type="dxa"/>
          </w:tcPr>
          <w:p w14:paraId="65FA18EA">
            <w:pPr>
              <w:pStyle w:val="24"/>
              <w:jc w:val="center"/>
            </w:pPr>
            <w:r>
              <w:rPr>
                <w:b/>
                <w:bCs/>
              </w:rPr>
              <w:t>64.39</w:t>
            </w:r>
          </w:p>
        </w:tc>
        <w:tc>
          <w:tcPr>
            <w:tcW w:w="1926" w:type="dxa"/>
          </w:tcPr>
          <w:p w14:paraId="469AAC5D">
            <w:pPr>
              <w:pStyle w:val="24"/>
              <w:jc w:val="center"/>
            </w:pPr>
            <w:r>
              <w:rPr>
                <w:b/>
                <w:bCs/>
              </w:rPr>
              <w:t>72.58</w:t>
            </w:r>
          </w:p>
        </w:tc>
        <w:tc>
          <w:tcPr>
            <w:tcW w:w="1926" w:type="dxa"/>
          </w:tcPr>
          <w:p w14:paraId="36D34015">
            <w:pPr>
              <w:pStyle w:val="24"/>
              <w:jc w:val="center"/>
            </w:pPr>
            <w:r>
              <w:rPr>
                <w:b/>
                <w:bCs/>
              </w:rPr>
              <w:t>67.19</w:t>
            </w:r>
          </w:p>
        </w:tc>
      </w:tr>
    </w:tbl>
    <w:p w14:paraId="0E22BB98">
      <w:pPr>
        <w:pStyle w:val="3"/>
      </w:pPr>
      <w:r>
        <w:rPr>
          <w:rFonts w:hint="eastAsia"/>
          <w:i/>
          <w:iCs/>
        </w:rPr>
        <w:t>表</w:t>
      </w:r>
      <w:r>
        <w:rPr>
          <w:i/>
          <w:iCs/>
        </w:rPr>
        <w:t xml:space="preserve"> </w:t>
      </w:r>
      <w:r>
        <w:rPr>
          <w:rFonts w:hint="eastAsia"/>
          <w:i/>
          <w:iCs/>
        </w:rPr>
        <w:t>2：CAHAD</w:t>
      </w:r>
      <w:r>
        <w:rPr>
          <w:i/>
          <w:iCs/>
        </w:rPr>
        <w:t xml:space="preserve"> </w:t>
      </w:r>
      <w:r>
        <w:rPr>
          <w:rFonts w:hint="eastAsia"/>
          <w:i/>
          <w:iCs/>
        </w:rPr>
        <w:t>与零样本、单教师及多教师聚合基线在三个数据集、两个基座模型上的准确率（%）对比。</w:t>
      </w:r>
    </w:p>
    <w:bookmarkEnd w:id="16"/>
    <w:p w14:paraId="658368B8">
      <w:pPr>
        <w:pStyle w:val="5"/>
      </w:pPr>
      <w:bookmarkStart w:id="17" w:name="部署效率分析"/>
      <w:r>
        <w:rPr>
          <w:rFonts w:hint="eastAsia"/>
          <w:b/>
          <w:bCs/>
        </w:rPr>
        <w:t>部署效率分析</w:t>
      </w:r>
    </w:p>
    <w:tbl>
      <w:tblPr>
        <w:tblStyle w:val="41"/>
        <w:tblW w:w="4924" w:type="pct"/>
        <w:tblInd w:w="0" w:type="dxa"/>
        <w:tblLayout w:type="fixed"/>
        <w:tblCellMar>
          <w:top w:w="0" w:type="dxa"/>
          <w:left w:w="108" w:type="dxa"/>
          <w:bottom w:w="0" w:type="dxa"/>
          <w:right w:w="108" w:type="dxa"/>
        </w:tblCellMar>
      </w:tblPr>
      <w:tblGrid>
        <w:gridCol w:w="1072"/>
        <w:gridCol w:w="1274"/>
        <w:gridCol w:w="1342"/>
        <w:gridCol w:w="1208"/>
        <w:gridCol w:w="1275"/>
        <w:gridCol w:w="1208"/>
        <w:gridCol w:w="1342"/>
      </w:tblGrid>
      <w:tr w14:paraId="3708C200">
        <w:tblPrEx>
          <w:tblCellMar>
            <w:top w:w="0" w:type="dxa"/>
            <w:left w:w="108" w:type="dxa"/>
            <w:bottom w:w="0" w:type="dxa"/>
            <w:right w:w="108" w:type="dxa"/>
          </w:tblCellMar>
        </w:tblPrEx>
        <w:trPr>
          <w:tblHeader/>
        </w:trPr>
        <w:tc>
          <w:tcPr>
            <w:tcW w:w="960" w:type="dxa"/>
            <w:tcBorders>
              <w:bottom w:val="single" w:color="auto" w:sz="0" w:space="0"/>
              <w:insideH w:val="single" w:sz="0" w:space="0"/>
            </w:tcBorders>
            <w:vAlign w:val="bottom"/>
          </w:tcPr>
          <w:p w14:paraId="7D554504">
            <w:pPr>
              <w:pStyle w:val="24"/>
              <w:jc w:val="center"/>
            </w:pPr>
            <w:r>
              <w:rPr>
                <w:b/>
                <w:bCs/>
              </w:rPr>
              <w:t>Benchmark</w:t>
            </w:r>
          </w:p>
        </w:tc>
        <w:tc>
          <w:tcPr>
            <w:tcW w:w="1140" w:type="dxa"/>
            <w:tcBorders>
              <w:bottom w:val="single" w:color="auto" w:sz="0" w:space="0"/>
              <w:insideH w:val="single" w:sz="0" w:space="0"/>
            </w:tcBorders>
            <w:vAlign w:val="bottom"/>
          </w:tcPr>
          <w:p w14:paraId="4B45930D">
            <w:pPr>
              <w:pStyle w:val="24"/>
              <w:jc w:val="center"/>
            </w:pPr>
            <w:r>
              <w:rPr>
                <w:b/>
                <w:bCs/>
              </w:rPr>
              <w:t>HF-CAC Token</w:t>
            </w:r>
          </w:p>
        </w:tc>
        <w:tc>
          <w:tcPr>
            <w:tcW w:w="1200" w:type="dxa"/>
            <w:tcBorders>
              <w:bottom w:val="single" w:color="auto" w:sz="0" w:space="0"/>
              <w:insideH w:val="single" w:sz="0" w:space="0"/>
            </w:tcBorders>
            <w:vAlign w:val="bottom"/>
          </w:tcPr>
          <w:p w14:paraId="47274971">
            <w:pPr>
              <w:pStyle w:val="24"/>
              <w:jc w:val="center"/>
            </w:pPr>
            <w:r>
              <w:rPr>
                <w:b/>
                <w:bCs/>
              </w:rPr>
              <w:t>HF-CAC Lat(s)</w:t>
            </w:r>
          </w:p>
        </w:tc>
        <w:tc>
          <w:tcPr>
            <w:tcW w:w="1080" w:type="dxa"/>
            <w:tcBorders>
              <w:bottom w:val="single" w:color="auto" w:sz="0" w:space="0"/>
              <w:insideH w:val="single" w:sz="0" w:space="0"/>
            </w:tcBorders>
            <w:vAlign w:val="bottom"/>
          </w:tcPr>
          <w:p w14:paraId="49394739">
            <w:pPr>
              <w:pStyle w:val="24"/>
              <w:jc w:val="center"/>
            </w:pPr>
            <w:r>
              <w:rPr>
                <w:b/>
                <w:bCs/>
              </w:rPr>
              <w:t>CAHAD Token</w:t>
            </w:r>
          </w:p>
        </w:tc>
        <w:tc>
          <w:tcPr>
            <w:tcW w:w="1140" w:type="dxa"/>
            <w:tcBorders>
              <w:bottom w:val="single" w:color="auto" w:sz="0" w:space="0"/>
              <w:insideH w:val="single" w:sz="0" w:space="0"/>
            </w:tcBorders>
            <w:vAlign w:val="bottom"/>
          </w:tcPr>
          <w:p w14:paraId="356E2103">
            <w:pPr>
              <w:pStyle w:val="24"/>
              <w:jc w:val="center"/>
            </w:pPr>
            <w:r>
              <w:rPr>
                <w:b/>
                <w:bCs/>
              </w:rPr>
              <w:t>CAHAD Lat(s)</w:t>
            </w:r>
          </w:p>
        </w:tc>
        <w:tc>
          <w:tcPr>
            <w:tcW w:w="1080" w:type="dxa"/>
            <w:tcBorders>
              <w:bottom w:val="single" w:color="auto" w:sz="0" w:space="0"/>
              <w:insideH w:val="single" w:sz="0" w:space="0"/>
            </w:tcBorders>
            <w:vAlign w:val="bottom"/>
          </w:tcPr>
          <w:p w14:paraId="5CF5389E">
            <w:pPr>
              <w:pStyle w:val="24"/>
              <w:jc w:val="center"/>
            </w:pPr>
            <w:r>
              <w:rPr>
                <w:b/>
                <w:bCs/>
              </w:rPr>
              <w:t>Token Ratio</w:t>
            </w:r>
          </w:p>
        </w:tc>
        <w:tc>
          <w:tcPr>
            <w:tcW w:w="1200" w:type="dxa"/>
            <w:tcBorders>
              <w:bottom w:val="single" w:color="auto" w:sz="0" w:space="0"/>
              <w:insideH w:val="single" w:sz="0" w:space="0"/>
            </w:tcBorders>
            <w:vAlign w:val="bottom"/>
          </w:tcPr>
          <w:p w14:paraId="4689FF02">
            <w:pPr>
              <w:pStyle w:val="24"/>
              <w:jc w:val="center"/>
            </w:pPr>
            <w:r>
              <w:rPr>
                <w:b/>
                <w:bCs/>
              </w:rPr>
              <w:t>Latency Ratio</w:t>
            </w:r>
          </w:p>
        </w:tc>
      </w:tr>
      <w:tr w14:paraId="7A663708">
        <w:tblPrEx>
          <w:tblCellMar>
            <w:top w:w="0" w:type="dxa"/>
            <w:left w:w="108" w:type="dxa"/>
            <w:bottom w:w="0" w:type="dxa"/>
            <w:right w:w="108" w:type="dxa"/>
          </w:tblCellMar>
        </w:tblPrEx>
        <w:tc>
          <w:tcPr>
            <w:tcW w:w="960" w:type="dxa"/>
          </w:tcPr>
          <w:p w14:paraId="66073E68">
            <w:pPr>
              <w:pStyle w:val="24"/>
              <w:jc w:val="center"/>
            </w:pPr>
            <w:r>
              <w:t>NormAd</w:t>
            </w:r>
          </w:p>
        </w:tc>
        <w:tc>
          <w:tcPr>
            <w:tcW w:w="1140" w:type="dxa"/>
          </w:tcPr>
          <w:p w14:paraId="3EF215C4">
            <w:pPr>
              <w:pStyle w:val="24"/>
              <w:jc w:val="center"/>
            </w:pPr>
            <w:r>
              <w:t>5774.32</w:t>
            </w:r>
          </w:p>
        </w:tc>
        <w:tc>
          <w:tcPr>
            <w:tcW w:w="1200" w:type="dxa"/>
          </w:tcPr>
          <w:p w14:paraId="6839CEF3">
            <w:pPr>
              <w:pStyle w:val="24"/>
              <w:jc w:val="center"/>
            </w:pPr>
            <w:r>
              <w:t>4.24</w:t>
            </w:r>
          </w:p>
        </w:tc>
        <w:tc>
          <w:tcPr>
            <w:tcW w:w="1080" w:type="dxa"/>
          </w:tcPr>
          <w:p w14:paraId="0CC53CD0">
            <w:pPr>
              <w:pStyle w:val="24"/>
              <w:jc w:val="center"/>
            </w:pPr>
            <w:r>
              <w:t>416.46</w:t>
            </w:r>
          </w:p>
        </w:tc>
        <w:tc>
          <w:tcPr>
            <w:tcW w:w="1140" w:type="dxa"/>
          </w:tcPr>
          <w:p w14:paraId="05BAA6B2">
            <w:pPr>
              <w:pStyle w:val="24"/>
              <w:jc w:val="center"/>
            </w:pPr>
            <w:r>
              <w:t>0.41</w:t>
            </w:r>
          </w:p>
        </w:tc>
        <w:tc>
          <w:tcPr>
            <w:tcW w:w="1080" w:type="dxa"/>
          </w:tcPr>
          <w:p w14:paraId="6499B7CE">
            <w:pPr>
              <w:pStyle w:val="24"/>
              <w:jc w:val="center"/>
            </w:pPr>
            <w:r>
              <w:t>13.87×</w:t>
            </w:r>
          </w:p>
        </w:tc>
        <w:tc>
          <w:tcPr>
            <w:tcW w:w="1200" w:type="dxa"/>
          </w:tcPr>
          <w:p w14:paraId="782D3C10">
            <w:pPr>
              <w:pStyle w:val="24"/>
              <w:jc w:val="center"/>
            </w:pPr>
            <w:r>
              <w:t>10.34×</w:t>
            </w:r>
          </w:p>
        </w:tc>
      </w:tr>
      <w:tr w14:paraId="736BD764">
        <w:tblPrEx>
          <w:tblCellMar>
            <w:top w:w="0" w:type="dxa"/>
            <w:left w:w="108" w:type="dxa"/>
            <w:bottom w:w="0" w:type="dxa"/>
            <w:right w:w="108" w:type="dxa"/>
          </w:tblCellMar>
        </w:tblPrEx>
        <w:tc>
          <w:tcPr>
            <w:tcW w:w="960" w:type="dxa"/>
          </w:tcPr>
          <w:p w14:paraId="3E5A2C9C">
            <w:pPr>
              <w:pStyle w:val="24"/>
              <w:jc w:val="center"/>
            </w:pPr>
            <w:r>
              <w:t>CulturalBench</w:t>
            </w:r>
          </w:p>
        </w:tc>
        <w:tc>
          <w:tcPr>
            <w:tcW w:w="1140" w:type="dxa"/>
          </w:tcPr>
          <w:p w14:paraId="246E3C82">
            <w:pPr>
              <w:pStyle w:val="24"/>
              <w:jc w:val="center"/>
            </w:pPr>
            <w:r>
              <w:t>3700.04</w:t>
            </w:r>
          </w:p>
        </w:tc>
        <w:tc>
          <w:tcPr>
            <w:tcW w:w="1200" w:type="dxa"/>
          </w:tcPr>
          <w:p w14:paraId="341406EB">
            <w:pPr>
              <w:pStyle w:val="24"/>
              <w:jc w:val="center"/>
            </w:pPr>
            <w:r>
              <w:t>3.69</w:t>
            </w:r>
          </w:p>
        </w:tc>
        <w:tc>
          <w:tcPr>
            <w:tcW w:w="1080" w:type="dxa"/>
          </w:tcPr>
          <w:p w14:paraId="7F5A27FB">
            <w:pPr>
              <w:pStyle w:val="24"/>
              <w:jc w:val="center"/>
            </w:pPr>
            <w:r>
              <w:t>211.08</w:t>
            </w:r>
          </w:p>
        </w:tc>
        <w:tc>
          <w:tcPr>
            <w:tcW w:w="1140" w:type="dxa"/>
          </w:tcPr>
          <w:p w14:paraId="40BCB461">
            <w:pPr>
              <w:pStyle w:val="24"/>
              <w:jc w:val="center"/>
            </w:pPr>
            <w:r>
              <w:t>0.34</w:t>
            </w:r>
          </w:p>
        </w:tc>
        <w:tc>
          <w:tcPr>
            <w:tcW w:w="1080" w:type="dxa"/>
          </w:tcPr>
          <w:p w14:paraId="2260D22B">
            <w:pPr>
              <w:pStyle w:val="24"/>
              <w:jc w:val="center"/>
            </w:pPr>
            <w:r>
              <w:t>17.53×</w:t>
            </w:r>
          </w:p>
        </w:tc>
        <w:tc>
          <w:tcPr>
            <w:tcW w:w="1200" w:type="dxa"/>
          </w:tcPr>
          <w:p w14:paraId="776B88CB">
            <w:pPr>
              <w:pStyle w:val="24"/>
              <w:jc w:val="center"/>
            </w:pPr>
            <w:r>
              <w:t>10.85×</w:t>
            </w:r>
          </w:p>
        </w:tc>
      </w:tr>
      <w:tr w14:paraId="464D203B">
        <w:tblPrEx>
          <w:tblCellMar>
            <w:top w:w="0" w:type="dxa"/>
            <w:left w:w="108" w:type="dxa"/>
            <w:bottom w:w="0" w:type="dxa"/>
            <w:right w:w="108" w:type="dxa"/>
          </w:tblCellMar>
        </w:tblPrEx>
        <w:tc>
          <w:tcPr>
            <w:tcW w:w="960" w:type="dxa"/>
          </w:tcPr>
          <w:p w14:paraId="0B331D14">
            <w:pPr>
              <w:pStyle w:val="24"/>
              <w:jc w:val="center"/>
            </w:pPr>
            <w:r>
              <w:t>BLEnD</w:t>
            </w:r>
          </w:p>
        </w:tc>
        <w:tc>
          <w:tcPr>
            <w:tcW w:w="1140" w:type="dxa"/>
          </w:tcPr>
          <w:p w14:paraId="42EF4495">
            <w:pPr>
              <w:pStyle w:val="24"/>
              <w:jc w:val="center"/>
            </w:pPr>
            <w:r>
              <w:t>3492.27</w:t>
            </w:r>
          </w:p>
        </w:tc>
        <w:tc>
          <w:tcPr>
            <w:tcW w:w="1200" w:type="dxa"/>
          </w:tcPr>
          <w:p w14:paraId="7026EA6F">
            <w:pPr>
              <w:pStyle w:val="24"/>
              <w:jc w:val="center"/>
            </w:pPr>
            <w:r>
              <w:t>3.11</w:t>
            </w:r>
          </w:p>
        </w:tc>
        <w:tc>
          <w:tcPr>
            <w:tcW w:w="1080" w:type="dxa"/>
          </w:tcPr>
          <w:p w14:paraId="1FFC8A27">
            <w:pPr>
              <w:pStyle w:val="24"/>
              <w:jc w:val="center"/>
            </w:pPr>
            <w:r>
              <w:t>207.88</w:t>
            </w:r>
          </w:p>
        </w:tc>
        <w:tc>
          <w:tcPr>
            <w:tcW w:w="1140" w:type="dxa"/>
          </w:tcPr>
          <w:p w14:paraId="364CCE50">
            <w:pPr>
              <w:pStyle w:val="24"/>
              <w:jc w:val="center"/>
            </w:pPr>
            <w:r>
              <w:t>0.28</w:t>
            </w:r>
          </w:p>
        </w:tc>
        <w:tc>
          <w:tcPr>
            <w:tcW w:w="1080" w:type="dxa"/>
          </w:tcPr>
          <w:p w14:paraId="3B93AC3A">
            <w:pPr>
              <w:pStyle w:val="24"/>
              <w:jc w:val="center"/>
            </w:pPr>
            <w:r>
              <w:t>16.80×</w:t>
            </w:r>
          </w:p>
        </w:tc>
        <w:tc>
          <w:tcPr>
            <w:tcW w:w="1200" w:type="dxa"/>
          </w:tcPr>
          <w:p w14:paraId="2B430CC1">
            <w:pPr>
              <w:pStyle w:val="24"/>
              <w:jc w:val="center"/>
            </w:pPr>
            <w:r>
              <w:t>11.11×</w:t>
            </w:r>
          </w:p>
        </w:tc>
      </w:tr>
    </w:tbl>
    <w:p w14:paraId="17DA424A">
      <w:pPr>
        <w:pStyle w:val="3"/>
      </w:pPr>
      <w:r>
        <w:rPr>
          <w:rFonts w:hint="eastAsia"/>
          <w:i/>
          <w:iCs/>
        </w:rPr>
        <w:t>表</w:t>
      </w:r>
      <w:r>
        <w:rPr>
          <w:i/>
          <w:iCs/>
        </w:rPr>
        <w:t xml:space="preserve"> </w:t>
      </w:r>
      <w:r>
        <w:rPr>
          <w:rFonts w:hint="eastAsia"/>
          <w:i/>
          <w:iCs/>
        </w:rPr>
        <w:t>3：</w:t>
      </w:r>
      <w:r>
        <w:rPr>
          <w:rFonts w:hint="eastAsia"/>
          <w:i/>
          <w:iCs/>
          <w:lang w:val="en-US" w:eastAsia="zh-CN"/>
        </w:rPr>
        <w:t>Qwen2.5-7B-Instruct基座下，</w:t>
      </w:r>
      <w:r>
        <w:rPr>
          <w:rFonts w:hint="eastAsia"/>
          <w:i/>
          <w:iCs/>
        </w:rPr>
        <w:t>HF-CAC</w:t>
      </w:r>
      <w:r>
        <w:rPr>
          <w:i/>
          <w:iCs/>
        </w:rPr>
        <w:t xml:space="preserve"> </w:t>
      </w:r>
      <w:r>
        <w:rPr>
          <w:rFonts w:hint="eastAsia"/>
          <w:i/>
          <w:iCs/>
        </w:rPr>
        <w:t>与</w:t>
      </w:r>
      <w:r>
        <w:rPr>
          <w:i/>
          <w:iCs/>
        </w:rPr>
        <w:t xml:space="preserve"> CAHAD </w:t>
      </w:r>
      <w:r>
        <w:rPr>
          <w:rFonts w:hint="eastAsia"/>
          <w:i/>
          <w:iCs/>
        </w:rPr>
        <w:t>推理时</w:t>
      </w:r>
      <w:r>
        <w:rPr>
          <w:i/>
          <w:iCs/>
        </w:rPr>
        <w:t xml:space="preserve"> token </w:t>
      </w:r>
      <w:r>
        <w:rPr>
          <w:rFonts w:hint="eastAsia"/>
          <w:i/>
          <w:iCs/>
        </w:rPr>
        <w:t>消耗与时延的实测对比。HF-CAC</w:t>
      </w:r>
      <w:r>
        <w:rPr>
          <w:i/>
          <w:iCs/>
        </w:rPr>
        <w:t xml:space="preserve"> </w:t>
      </w:r>
      <w:r>
        <w:rPr>
          <w:rFonts w:hint="eastAsia"/>
          <w:i/>
          <w:iCs/>
        </w:rPr>
        <w:t>在三个数据集上均采用</w:t>
      </w:r>
      <w:r>
        <w:rPr>
          <w:i/>
          <w:iCs/>
        </w:rPr>
        <w:t xml:space="preserve"> 6 </w:t>
      </w:r>
      <w:r>
        <w:rPr>
          <w:rFonts w:hint="eastAsia"/>
          <w:i/>
          <w:iCs/>
        </w:rPr>
        <w:t>个专家智能体</w:t>
      </w:r>
      <w:r>
        <w:rPr>
          <w:i/>
          <w:iCs/>
        </w:rPr>
        <w:t xml:space="preserve"> + 1 </w:t>
      </w:r>
      <w:r>
        <w:rPr>
          <w:rFonts w:hint="eastAsia"/>
          <w:i/>
          <w:iCs/>
        </w:rPr>
        <w:t>个</w:t>
      </w:r>
      <w:r>
        <w:rPr>
          <w:i/>
          <w:iCs/>
        </w:rPr>
        <w:t xml:space="preserve"> </w:t>
      </w:r>
      <w:r>
        <w:rPr>
          <w:rFonts w:hint="eastAsia"/>
          <w:i/>
          <w:iCs/>
        </w:rPr>
        <w:t>Judge；Token</w:t>
      </w:r>
      <w:r>
        <w:rPr>
          <w:i/>
          <w:iCs/>
        </w:rPr>
        <w:t xml:space="preserve"> </w:t>
      </w:r>
      <w:r>
        <w:rPr>
          <w:rFonts w:hint="eastAsia"/>
          <w:i/>
          <w:iCs/>
        </w:rPr>
        <w:t>数为单</w:t>
      </w:r>
      <w:r>
        <w:rPr>
          <w:i/>
          <w:iCs/>
        </w:rPr>
        <w:t xml:space="preserve"> query </w:t>
      </w:r>
      <w:r>
        <w:rPr>
          <w:rFonts w:hint="eastAsia"/>
          <w:i/>
          <w:iCs/>
        </w:rPr>
        <w:t>平均消耗，Latency</w:t>
      </w:r>
      <w:r>
        <w:rPr>
          <w:i/>
          <w:iCs/>
        </w:rPr>
        <w:t xml:space="preserve"> </w:t>
      </w:r>
      <w:r>
        <w:rPr>
          <w:rFonts w:hint="eastAsia"/>
          <w:i/>
          <w:iCs/>
        </w:rPr>
        <w:t>为单</w:t>
      </w:r>
      <w:r>
        <w:rPr>
          <w:i/>
          <w:iCs/>
        </w:rPr>
        <w:t xml:space="preserve"> query </w:t>
      </w:r>
      <w:r>
        <w:rPr>
          <w:rFonts w:hint="eastAsia"/>
          <w:i/>
          <w:iCs/>
        </w:rPr>
        <w:t>平均端到端时延；Token</w:t>
      </w:r>
      <w:r>
        <w:rPr>
          <w:i/>
          <w:iCs/>
        </w:rPr>
        <w:t xml:space="preserve"> Ratio </w:t>
      </w:r>
      <w:r>
        <w:rPr>
          <w:rFonts w:hint="eastAsia"/>
          <w:i/>
          <w:iCs/>
        </w:rPr>
        <w:t>与</w:t>
      </w:r>
      <w:r>
        <w:rPr>
          <w:i/>
          <w:iCs/>
        </w:rPr>
        <w:t xml:space="preserve"> Latency Ratio </w:t>
      </w:r>
      <w:r>
        <w:rPr>
          <w:rFonts w:hint="eastAsia"/>
          <w:i/>
          <w:iCs/>
        </w:rPr>
        <w:t>分别为</w:t>
      </w:r>
      <w:r>
        <w:rPr>
          <w:i/>
          <w:iCs/>
        </w:rPr>
        <w:t xml:space="preserve"> HF-CAC </w:t>
      </w:r>
      <w:r>
        <w:rPr>
          <w:rFonts w:hint="eastAsia"/>
          <w:i/>
          <w:iCs/>
        </w:rPr>
        <w:t>与</w:t>
      </w:r>
      <w:r>
        <w:rPr>
          <w:i/>
          <w:iCs/>
        </w:rPr>
        <w:t xml:space="preserve"> CAHAD </w:t>
      </w:r>
      <w:r>
        <w:rPr>
          <w:rFonts w:hint="eastAsia"/>
          <w:i/>
          <w:iCs/>
        </w:rPr>
        <w:t>的对应比值。</w:t>
      </w:r>
    </w:p>
    <w:p w14:paraId="2B2DD5F8">
      <w:pPr>
        <w:pStyle w:val="3"/>
      </w:pPr>
      <w:r>
        <w:rPr>
          <w:rFonts w:hint="eastAsia"/>
        </w:rPr>
        <w:t>表</w:t>
      </w:r>
      <w:r>
        <w:t xml:space="preserve"> 3 </w:t>
      </w:r>
      <w:r>
        <w:rPr>
          <w:rFonts w:hint="eastAsia"/>
        </w:rPr>
        <w:t>对比了</w:t>
      </w:r>
      <w:r>
        <w:t xml:space="preserve"> HF-CAC </w:t>
      </w:r>
      <w:r>
        <w:rPr>
          <w:rFonts w:hint="eastAsia"/>
        </w:rPr>
        <w:t>多智能体系统与</w:t>
      </w:r>
      <w:r>
        <w:t xml:space="preserve"> CAHAD </w:t>
      </w:r>
      <w:r>
        <w:rPr>
          <w:rFonts w:hint="eastAsia"/>
        </w:rPr>
        <w:t>单一模型在推理阶段的</w:t>
      </w:r>
      <w:r>
        <w:t xml:space="preserve"> token </w:t>
      </w:r>
      <w:r>
        <w:rPr>
          <w:rFonts w:hint="eastAsia"/>
        </w:rPr>
        <w:t>消耗量与响应时延。由于</w:t>
      </w:r>
      <w:r>
        <w:t xml:space="preserve"> HF-CAC </w:t>
      </w:r>
      <w:r>
        <w:rPr>
          <w:rFonts w:hint="eastAsia"/>
        </w:rPr>
        <w:t>每次推理需要多个智能体依次生成内容，其</w:t>
      </w:r>
      <w:r>
        <w:t xml:space="preserve"> token </w:t>
      </w:r>
      <w:r>
        <w:rPr>
          <w:rFonts w:hint="eastAsia"/>
        </w:rPr>
        <w:t>消耗量与响应时延显著高于</w:t>
      </w:r>
      <w:r>
        <w:t xml:space="preserve"> </w:t>
      </w:r>
      <w:r>
        <w:rPr>
          <w:rFonts w:hint="eastAsia"/>
        </w:rPr>
        <w:t>CAHAD，在三个数据集上均达到一个数量级以上的差距。CAHAD</w:t>
      </w:r>
      <w:r>
        <w:t xml:space="preserve"> </w:t>
      </w:r>
      <w:r>
        <w:rPr>
          <w:rFonts w:hint="eastAsia"/>
        </w:rPr>
        <w:t>通过将多智能体系统的文化推理能力蒸馏为单次前向传播，将响应时延压缩至亚秒级别，大幅降低了实际部署所需的计算成本，验证了本文方法在保持竞争力性能的同时显著提升了可部署性这一核心目标。</w:t>
      </w:r>
    </w:p>
    <w:bookmarkEnd w:id="17"/>
    <w:p w14:paraId="187650B4">
      <w:pPr>
        <w:pStyle w:val="5"/>
      </w:pPr>
      <w:r>
        <w:rPr>
          <w:rFonts w:hint="eastAsia"/>
          <w:b/>
          <w:bCs/>
        </w:rPr>
        <w:t>消融实验</w:t>
      </w:r>
    </w:p>
    <w:p w14:paraId="0E02D96B">
      <w:pPr>
        <w:pStyle w:val="23"/>
      </w:pPr>
      <w:r>
        <w:t>表 4 给出了 CAHAD 四种训练变体——仅监督微调（SFT-only）、仅强化学习（RL-only）、SFT-then-RL 以及本文提出的在线联合训练（Joint SFT-RL）——在准确率上的对比，用以验证混合训练范式相较各消融变体的必要性。</w:t>
      </w:r>
    </w:p>
    <w:tbl>
      <w:tblPr>
        <w:tblStyle w:val="41"/>
        <w:tblW w:w="4873" w:type="pct"/>
        <w:tblInd w:w="0" w:type="dxa"/>
        <w:tblLayout w:type="fixed"/>
        <w:tblCellMar>
          <w:top w:w="0" w:type="dxa"/>
          <w:left w:w="108" w:type="dxa"/>
          <w:bottom w:w="0" w:type="dxa"/>
          <w:right w:w="108" w:type="dxa"/>
        </w:tblCellMar>
      </w:tblPr>
      <w:tblGrid>
        <w:gridCol w:w="2913"/>
        <w:gridCol w:w="1906"/>
        <w:gridCol w:w="1906"/>
        <w:gridCol w:w="1906"/>
      </w:tblGrid>
      <w:tr w14:paraId="55AD69E2">
        <w:tblPrEx>
          <w:tblCellMar>
            <w:top w:w="0" w:type="dxa"/>
            <w:left w:w="108" w:type="dxa"/>
            <w:bottom w:w="0" w:type="dxa"/>
            <w:right w:w="108" w:type="dxa"/>
          </w:tblCellMar>
        </w:tblPrEx>
        <w:trPr>
          <w:tblHeader/>
        </w:trPr>
        <w:tc>
          <w:tcPr>
            <w:tcW w:w="2606" w:type="dxa"/>
            <w:tcBorders>
              <w:bottom w:val="single" w:color="auto" w:sz="0" w:space="0"/>
              <w:insideH w:val="single" w:sz="0" w:space="0"/>
            </w:tcBorders>
            <w:vAlign w:val="bottom"/>
          </w:tcPr>
          <w:p w14:paraId="1E5B910D">
            <w:pPr>
              <w:pStyle w:val="24"/>
              <w:jc w:val="center"/>
            </w:pPr>
            <w:r>
              <w:rPr>
                <w:b/>
                <w:bCs/>
              </w:rPr>
              <w:t>Variant</w:t>
            </w:r>
          </w:p>
        </w:tc>
        <w:tc>
          <w:tcPr>
            <w:tcW w:w="1704" w:type="dxa"/>
            <w:tcBorders>
              <w:bottom w:val="single" w:color="auto" w:sz="0" w:space="0"/>
              <w:insideH w:val="single" w:sz="0" w:space="0"/>
            </w:tcBorders>
            <w:vAlign w:val="bottom"/>
          </w:tcPr>
          <w:p w14:paraId="39D85586">
            <w:pPr>
              <w:pStyle w:val="24"/>
              <w:jc w:val="center"/>
            </w:pPr>
            <w:r>
              <w:rPr>
                <w:b/>
                <w:bCs/>
              </w:rPr>
              <w:t>NormAd</w:t>
            </w:r>
          </w:p>
        </w:tc>
        <w:tc>
          <w:tcPr>
            <w:tcW w:w="1704" w:type="dxa"/>
            <w:tcBorders>
              <w:bottom w:val="single" w:color="auto" w:sz="0" w:space="0"/>
              <w:insideH w:val="single" w:sz="0" w:space="0"/>
            </w:tcBorders>
            <w:vAlign w:val="bottom"/>
          </w:tcPr>
          <w:p w14:paraId="3B55B931">
            <w:pPr>
              <w:pStyle w:val="24"/>
              <w:jc w:val="center"/>
            </w:pPr>
            <w:r>
              <w:rPr>
                <w:b/>
                <w:bCs/>
              </w:rPr>
              <w:t>C</w:t>
            </w:r>
            <w:r>
              <w:rPr>
                <w:rFonts w:hint="eastAsia"/>
                <w:b/>
                <w:bCs/>
              </w:rPr>
              <w:t>ultural</w:t>
            </w:r>
            <w:r>
              <w:rPr>
                <w:b/>
                <w:bCs/>
              </w:rPr>
              <w:t>B</w:t>
            </w:r>
            <w:r>
              <w:rPr>
                <w:rFonts w:hint="eastAsia"/>
                <w:b/>
                <w:bCs/>
              </w:rPr>
              <w:t>ench</w:t>
            </w:r>
          </w:p>
        </w:tc>
        <w:tc>
          <w:tcPr>
            <w:tcW w:w="1704" w:type="dxa"/>
            <w:tcBorders>
              <w:bottom w:val="single" w:color="auto" w:sz="0" w:space="0"/>
              <w:insideH w:val="single" w:sz="0" w:space="0"/>
            </w:tcBorders>
            <w:vAlign w:val="bottom"/>
          </w:tcPr>
          <w:p w14:paraId="62AE5987">
            <w:pPr>
              <w:pStyle w:val="24"/>
              <w:jc w:val="center"/>
            </w:pPr>
            <w:r>
              <w:rPr>
                <w:b/>
                <w:bCs/>
              </w:rPr>
              <w:t>BLEnD</w:t>
            </w:r>
          </w:p>
        </w:tc>
      </w:tr>
      <w:tr w14:paraId="0BC68953">
        <w:tblPrEx>
          <w:tblCellMar>
            <w:top w:w="0" w:type="dxa"/>
            <w:left w:w="108" w:type="dxa"/>
            <w:bottom w:w="0" w:type="dxa"/>
            <w:right w:w="108" w:type="dxa"/>
          </w:tblCellMar>
        </w:tblPrEx>
        <w:tc>
          <w:tcPr>
            <w:tcW w:w="7718" w:type="dxa"/>
            <w:gridSpan w:val="4"/>
          </w:tcPr>
          <w:p w14:paraId="78C3D4C5">
            <w:pPr>
              <w:pStyle w:val="24"/>
              <w:jc w:val="center"/>
            </w:pPr>
            <w:r>
              <w:rPr>
                <w:b/>
                <w:bCs/>
              </w:rPr>
              <w:t>Qwen2.5-7B-Instruct as backbone model</w:t>
            </w:r>
          </w:p>
        </w:tc>
      </w:tr>
      <w:tr w14:paraId="0E777251">
        <w:tblPrEx>
          <w:tblCellMar>
            <w:top w:w="0" w:type="dxa"/>
            <w:left w:w="108" w:type="dxa"/>
            <w:bottom w:w="0" w:type="dxa"/>
            <w:right w:w="108" w:type="dxa"/>
          </w:tblCellMar>
        </w:tblPrEx>
        <w:tc>
          <w:tcPr>
            <w:tcW w:w="2606" w:type="dxa"/>
          </w:tcPr>
          <w:p w14:paraId="5A8EDD16">
            <w:pPr>
              <w:pStyle w:val="24"/>
              <w:jc w:val="center"/>
            </w:pPr>
            <w:r>
              <w:t>SFT-only</w:t>
            </w:r>
          </w:p>
        </w:tc>
        <w:tc>
          <w:tcPr>
            <w:tcW w:w="1704" w:type="dxa"/>
          </w:tcPr>
          <w:p w14:paraId="35C48E14">
            <w:pPr>
              <w:pStyle w:val="24"/>
              <w:jc w:val="center"/>
            </w:pPr>
            <w:r>
              <w:t>65.53</w:t>
            </w:r>
          </w:p>
        </w:tc>
        <w:tc>
          <w:tcPr>
            <w:tcW w:w="1704" w:type="dxa"/>
          </w:tcPr>
          <w:p w14:paraId="508B5D1F">
            <w:pPr>
              <w:pStyle w:val="24"/>
              <w:jc w:val="center"/>
            </w:pPr>
            <w:r>
              <w:t>71.77</w:t>
            </w:r>
          </w:p>
        </w:tc>
        <w:tc>
          <w:tcPr>
            <w:tcW w:w="1704" w:type="dxa"/>
          </w:tcPr>
          <w:p w14:paraId="0D804F86">
            <w:pPr>
              <w:pStyle w:val="24"/>
              <w:jc w:val="center"/>
            </w:pPr>
            <w:r>
              <w:t>64.05</w:t>
            </w:r>
          </w:p>
        </w:tc>
      </w:tr>
      <w:tr w14:paraId="7E778213">
        <w:tblPrEx>
          <w:tblCellMar>
            <w:top w:w="0" w:type="dxa"/>
            <w:left w:w="108" w:type="dxa"/>
            <w:bottom w:w="0" w:type="dxa"/>
            <w:right w:w="108" w:type="dxa"/>
          </w:tblCellMar>
        </w:tblPrEx>
        <w:tc>
          <w:tcPr>
            <w:tcW w:w="2606" w:type="dxa"/>
          </w:tcPr>
          <w:p w14:paraId="17694E77">
            <w:pPr>
              <w:pStyle w:val="24"/>
              <w:jc w:val="center"/>
            </w:pPr>
            <w:r>
              <w:t>RL-only</w:t>
            </w:r>
          </w:p>
        </w:tc>
        <w:tc>
          <w:tcPr>
            <w:tcW w:w="1704" w:type="dxa"/>
          </w:tcPr>
          <w:p w14:paraId="3DF3F82F">
            <w:pPr>
              <w:pStyle w:val="24"/>
              <w:jc w:val="center"/>
            </w:pPr>
            <w:r>
              <w:t>65.15</w:t>
            </w:r>
          </w:p>
        </w:tc>
        <w:tc>
          <w:tcPr>
            <w:tcW w:w="1704" w:type="dxa"/>
          </w:tcPr>
          <w:p w14:paraId="5384EB74">
            <w:pPr>
              <w:pStyle w:val="24"/>
              <w:jc w:val="center"/>
            </w:pPr>
            <w:r>
              <w:t>72.58</w:t>
            </w:r>
          </w:p>
        </w:tc>
        <w:tc>
          <w:tcPr>
            <w:tcW w:w="1704" w:type="dxa"/>
          </w:tcPr>
          <w:p w14:paraId="2D49ACD0">
            <w:pPr>
              <w:pStyle w:val="24"/>
              <w:jc w:val="center"/>
            </w:pPr>
            <w:r>
              <w:t>66.99</w:t>
            </w:r>
          </w:p>
        </w:tc>
      </w:tr>
      <w:tr w14:paraId="5EED0FB8">
        <w:tblPrEx>
          <w:tblCellMar>
            <w:top w:w="0" w:type="dxa"/>
            <w:left w:w="108" w:type="dxa"/>
            <w:bottom w:w="0" w:type="dxa"/>
            <w:right w:w="108" w:type="dxa"/>
          </w:tblCellMar>
        </w:tblPrEx>
        <w:tc>
          <w:tcPr>
            <w:tcW w:w="2606" w:type="dxa"/>
          </w:tcPr>
          <w:p w14:paraId="49C5FCED">
            <w:pPr>
              <w:pStyle w:val="24"/>
              <w:jc w:val="center"/>
            </w:pPr>
            <w:r>
              <w:t>SFT-then-RL</w:t>
            </w:r>
          </w:p>
        </w:tc>
        <w:tc>
          <w:tcPr>
            <w:tcW w:w="1704" w:type="dxa"/>
          </w:tcPr>
          <w:p w14:paraId="4B84EAD6">
            <w:pPr>
              <w:pStyle w:val="24"/>
              <w:jc w:val="center"/>
            </w:pPr>
            <w:r>
              <w:t>65.91</w:t>
            </w:r>
          </w:p>
        </w:tc>
        <w:tc>
          <w:tcPr>
            <w:tcW w:w="1704" w:type="dxa"/>
          </w:tcPr>
          <w:p w14:paraId="4531EC4F">
            <w:pPr>
              <w:pStyle w:val="24"/>
              <w:jc w:val="center"/>
            </w:pPr>
            <w:r>
              <w:t>73.39</w:t>
            </w:r>
          </w:p>
        </w:tc>
        <w:tc>
          <w:tcPr>
            <w:tcW w:w="1704" w:type="dxa"/>
          </w:tcPr>
          <w:p w14:paraId="27436100">
            <w:pPr>
              <w:pStyle w:val="24"/>
              <w:jc w:val="center"/>
            </w:pPr>
            <w:r>
              <w:t>68.17</w:t>
            </w:r>
          </w:p>
        </w:tc>
      </w:tr>
      <w:tr w14:paraId="1ACF29F0">
        <w:tblPrEx>
          <w:tblCellMar>
            <w:top w:w="0" w:type="dxa"/>
            <w:left w:w="108" w:type="dxa"/>
            <w:bottom w:w="0" w:type="dxa"/>
            <w:right w:w="108" w:type="dxa"/>
          </w:tblCellMar>
        </w:tblPrEx>
        <w:tc>
          <w:tcPr>
            <w:tcW w:w="2606" w:type="dxa"/>
          </w:tcPr>
          <w:p w14:paraId="4780F410">
            <w:pPr>
              <w:pStyle w:val="24"/>
              <w:jc w:val="center"/>
            </w:pPr>
            <w:r>
              <w:rPr>
                <w:b/>
                <w:bCs/>
              </w:rPr>
              <w:t>Joint SFT-RL (Ours)</w:t>
            </w:r>
          </w:p>
        </w:tc>
        <w:tc>
          <w:tcPr>
            <w:tcW w:w="1704" w:type="dxa"/>
          </w:tcPr>
          <w:p w14:paraId="391FEB12">
            <w:pPr>
              <w:pStyle w:val="24"/>
              <w:jc w:val="center"/>
            </w:pPr>
            <w:r>
              <w:rPr>
                <w:b/>
                <w:bCs/>
              </w:rPr>
              <w:t>66.29</w:t>
            </w:r>
          </w:p>
        </w:tc>
        <w:tc>
          <w:tcPr>
            <w:tcW w:w="1704" w:type="dxa"/>
          </w:tcPr>
          <w:p w14:paraId="1889E28A">
            <w:pPr>
              <w:pStyle w:val="24"/>
              <w:jc w:val="center"/>
            </w:pPr>
            <w:r>
              <w:rPr>
                <w:b/>
                <w:bCs/>
              </w:rPr>
              <w:t>75.00</w:t>
            </w:r>
          </w:p>
        </w:tc>
        <w:tc>
          <w:tcPr>
            <w:tcW w:w="1704" w:type="dxa"/>
          </w:tcPr>
          <w:p w14:paraId="7CC4892B">
            <w:pPr>
              <w:pStyle w:val="24"/>
              <w:jc w:val="center"/>
            </w:pPr>
            <w:r>
              <w:rPr>
                <w:b/>
                <w:bCs/>
              </w:rPr>
              <w:t>68.57</w:t>
            </w:r>
          </w:p>
        </w:tc>
      </w:tr>
      <w:tr w14:paraId="4D211A38">
        <w:tblPrEx>
          <w:tblCellMar>
            <w:top w:w="0" w:type="dxa"/>
            <w:left w:w="108" w:type="dxa"/>
            <w:bottom w:w="0" w:type="dxa"/>
            <w:right w:w="108" w:type="dxa"/>
          </w:tblCellMar>
        </w:tblPrEx>
        <w:tc>
          <w:tcPr>
            <w:tcW w:w="7718" w:type="dxa"/>
            <w:gridSpan w:val="4"/>
          </w:tcPr>
          <w:p w14:paraId="1888A4A5">
            <w:pPr>
              <w:pStyle w:val="24"/>
              <w:jc w:val="center"/>
            </w:pPr>
            <w:r>
              <w:rPr>
                <w:b/>
                <w:bCs/>
              </w:rPr>
              <w:t>Llama-3.1-8B-Instruct as backbone model</w:t>
            </w:r>
          </w:p>
        </w:tc>
      </w:tr>
      <w:tr w14:paraId="3FEA3AF7">
        <w:tblPrEx>
          <w:tblCellMar>
            <w:top w:w="0" w:type="dxa"/>
            <w:left w:w="108" w:type="dxa"/>
            <w:bottom w:w="0" w:type="dxa"/>
            <w:right w:w="108" w:type="dxa"/>
          </w:tblCellMar>
        </w:tblPrEx>
        <w:tc>
          <w:tcPr>
            <w:tcW w:w="2606" w:type="dxa"/>
          </w:tcPr>
          <w:p w14:paraId="09F7ACBD">
            <w:pPr>
              <w:pStyle w:val="24"/>
              <w:jc w:val="center"/>
            </w:pPr>
            <w:r>
              <w:t>SFT-only</w:t>
            </w:r>
          </w:p>
        </w:tc>
        <w:tc>
          <w:tcPr>
            <w:tcW w:w="1704" w:type="dxa"/>
          </w:tcPr>
          <w:p w14:paraId="7DAA92B1">
            <w:pPr>
              <w:pStyle w:val="24"/>
              <w:jc w:val="center"/>
            </w:pPr>
            <w:r>
              <w:t>60.23</w:t>
            </w:r>
          </w:p>
        </w:tc>
        <w:tc>
          <w:tcPr>
            <w:tcW w:w="1704" w:type="dxa"/>
          </w:tcPr>
          <w:p w14:paraId="13CA8DCF">
            <w:pPr>
              <w:pStyle w:val="24"/>
              <w:jc w:val="center"/>
            </w:pPr>
            <w:r>
              <w:t>70.16</w:t>
            </w:r>
          </w:p>
        </w:tc>
        <w:tc>
          <w:tcPr>
            <w:tcW w:w="1704" w:type="dxa"/>
          </w:tcPr>
          <w:p w14:paraId="5CAEFB44">
            <w:pPr>
              <w:pStyle w:val="24"/>
              <w:jc w:val="center"/>
            </w:pPr>
            <w:r>
              <w:t>65.82</w:t>
            </w:r>
          </w:p>
        </w:tc>
      </w:tr>
      <w:tr w14:paraId="528645E9">
        <w:tblPrEx>
          <w:tblCellMar>
            <w:top w:w="0" w:type="dxa"/>
            <w:left w:w="108" w:type="dxa"/>
            <w:bottom w:w="0" w:type="dxa"/>
            <w:right w:w="108" w:type="dxa"/>
          </w:tblCellMar>
        </w:tblPrEx>
        <w:tc>
          <w:tcPr>
            <w:tcW w:w="2606" w:type="dxa"/>
          </w:tcPr>
          <w:p w14:paraId="17E4F8B7">
            <w:pPr>
              <w:pStyle w:val="24"/>
              <w:jc w:val="center"/>
            </w:pPr>
            <w:r>
              <w:t>RL-only</w:t>
            </w:r>
          </w:p>
        </w:tc>
        <w:tc>
          <w:tcPr>
            <w:tcW w:w="1704" w:type="dxa"/>
          </w:tcPr>
          <w:p w14:paraId="462635EF">
            <w:pPr>
              <w:pStyle w:val="24"/>
              <w:jc w:val="center"/>
            </w:pPr>
            <w:r>
              <w:t>61.74</w:t>
            </w:r>
          </w:p>
        </w:tc>
        <w:tc>
          <w:tcPr>
            <w:tcW w:w="1704" w:type="dxa"/>
          </w:tcPr>
          <w:p w14:paraId="42EFE72B">
            <w:pPr>
              <w:pStyle w:val="24"/>
              <w:jc w:val="center"/>
            </w:pPr>
            <w:r>
              <w:t>70.97</w:t>
            </w:r>
          </w:p>
        </w:tc>
        <w:tc>
          <w:tcPr>
            <w:tcW w:w="1704" w:type="dxa"/>
          </w:tcPr>
          <w:p w14:paraId="08843231">
            <w:pPr>
              <w:pStyle w:val="24"/>
              <w:jc w:val="center"/>
            </w:pPr>
            <w:r>
              <w:t>65.03</w:t>
            </w:r>
          </w:p>
        </w:tc>
      </w:tr>
      <w:tr w14:paraId="58B130B5">
        <w:tblPrEx>
          <w:tblCellMar>
            <w:top w:w="0" w:type="dxa"/>
            <w:left w:w="108" w:type="dxa"/>
            <w:bottom w:w="0" w:type="dxa"/>
            <w:right w:w="108" w:type="dxa"/>
          </w:tblCellMar>
        </w:tblPrEx>
        <w:tc>
          <w:tcPr>
            <w:tcW w:w="2606" w:type="dxa"/>
          </w:tcPr>
          <w:p w14:paraId="0434D9C2">
            <w:pPr>
              <w:pStyle w:val="24"/>
              <w:jc w:val="center"/>
            </w:pPr>
            <w:r>
              <w:t>SFT-then-RL</w:t>
            </w:r>
          </w:p>
        </w:tc>
        <w:tc>
          <w:tcPr>
            <w:tcW w:w="1704" w:type="dxa"/>
          </w:tcPr>
          <w:p w14:paraId="7A92A058">
            <w:pPr>
              <w:pStyle w:val="24"/>
              <w:jc w:val="center"/>
            </w:pPr>
            <w:r>
              <w:t>62.36</w:t>
            </w:r>
          </w:p>
        </w:tc>
        <w:tc>
          <w:tcPr>
            <w:tcW w:w="1704" w:type="dxa"/>
          </w:tcPr>
          <w:p w14:paraId="661E4B00">
            <w:pPr>
              <w:pStyle w:val="24"/>
              <w:jc w:val="center"/>
            </w:pPr>
            <w:r>
              <w:t>71.77</w:t>
            </w:r>
          </w:p>
        </w:tc>
        <w:tc>
          <w:tcPr>
            <w:tcW w:w="1704" w:type="dxa"/>
          </w:tcPr>
          <w:p w14:paraId="333022BB">
            <w:pPr>
              <w:pStyle w:val="24"/>
              <w:jc w:val="center"/>
            </w:pPr>
            <w:r>
              <w:t>66.80</w:t>
            </w:r>
          </w:p>
        </w:tc>
      </w:tr>
      <w:tr w14:paraId="721A39A1">
        <w:tblPrEx>
          <w:tblCellMar>
            <w:top w:w="0" w:type="dxa"/>
            <w:left w:w="108" w:type="dxa"/>
            <w:bottom w:w="0" w:type="dxa"/>
            <w:right w:w="108" w:type="dxa"/>
          </w:tblCellMar>
        </w:tblPrEx>
        <w:tc>
          <w:tcPr>
            <w:tcW w:w="2606" w:type="dxa"/>
          </w:tcPr>
          <w:p w14:paraId="20A66241">
            <w:pPr>
              <w:pStyle w:val="24"/>
              <w:jc w:val="center"/>
            </w:pPr>
            <w:r>
              <w:rPr>
                <w:b/>
                <w:bCs/>
              </w:rPr>
              <w:t>Joint SFT-RL (Ours)</w:t>
            </w:r>
          </w:p>
        </w:tc>
        <w:tc>
          <w:tcPr>
            <w:tcW w:w="1704" w:type="dxa"/>
          </w:tcPr>
          <w:p w14:paraId="2A140A91">
            <w:pPr>
              <w:pStyle w:val="24"/>
              <w:jc w:val="center"/>
            </w:pPr>
            <w:r>
              <w:rPr>
                <w:b/>
                <w:bCs/>
              </w:rPr>
              <w:t>64.39</w:t>
            </w:r>
          </w:p>
        </w:tc>
        <w:tc>
          <w:tcPr>
            <w:tcW w:w="1704" w:type="dxa"/>
          </w:tcPr>
          <w:p w14:paraId="5DE623EE">
            <w:pPr>
              <w:pStyle w:val="24"/>
              <w:jc w:val="center"/>
            </w:pPr>
            <w:r>
              <w:rPr>
                <w:b/>
                <w:bCs/>
              </w:rPr>
              <w:t>72.58</w:t>
            </w:r>
          </w:p>
        </w:tc>
        <w:tc>
          <w:tcPr>
            <w:tcW w:w="1704" w:type="dxa"/>
          </w:tcPr>
          <w:p w14:paraId="60FD57B2">
            <w:pPr>
              <w:pStyle w:val="24"/>
              <w:jc w:val="center"/>
            </w:pPr>
            <w:r>
              <w:rPr>
                <w:b/>
                <w:bCs/>
              </w:rPr>
              <w:t>67.19</w:t>
            </w:r>
          </w:p>
        </w:tc>
      </w:tr>
    </w:tbl>
    <w:p w14:paraId="7321B9E4">
      <w:pPr>
        <w:pStyle w:val="3"/>
      </w:pPr>
      <w:r>
        <w:t>表 4：CAHAD 四种训练变体在三个数据集、两个基座模型上的准确率（%）对比。</w:t>
      </w:r>
    </w:p>
    <w:p w14:paraId="6FE548F3">
      <w:pPr>
        <w:pStyle w:val="3"/>
      </w:pPr>
      <w:r>
        <w:t>在全部六组实验中，训练变体的准确率排序高度一致：Joint SFT-RL 总体优于 SFT-then-RL 序贯训练，序贯训练优于单独的 RL-only 或 SFT-only 变体。更关键的观察在于，Joint SFT-RL 混合训练在准确率上持续优于 SFT-then-RL 序贯训练，且这一优势在三个数据集上普遍成立。这一现象表明，在文化对齐任务中，仅依赖阶段化切换监督与强化学习信号，容易造成训练信号衔接不充分；在线联合训练则在同一步骤中同时保留监督锚定与探索更新，使不同文化样本的学习更加平衡、训练过程更加稳定。这一“稳定器”效应正是 CAHAD 相较传统序贯训练范式更适合文化对齐任务的机制原因，其设计思想与 §3.2 的难度自适应加权一致。更多超参数分析结果见附录 C。</w:t>
      </w:r>
    </w:p>
    <w:bookmarkEnd w:id="12"/>
    <w:p w14:paraId="4181AE05">
      <w:pPr>
        <w:pStyle w:val="2"/>
      </w:pPr>
      <w:bookmarkStart w:id="18" w:name="结论"/>
      <w:r>
        <w:rPr>
          <w:b/>
          <w:bCs/>
        </w:rPr>
        <w:t xml:space="preserve">6 </w:t>
      </w:r>
      <w:r>
        <w:rPr>
          <w:rFonts w:hint="eastAsia"/>
          <w:b/>
          <w:bCs/>
        </w:rPr>
        <w:t>结论</w:t>
      </w:r>
    </w:p>
    <w:p w14:paraId="26FDC684">
      <w:pPr>
        <w:pStyle w:val="23"/>
      </w:pPr>
      <w:r>
        <w:t>本文围绕多智能体文化推理范式中悬而未决的两个问题——等权协商是否适合文化推理、多智能体文化推理能力能否迁移到低成本单一模型——展开研究，提出了三项相互衔接的贡献。第一，提出 HF-CAC 多智能体文化推理框架，通过“主场权威激活”机制打破现有方法默认等权协商的潜在假设，并设计基于文化亲缘度的加权仲裁机制作为主场权威失效时的回退机制。第二，提出 CAHAD 方法，通过将多智能体系统的角色功能重新映射为监督蒸馏目标与强化学习引导信号，并采用 SFT 与 RL 在线联合优化的混合训练范式，将多智能体系统的文化推理能力迁移到低成本单一模型。第三，在 3 个公开文化基准上进行实验，我们的方法均优于其他基线。</w:t>
      </w:r>
    </w:p>
    <w:bookmarkEnd w:id="18"/>
    <w:p w14:paraId="70B5817A">
      <w:pPr>
        <w:pStyle w:val="2"/>
      </w:pPr>
      <w:bookmarkStart w:id="19" w:name="局限性"/>
      <w:r>
        <w:rPr>
          <w:b/>
          <w:bCs/>
        </w:rPr>
        <w:t xml:space="preserve">7 </w:t>
      </w:r>
      <w:r>
        <w:rPr>
          <w:rFonts w:hint="eastAsia"/>
          <w:b/>
          <w:bCs/>
        </w:rPr>
        <w:t>局限性</w:t>
      </w:r>
    </w:p>
    <w:p w14:paraId="7E35291E">
      <w:pPr>
        <w:pStyle w:val="23"/>
      </w:pPr>
      <w:r>
        <w:rPr>
          <w:rFonts w:hint="eastAsia"/>
        </w:rPr>
        <w:t>本文的工作仍存在两点局限性。其一，文化概念本身具有动态性、混合性与跨语境迁移性，本文所采用的以国家或地区为单位的文化划分方式、以及六大文化圈的划分粒度，仅是对这一复杂现实的简化近似，未来工作可考虑更细粒度或数据驱动的文化划分方式。其二，本文所使用的封闭式基准数据集虽然便于量化评估，但无法涵盖开放式对话与真实用户交互场景中更为复杂多变的文化对齐挑战，实验结论将在未来推广到开放式生成场景中进一步验证。</w:t>
      </w:r>
    </w:p>
    <w:bookmarkEnd w:id="19"/>
    <w:p w14:paraId="58775138">
      <w:pPr>
        <w:pStyle w:val="2"/>
      </w:pPr>
      <w:bookmarkStart w:id="20" w:name="参考文献"/>
      <w:r>
        <w:rPr>
          <w:rFonts w:hint="eastAsia"/>
          <w:b/>
          <w:bCs/>
        </w:rPr>
        <w:t>参考文献</w:t>
      </w:r>
    </w:p>
    <w:p w14:paraId="7473ABC8">
      <w:pPr>
        <w:pStyle w:val="23"/>
      </w:pPr>
      <w:r>
        <w:t>Chen, J. C.-Y.; Saha, S.; Stengel-Eskin, E.; and Bansal, M. 2024. MAGDi: Structured Distillation of Multi-Agent Interaction Graphs Improves Reasoning in Smaller Language Models. In Proceedings of the 41st International Conference on Machine Learning (ICML).</w:t>
      </w:r>
    </w:p>
    <w:p w14:paraId="1491FAB7">
      <w:pPr>
        <w:pStyle w:val="3"/>
      </w:pPr>
      <w:r>
        <w:t>Chiu, Y.-Y.; Jiang, L.; et al. 2025. CulturalBench: A Robust, Diverse, and Challenging Cultural Benchmark by Human-AI CulturalTeaming. In Proceedings of the 63rd Annual Meeting of the Association for Computational Linguistics (ACL).</w:t>
      </w:r>
    </w:p>
    <w:p w14:paraId="3F4BF70D">
      <w:pPr>
        <w:pStyle w:val="3"/>
      </w:pPr>
      <w:r>
        <w:t>Du, Y.; Li, S.; Torralba, A.; Tenenbaum, J. B.; and Mordatch, I. 2023. Improving Factuality and Reasoning in Language Models through Multiagent Debate. arXiv:2305.14325.</w:t>
      </w:r>
    </w:p>
    <w:p w14:paraId="60518CE1">
      <w:pPr>
        <w:pStyle w:val="3"/>
      </w:pPr>
      <w:r>
        <w:t>Dubey, A.; Jauhri, A.; et al. 2024. The Llama 3 Herd of Models. arXiv:2407.21783.</w:t>
      </w:r>
    </w:p>
    <w:p w14:paraId="339687CE">
      <w:pPr>
        <w:pStyle w:val="3"/>
      </w:pPr>
      <w:r>
        <w:t>Hu, E. J.; Shen, Y.; Wallis, P.; Allen-Zhu, Z.; Li, Y.; Wang, S.; Wang, L.; and Chen, W. 2022. LoRA: Low-Rank Adaptation of Large Language Models. In Proceedings of the International Conference on Learning Representations (ICLR).</w:t>
      </w:r>
    </w:p>
    <w:p w14:paraId="30E4AB2D">
      <w:pPr>
        <w:pStyle w:val="3"/>
      </w:pPr>
      <w:r>
        <w:t>Ki, D.; Rudinger, R.; Zhou, T.; and Carpuat, M. 2025. Multiple LLM Agents Debate for Equitable Cultural Alignment. arXiv:2505.24671.</w:t>
      </w:r>
    </w:p>
    <w:p w14:paraId="4F879FCF">
      <w:pPr>
        <w:pStyle w:val="3"/>
      </w:pPr>
      <w:r>
        <w:t>Li, C.; Chen, M.; Wang, J.; Sitaram, S.; and Xie, X. 2024. CultureLLM: Incorporating Cultural Differences into Large Language Models. In Proceedings of the 38th Conference on Neural Information Processing Systems (NeurIPS).</w:t>
      </w:r>
    </w:p>
    <w:p w14:paraId="210AA676">
      <w:pPr>
        <w:pStyle w:val="3"/>
      </w:pPr>
      <w:r>
        <w:t>Myung, J.; Lee, N.; et al. 2024. BLEnD: A Benchmark for LLMs on Everyday Knowledge in Diverse Cultures and Languages. arXiv:2406.09948.</w:t>
      </w:r>
    </w:p>
    <w:p w14:paraId="30A0C3AD">
      <w:pPr>
        <w:pStyle w:val="3"/>
      </w:pPr>
      <w:r>
        <w:t>Qwen Team. 2024. Qwen2.5 Technical Report. arXiv:2412.15115.</w:t>
      </w:r>
    </w:p>
    <w:p w14:paraId="227F9047">
      <w:pPr>
        <w:pStyle w:val="3"/>
      </w:pPr>
      <w:r>
        <w:t>Rao, A.; Yerukola, A.; et al. 2025. NormAd: A Framework for Measuring the Cultural Adaptability of Large Language Models. In Proceedings of the North American Chapter of the Association for Computational Linguistics (NAACL).</w:t>
      </w:r>
    </w:p>
    <w:p w14:paraId="12CEB1C3">
      <w:pPr>
        <w:pStyle w:val="3"/>
      </w:pPr>
      <w:r>
        <w:t>Seo, W.; Choi, W.; Koh, J.; et al. 2026. Toward Culturally Aligned LLMs through Ontology-Guided Multi-Agent Reasoning. arXiv:2601.21700.</w:t>
      </w:r>
    </w:p>
    <w:p w14:paraId="1E8641A3">
      <w:pPr>
        <w:pStyle w:val="3"/>
      </w:pPr>
      <w:r>
        <w:t>Shao, Z.; Wang, P.; Zhu, Q.; Xu, R.; Song, J.; Bi, X.; Zhang, H.; Zhang, M.; Li, Y. K.; Wu, Y.; and Guo, D. 2024. DeepSeekMath: Pushing the Limits of Mathematical Reasoning in Open Language Models. arXiv:2402.03300.</w:t>
      </w:r>
    </w:p>
    <w:p w14:paraId="1F90BBBF">
      <w:pPr>
        <w:pStyle w:val="3"/>
      </w:pPr>
      <w:r>
        <w:t>Tan, Q.; Jiang, L.; Zeng, Y.; Ding, S.; Xu, X.; et al. 2026. Mitigating Cultural Bias in LLMs via Multi-Agent Cultural Debate. arXiv:2601.12091.</w:t>
      </w:r>
    </w:p>
    <w:p w14:paraId="0E7F4457">
      <w:pPr>
        <w:pStyle w:val="3"/>
      </w:pPr>
      <w:r>
        <w:t>Tao, Y.; Viberg, O.; Baker, R. S.; and Kizilcec, R. F. 2024. Cultural Bias and Cultural Alignment of Large Language Models. PNAS Nexus, 3(9): pgae346.</w:t>
      </w:r>
    </w:p>
    <w:bookmarkEnd w:id="20"/>
    <w:p w14:paraId="62F2B5C7">
      <w:pPr>
        <w:pStyle w:val="3"/>
      </w:pPr>
      <w:r>
        <w:t>Geertz, C. 1983. Local Knowledge: Further Essays in Interpretive Anthropology. New York: Basic Books.</w:t>
      </w:r>
    </w:p>
    <w:p w14:paraId="01300B00">
      <w:pPr>
        <w:pStyle w:val="3"/>
      </w:pPr>
      <w:r>
        <w:t>Inglehart, R.; and Baker, W. E. 2000. Modernization, Cultural Change, and the Persistence of Traditional Values. American Sociological Review, 65(1): 19–51.</w:t>
      </w:r>
    </w:p>
    <w:p w14:paraId="13E0504D">
      <w:pPr>
        <w:pStyle w:val="3"/>
      </w:pPr>
      <w:r>
        <w:t>Triandis, H. C. 1995. Individualism and Collectivism. Boulder, CO: Westview Press.</w:t>
      </w:r>
    </w:p>
    <w:p w14:paraId="436D68B0">
      <w:pPr>
        <w:pStyle w:val="2"/>
      </w:pPr>
      <w:r>
        <w:rPr>
          <w:rFonts w:hint="eastAsia"/>
          <w:b/>
          <w:bCs/>
        </w:rPr>
        <w:t>附录</w:t>
      </w:r>
    </w:p>
    <w:p w14:paraId="1C1B839C">
      <w:pPr>
        <w:pStyle w:val="4"/>
      </w:pPr>
      <w:bookmarkStart w:id="21" w:name="附录-a-文化亲缘度矩阵的构建方法与使用方式"/>
      <w:r>
        <w:rPr>
          <w:rFonts w:hint="eastAsia"/>
          <w:b/>
          <w:bCs/>
        </w:rPr>
        <w:t>附录</w:t>
      </w:r>
      <w:r>
        <w:rPr>
          <w:b/>
          <w:bCs/>
        </w:rPr>
        <w:t xml:space="preserve"> A　</w:t>
      </w:r>
      <w:r>
        <w:rPr>
          <w:rFonts w:hint="eastAsia"/>
          <w:b/>
          <w:bCs/>
        </w:rPr>
        <w:t>文化亲缘度矩阵的构建方法与使用方式</w:t>
      </w:r>
    </w:p>
    <w:p w14:paraId="6694C24C">
      <w:pPr>
        <w:pStyle w:val="5"/>
      </w:pPr>
      <w:bookmarkStart w:id="22" w:name="a.1-构建动机"/>
      <w:r>
        <w:rPr>
          <w:b/>
          <w:bCs/>
        </w:rPr>
        <w:t xml:space="preserve">A.1 </w:t>
      </w:r>
      <w:r>
        <w:rPr>
          <w:rFonts w:hint="eastAsia"/>
          <w:b/>
          <w:bCs/>
        </w:rPr>
        <w:t>构建动机</w:t>
      </w:r>
    </w:p>
    <w:p w14:paraId="73EEDA83">
      <w:pPr>
        <w:pStyle w:val="23"/>
      </w:pPr>
      <w:r>
        <w:t xml:space="preserve">HF-CAC </w:t>
      </w:r>
      <w:r>
        <w:rPr>
          <w:rFonts w:hint="eastAsia"/>
        </w:rPr>
        <w:t>中</w:t>
      </w:r>
      <w:r>
        <w:t xml:space="preserve"> Guardian </w:t>
      </w:r>
      <w:r>
        <w:rPr>
          <w:rFonts w:hint="eastAsia"/>
        </w:rPr>
        <w:t>承担主场权威角色，但</w:t>
      </w:r>
      <w:r>
        <w:t xml:space="preserve"> Guardian </w:t>
      </w:r>
      <w:r>
        <w:rPr>
          <w:rFonts w:hint="eastAsia"/>
        </w:rPr>
        <w:t>也可能因自身知识不足而失效（例如明确表示不确定）。此时需要一种合理的回退机制来决定最终答案。简单多数投票忽略了不同文化圈之间存在的亲近与疏远关系，容易被与目标文化距离较远的</w:t>
      </w:r>
      <w:r>
        <w:t xml:space="preserve"> Auditor </w:t>
      </w:r>
      <w:r>
        <w:rPr>
          <w:rFonts w:hint="eastAsia"/>
        </w:rPr>
        <w:t>主导。为此，本文构建了一个基于世界价值观调查（World</w:t>
      </w:r>
      <w:r>
        <w:t xml:space="preserve"> Values Survey, </w:t>
      </w:r>
      <w:r>
        <w:rPr>
          <w:rFonts w:hint="eastAsia"/>
        </w:rPr>
        <w:t>WVS）Inglehart–Welzel</w:t>
      </w:r>
      <w:r>
        <w:t xml:space="preserve"> </w:t>
      </w:r>
      <w:r>
        <w:rPr>
          <w:rFonts w:hint="eastAsia"/>
        </w:rPr>
        <w:t>文化地图的</w:t>
      </w:r>
      <w:r>
        <w:t xml:space="preserve"> 6×6 </w:t>
      </w:r>
      <w:r>
        <w:rPr>
          <w:rFonts w:hint="eastAsia"/>
        </w:rPr>
        <w:t>文化亲缘度矩阵，用于在</w:t>
      </w:r>
      <w:r>
        <w:t xml:space="preserve"> Guardian </w:t>
      </w:r>
      <w:r>
        <w:rPr>
          <w:rFonts w:hint="eastAsia"/>
        </w:rPr>
        <w:t>失效时对</w:t>
      </w:r>
      <w:r>
        <w:t xml:space="preserve"> Auditor </w:t>
      </w:r>
      <w:r>
        <w:rPr>
          <w:rFonts w:hint="eastAsia"/>
        </w:rPr>
        <w:t>的判断进行加权仲裁。</w:t>
      </w:r>
    </w:p>
    <w:bookmarkEnd w:id="22"/>
    <w:p w14:paraId="2D41CBED">
      <w:pPr>
        <w:pStyle w:val="5"/>
      </w:pPr>
      <w:bookmarkStart w:id="23" w:name="a.2-计算方法"/>
      <w:r>
        <w:rPr>
          <w:b/>
          <w:bCs/>
        </w:rPr>
        <w:t xml:space="preserve">A.2 </w:t>
      </w:r>
      <w:r>
        <w:rPr>
          <w:rFonts w:hint="eastAsia"/>
          <w:b/>
          <w:bCs/>
        </w:rPr>
        <w:t>计算方法</w:t>
      </w:r>
    </w:p>
    <w:p w14:paraId="50391225">
      <w:pPr>
        <w:pStyle w:val="23"/>
      </w:pPr>
      <w:r>
        <w:rPr>
          <w:rFonts w:hint="eastAsia"/>
        </w:rPr>
        <w:t>亲缘度矩阵的构建分为三个步骤。第一步，收集文化地图坐标：从</w:t>
      </w:r>
      <w:r>
        <w:t xml:space="preserve"> WVS </w:t>
      </w:r>
      <w:r>
        <w:rPr>
          <w:rFonts w:hint="eastAsia"/>
        </w:rPr>
        <w:t>第七轮数据中获取每个国家在</w:t>
      </w:r>
      <w:r>
        <w:t xml:space="preserve"> Inglehart–Welzel </w:t>
      </w:r>
      <w:r>
        <w:rPr>
          <w:rFonts w:hint="eastAsia"/>
        </w:rPr>
        <w:t>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逆距离，并裁剪到</w:t>
      </w:r>
      <w:r>
        <w:t xml:space="preserve"> [0.1, 1.0] </w:t>
      </w:r>
      <w:r>
        <w:rPr>
          <w:rFonts w:hint="eastAsia"/>
        </w:rPr>
        <w:t>区间，对角线元素设为</w:t>
      </w:r>
      <w:r>
        <w:t xml:space="preserve"> </w:t>
      </w:r>
      <w:r>
        <w:rPr>
          <w:rFonts w:hint="eastAsia"/>
        </w:rPr>
        <w:t>1.0，得到最终的亲缘度矩阵。</w:t>
      </w:r>
    </w:p>
    <w:p w14:paraId="00A6FC17">
      <w:pPr>
        <w:pStyle w:val="3"/>
      </w:pPr>
      <w:r>
        <w:t>从图 A1 的热力图可以观察到若干清晰的结构特征：Western 与 Islamic 的亲缘度整体较低，而 African 与 Islamic、LatAm 与 SouthAsian 的亲缘度相对较高。这说明该矩阵能够较好地区分不同文化圈之间的远近关系，并为 Guardian 失效时的加权仲裁提供可解释的结构化先验。</w:t>
      </w:r>
    </w:p>
    <w:p w14:paraId="10BCB3D4">
      <w:pPr>
        <w:pStyle w:val="47"/>
      </w:pPr>
      <w:r>
        <w:drawing>
          <wp:inline distT="0" distB="0" distL="0" distR="0">
            <wp:extent cx="3999865" cy="3444240"/>
            <wp:effectExtent l="0" t="0" r="0" b="0"/>
            <wp:docPr id="202" name="Picture" descr="六大文化圈亲缘度矩阵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descr="六大文化圈亲缘度矩阵热力图"/>
                    <pic:cNvPicPr>
                      <a:picLocks noChangeAspect="1" noChangeArrowheads="1"/>
                    </pic:cNvPicPr>
                  </pic:nvPicPr>
                  <pic:blipFill>
                    <a:blip r:embed="rId6"/>
                    <a:stretch>
                      <a:fillRect/>
                    </a:stretch>
                  </pic:blipFill>
                  <pic:spPr>
                    <a:xfrm>
                      <a:off x="0" y="0"/>
                      <a:ext cx="4000000" cy="3444444"/>
                    </a:xfrm>
                    <a:prstGeom prst="rect">
                      <a:avLst/>
                    </a:prstGeom>
                    <a:noFill/>
                    <a:ln w="9525">
                      <a:noFill/>
                    </a:ln>
                  </pic:spPr>
                </pic:pic>
              </a:graphicData>
            </a:graphic>
          </wp:inline>
        </w:drawing>
      </w:r>
    </w:p>
    <w:p w14:paraId="10BCB3D5">
      <w:pPr>
        <w:pStyle w:val="3"/>
      </w:pPr>
      <w:r>
        <w:rPr>
          <w:rFonts w:hint="eastAsia"/>
          <w:i/>
          <w:iCs/>
        </w:rPr>
        <w:t>图</w:t>
      </w:r>
      <w:r>
        <w:rPr>
          <w:i/>
          <w:iCs/>
        </w:rPr>
        <w:t xml:space="preserve"> </w:t>
      </w:r>
      <w:r>
        <w:rPr>
          <w:rFonts w:hint="eastAsia"/>
          <w:i/>
          <w:iCs/>
        </w:rPr>
        <w:t>A1：六大文化圈亲缘度矩阵热力图。</w:t>
      </w:r>
    </w:p>
    <w:bookmarkEnd w:id="23"/>
    <w:p w14:paraId="324B9E8D">
      <w:pPr>
        <w:pStyle w:val="5"/>
      </w:pPr>
      <w:bookmarkStart w:id="24" w:name="a.3-在-hf-cac-中的使用方式"/>
      <w:r>
        <w:rPr>
          <w:b/>
          <w:bCs/>
        </w:rPr>
        <w:t xml:space="preserve">A.3 </w:t>
      </w:r>
      <w:r>
        <w:rPr>
          <w:rFonts w:hint="eastAsia"/>
          <w:b/>
          <w:bCs/>
        </w:rPr>
        <w:t>在</w:t>
      </w:r>
      <w:r>
        <w:rPr>
          <w:b/>
          <w:bCs/>
        </w:rPr>
        <w:t xml:space="preserve"> HF-CAC </w:t>
      </w:r>
      <w:r>
        <w:rPr>
          <w:rFonts w:hint="eastAsia"/>
          <w:b/>
          <w:bCs/>
        </w:rPr>
        <w:t>中的使用方式</w:t>
      </w:r>
    </w:p>
    <w:p w14:paraId="1A0E50D8">
      <w:pPr>
        <w:pStyle w:val="23"/>
      </w:pPr>
      <w:r>
        <w:rPr>
          <w:rFonts w:hint="eastAsia"/>
        </w:rPr>
        <w:t>亲缘度矩阵在</w:t>
      </w:r>
      <w:r>
        <w:t xml:space="preserve"> HF-CAC </w:t>
      </w:r>
      <w:r>
        <w:rPr>
          <w:rFonts w:hint="eastAsia"/>
        </w:rPr>
        <w:t>的</w:t>
      </w:r>
      <w:r>
        <w:t xml:space="preserve"> Judge </w:t>
      </w:r>
      <w:r>
        <w:rPr>
          <w:rFonts w:hint="eastAsia"/>
        </w:rPr>
        <w:t>裁决阶段使用，具体表现为"Guardian</w:t>
      </w:r>
      <w:r>
        <w:t xml:space="preserve"> </w:t>
      </w:r>
      <w:r>
        <w:rPr>
          <w:rFonts w:hint="eastAsia"/>
        </w:rPr>
        <w:t>失效时的文化亲缘度仲裁协议"，包含三个步骤。第一，Guardian</w:t>
      </w:r>
      <w:r>
        <w:t xml:space="preserve"> </w:t>
      </w:r>
      <w:r>
        <w:rPr>
          <w:rFonts w:hint="eastAsia"/>
        </w:rPr>
        <w:t>失效检测：Judge</w:t>
      </w:r>
      <w:r>
        <w:t xml:space="preserve"> </w:t>
      </w:r>
      <w:r>
        <w:rPr>
          <w:rFonts w:hint="eastAsia"/>
        </w:rPr>
        <w:t>检查</w:t>
      </w:r>
      <w:r>
        <w:t xml:space="preserve"> Guardian </w:t>
      </w:r>
      <w:r>
        <w:rPr>
          <w:rFonts w:hint="eastAsia"/>
        </w:rPr>
        <w:t>的回答中是否包含失效指示词，若包含则判定</w:t>
      </w:r>
      <w:r>
        <w:t xml:space="preserve"> Guardian </w:t>
      </w:r>
      <w:r>
        <w:rPr>
          <w:rFonts w:hint="eastAsia"/>
        </w:rPr>
        <w:t>失效。第二，激活仲裁模式：Judge</w:t>
      </w:r>
      <w:r>
        <w:t xml:space="preserve"> </w:t>
      </w:r>
      <w:r>
        <w:rPr>
          <w:rFonts w:hint="eastAsia"/>
        </w:rPr>
        <w:t>不再采用简单多数投票，而是查询亲缘度矩阵，获取每个</w:t>
      </w:r>
      <w:r>
        <w:t xml:space="preserve"> Auditor </w:t>
      </w:r>
      <w:r>
        <w:rPr>
          <w:rFonts w:hint="eastAsia"/>
        </w:rPr>
        <w:t>所属文化圈与目标国家所属文化圈之间的亲缘度分数。第三，加权裁决：在提供了具体文化证据的</w:t>
      </w:r>
      <w:r>
        <w:t xml:space="preserve"> Auditor </w:t>
      </w:r>
      <w:r>
        <w:rPr>
          <w:rFonts w:hint="eastAsia"/>
        </w:rPr>
        <w:t>中，优先采纳与目标文化亲缘度最高者的答案；若没有任何</w:t>
      </w:r>
      <w:r>
        <w:t xml:space="preserve"> Auditor </w:t>
      </w:r>
      <w:r>
        <w:rPr>
          <w:rFonts w:hint="eastAsia"/>
        </w:rPr>
        <w:t>提供具体文化证据，则退回至简单多数投票。</w:t>
      </w:r>
    </w:p>
    <w:bookmarkEnd w:id="21"/>
    <w:bookmarkEnd w:id="24"/>
    <w:p w14:paraId="3240207C">
      <w:pPr>
        <w:pStyle w:val="4"/>
      </w:pPr>
      <w:bookmarkStart w:id="25" w:name="附录-b-文化亲缘度矩阵的敏感性分析实验"/>
      <w:r>
        <w:rPr>
          <w:rFonts w:hint="eastAsia"/>
          <w:b/>
          <w:bCs/>
        </w:rPr>
        <w:t>附录</w:t>
      </w:r>
      <w:r>
        <w:rPr>
          <w:b/>
          <w:bCs/>
        </w:rPr>
        <w:t xml:space="preserve"> B　</w:t>
      </w:r>
      <w:r>
        <w:rPr>
          <w:rFonts w:hint="eastAsia"/>
          <w:b/>
          <w:bCs/>
        </w:rPr>
        <w:t>文化亲缘度矩阵的敏感性分析实验</w:t>
      </w:r>
    </w:p>
    <w:p w14:paraId="612B051B">
      <w:pPr>
        <w:pStyle w:val="23"/>
      </w:pPr>
      <w:r>
        <w:t>为验证 WVS 亲缘度矩阵在仲裁机制中的必要性，本文设计了三组对照实验：其一，使用均匀矩阵（所有非对角元素统一设为 0.5）替换 WVS 矩阵，以检验去除文化圈间差异化亲疏关系后仲裁效果是否下降；其二，对矩阵元素施加 ±20% 的随机扰动，以检验仲裁机制对矩阵取值精度的敏感程度；其三，使用完全随机生成的矩阵替代 WVS 矩阵，作为验证矩阵有效信息含量的下界对照。通过比较上述三种配置与原始 WVS 矩阵在三个数据集上 HF-CAC 准确率的变化，可以分离出亲缘度矩阵所提供的结构化文化先验信息对仲裁质量的贡献，同时评估该机制对矩阵取值扰动的鲁棒性。</w:t>
      </w:r>
    </w:p>
    <w:bookmarkEnd w:id="25"/>
    <w:p w14:paraId="4A6FCD03">
      <w:pPr>
        <w:pStyle w:val="4"/>
      </w:pPr>
      <w:bookmarkStart w:id="26" w:name="附录-c-cahad-超参数分析实验"/>
      <w:r>
        <w:rPr>
          <w:rFonts w:hint="eastAsia"/>
          <w:b/>
          <w:bCs/>
        </w:rPr>
        <w:t>附录</w:t>
      </w:r>
      <w:r>
        <w:rPr>
          <w:b/>
          <w:bCs/>
        </w:rPr>
        <w:t xml:space="preserve"> C　CAHAD </w:t>
      </w:r>
      <w:r>
        <w:rPr>
          <w:rFonts w:hint="eastAsia"/>
          <w:b/>
          <w:bCs/>
        </w:rPr>
        <w:t>超参数分析实验</w:t>
      </w:r>
    </w:p>
    <w:p w14:paraId="3E18D956">
      <w:pPr>
        <w:pStyle w:val="23"/>
      </w:pPr>
      <w:r>
        <w:t xml:space="preserve">CAHAD </w:t>
      </w:r>
      <w:r>
        <w:rPr>
          <w:rFonts w:hint="eastAsia"/>
        </w:rPr>
        <w:t>的</w:t>
      </w:r>
      <w:r>
        <w:t xml:space="preserve"> SFT </w:t>
      </w:r>
      <w:r>
        <w:rPr>
          <w:rFonts w:hint="eastAsia"/>
        </w:rPr>
        <w:t>与</w:t>
      </w:r>
      <w:r>
        <w:t xml:space="preserve"> RL </w:t>
      </w:r>
      <w:r>
        <w:rPr>
          <w:rFonts w:hint="eastAsia"/>
        </w:rPr>
        <w:t>混合训练包含两个关键超参数：β（SFT/RL</w:t>
      </w:r>
      <w:r>
        <w:t xml:space="preserve"> </w:t>
      </w:r>
      <w:r>
        <w:rPr>
          <w:rFonts w:hint="eastAsia"/>
        </w:rPr>
        <w:t>损失平衡系数）与</w:t>
      </w:r>
      <w:r>
        <w:t xml:space="preserve"> </w:t>
      </w:r>
      <w:r>
        <w:rPr>
          <w:rFonts w:hint="eastAsia"/>
        </w:rPr>
        <w:t>λ_g（Guardian</w:t>
      </w:r>
      <w:r>
        <w:t xml:space="preserve"> </w:t>
      </w:r>
      <w:r>
        <w:rPr>
          <w:rFonts w:hint="eastAsia"/>
        </w:rPr>
        <w:t>文化引导强度）。联合损失函数定义为</w:t>
      </w:r>
      <w:r>
        <w:t xml:space="preserve"> L = L_GRPO + </w:t>
      </w:r>
      <w:r>
        <w:rPr>
          <w:rFonts w:hint="eastAsia"/>
        </w:rPr>
        <w:t>β·w_sft·L_SFT，其中</w:t>
      </w:r>
      <w:r>
        <w:t xml:space="preserve"> L_GRPO </w:t>
      </w:r>
      <w:r>
        <w:rPr>
          <w:rFonts w:hint="eastAsia"/>
        </w:rPr>
        <w:t>为</w:t>
      </w:r>
      <w:r>
        <w:t xml:space="preserve"> </w:t>
      </w:r>
      <w:r>
        <w:rPr>
          <w:rFonts w:hint="eastAsia"/>
        </w:rPr>
        <w:t>GRPO（Shao</w:t>
      </w:r>
      <w:r>
        <w:t xml:space="preserve"> et al. </w:t>
      </w:r>
      <w:r>
        <w:rPr>
          <w:rFonts w:hint="eastAsia"/>
        </w:rPr>
        <w:t>2024）策略梯度损失，L_SFT</w:t>
      </w:r>
      <w:r>
        <w:t xml:space="preserve"> </w:t>
      </w:r>
      <w:r>
        <w:rPr>
          <w:rFonts w:hint="eastAsia"/>
        </w:rPr>
        <w:t>为教师答案的交叉熵损失。Guardian</w:t>
      </w:r>
      <w:r>
        <w:t xml:space="preserve"> </w:t>
      </w:r>
      <w:r>
        <w:rPr>
          <w:rFonts w:hint="eastAsia"/>
        </w:rPr>
        <w:t>引导通过修改优势函数实现：A_i</w:t>
      </w:r>
      <w:r>
        <w:t xml:space="preserve"> = A_i^base + </w:t>
      </w:r>
      <w:r>
        <w:rPr>
          <w:rFonts w:hint="eastAsia"/>
        </w:rPr>
        <w:t>λ_g·w·S_guardian，其中</w:t>
      </w:r>
      <w:r>
        <w:t xml:space="preserve"> w = 1 − hitrate </w:t>
      </w:r>
      <w:r>
        <w:rPr>
          <w:rFonts w:hint="eastAsia"/>
        </w:rPr>
        <w:t>为难度自适应权重，S_guardian</w:t>
      </w:r>
      <w:r>
        <w:t xml:space="preserve"> ∈ {0,1} </w:t>
      </w:r>
      <w:r>
        <w:rPr>
          <w:rFonts w:hint="eastAsia"/>
        </w:rPr>
        <w:t>为</w:t>
      </w:r>
      <w:r>
        <w:t xml:space="preserve"> Guardian </w:t>
      </w:r>
      <w:r>
        <w:rPr>
          <w:rFonts w:hint="eastAsia"/>
        </w:rPr>
        <w:t>文化方向匹配信号。实验设计上，先固定</w:t>
      </w:r>
      <w:r>
        <w:t xml:space="preserve"> λ_g </w:t>
      </w:r>
      <w:r>
        <w:rPr>
          <w:rFonts w:hint="eastAsia"/>
        </w:rPr>
        <w:t>为默认值</w:t>
      </w:r>
      <w:r>
        <w:t xml:space="preserve"> 0.5 </w:t>
      </w:r>
      <w:r>
        <w:rPr>
          <w:rFonts w:hint="eastAsia"/>
        </w:rPr>
        <w:t>搜索最优</w:t>
      </w:r>
      <w:r>
        <w:t xml:space="preserve"> </w:t>
      </w:r>
      <w:r>
        <w:rPr>
          <w:rFonts w:hint="eastAsia"/>
        </w:rPr>
        <w:t>β，再固定最优</w:t>
      </w:r>
      <w:r>
        <w:t xml:space="preserve"> β </w:t>
      </w:r>
      <w:r>
        <w:rPr>
          <w:rFonts w:hint="eastAsia"/>
        </w:rPr>
        <w:t>搜索最优</w:t>
      </w:r>
      <w:r>
        <w:t xml:space="preserve"> </w:t>
      </w:r>
      <w:r>
        <w:rPr>
          <w:rFonts w:hint="eastAsia"/>
        </w:rPr>
        <w:t>λ_g。</w:t>
      </w:r>
    </w:p>
    <w:p w14:paraId="4537CC6C">
      <w:pPr>
        <w:pStyle w:val="23"/>
      </w:pPr>
      <w:bookmarkStart w:id="27" w:name="c.1-β-参数的作用与权衡"/>
      <w:r>
        <w:t xml:space="preserve">β </w:t>
      </w:r>
      <w:r>
        <w:rPr>
          <w:rFonts w:hint="eastAsia"/>
        </w:rPr>
        <w:t>控制</w:t>
      </w:r>
      <w:r>
        <w:t xml:space="preserve"> SFT </w:t>
      </w:r>
      <w:r>
        <w:rPr>
          <w:rFonts w:hint="eastAsia"/>
        </w:rPr>
        <w:t>监督项在联合损失中的相对权重。β</w:t>
      </w:r>
      <w:r>
        <w:t xml:space="preserve"> </w:t>
      </w:r>
      <w:r>
        <w:rPr>
          <w:rFonts w:hint="eastAsia"/>
        </w:rPr>
        <w:t>取值过小时，SFT</w:t>
      </w:r>
      <w:r>
        <w:t xml:space="preserve"> </w:t>
      </w:r>
      <w:r>
        <w:rPr>
          <w:rFonts w:hint="eastAsia"/>
        </w:rPr>
        <w:t>提供的监督信号不足以约束</w:t>
      </w:r>
      <w:r>
        <w:t xml:space="preserve"> RL </w:t>
      </w:r>
      <w:r>
        <w:rPr>
          <w:rFonts w:hint="eastAsia"/>
        </w:rPr>
        <w:t>探索方向，容易出现探索不稳定的现象；β</w:t>
      </w:r>
      <w:r>
        <w:t xml:space="preserve"> </w:t>
      </w:r>
      <w:r>
        <w:rPr>
          <w:rFonts w:hint="eastAsia"/>
        </w:rPr>
        <w:t>取值过大时，SFT</w:t>
      </w:r>
      <w:r>
        <w:t xml:space="preserve"> </w:t>
      </w:r>
      <w:r>
        <w:rPr>
          <w:rFonts w:hint="eastAsia"/>
        </w:rPr>
        <w:t>项在损失函数中占据主导地位，训练过程退化为加权</w:t>
      </w:r>
      <w:r>
        <w:t xml:space="preserve"> </w:t>
      </w:r>
      <w:r>
        <w:rPr>
          <w:rFonts w:hint="eastAsia"/>
        </w:rPr>
        <w:t>SFT，RL</w:t>
      </w:r>
      <w:r>
        <w:t xml:space="preserve"> </w:t>
      </w:r>
      <w:r>
        <w:rPr>
          <w:rFonts w:hint="eastAsia"/>
        </w:rPr>
        <w:t>部分对未见文化的泛化能力被过度压制。本文实验中</w:t>
      </w:r>
      <w:r>
        <w:t xml:space="preserve"> β </w:t>
      </w:r>
      <w:r>
        <w:rPr>
          <w:rFonts w:hint="eastAsia"/>
        </w:rPr>
        <w:t>的默认取值为</w:t>
      </w:r>
      <w:r>
        <w:t xml:space="preserve"> </w:t>
      </w:r>
      <w:r>
        <w:rPr>
          <w:rFonts w:hint="eastAsia"/>
        </w:rPr>
        <w:t>0.3，该取值在</w:t>
      </w:r>
      <w:r>
        <w:t xml:space="preserve"> SFT </w:t>
      </w:r>
      <w:r>
        <w:rPr>
          <w:rFonts w:hint="eastAsia"/>
        </w:rPr>
        <w:t>监督强度与</w:t>
      </w:r>
      <w:r>
        <w:t xml:space="preserve"> RL </w:t>
      </w:r>
      <w:r>
        <w:rPr>
          <w:rFonts w:hint="eastAsia"/>
        </w:rPr>
        <w:t>探索空间之间取得了较好的平衡。</w:t>
      </w:r>
    </w:p>
    <w:bookmarkEnd w:id="27"/>
    <w:p w14:paraId="03AA8C94">
      <w:pPr>
        <w:pStyle w:val="23"/>
      </w:pPr>
      <w:r>
        <w:t>λ_g 控制 Guardian 文化引导信号在 GRPO 优势函数中的强度。λ_g 取值过小时，文化引导信号过于微弱，模型难以充分利用 Guardian 提供的方向信息；λ_g 取值过大时，二值化的 Guardian 匹配信号会主导优势函数的符号，掩盖答案质量本身的差异，使训练信号变得粗糙，可能损害准确率。本文实验中 λ_g 的默认取值为 0.5。</w:t>
      </w:r>
    </w:p>
    <w:p w14:paraId="17AD3BF5">
      <w:pPr>
        <w:pStyle w:val="23"/>
      </w:pPr>
      <w:r>
        <w:t>综合来看，β 与 λ_g 的取值需要在训练稳定性、准确率与文化引导强度之间进行权衡：过度偏向 SFT 或过强的 Guardian 引导信号都会削弱另一部分训练信号的作用，本文最终采用的默认配置（β = 0.3，λ_g = 0.5）是在准确率与训练稳定性之间综合权衡后的选择。</w:t>
      </w:r>
      <w:bookmarkStart w:id="28" w:name="c.5-λ_g-参数扫描记录以-normad-qwen-为例β-0.3"/>
    </w:p>
    <w:p w14:paraId="3B7A8A11">
      <w:pPr>
        <w:pStyle w:val="23"/>
      </w:pPr>
      <w:r>
        <w:t>图 C1：CAHAD 超参数敏感性分析（</w:t>
      </w:r>
      <w:r>
        <w:rPr>
          <w:rFonts w:hint="eastAsia"/>
          <w:lang w:val="en-US" w:eastAsia="zh-CN"/>
        </w:rPr>
        <w:t>以</w:t>
      </w:r>
      <w:r>
        <w:t>Qwen2.5-7B</w:t>
      </w:r>
      <w:r>
        <w:rPr>
          <w:rFonts w:hint="eastAsia"/>
          <w:lang w:val="en-US" w:eastAsia="zh-CN"/>
        </w:rPr>
        <w:t>-Instruct基座为例</w:t>
      </w:r>
      <w:r>
        <w:t>）。红色标记表示默认配置（β = 0.3，λ_g = 0.5），取得了最高的准确率。</w:t>
      </w:r>
    </w:p>
    <w:p w14:paraId="670F7069">
      <w:pPr>
        <w:pStyle w:val="47"/>
      </w:pPr>
      <w:r>
        <w:drawing>
          <wp:inline distT="0" distB="0" distL="0" distR="0">
            <wp:extent cx="5334000" cy="1976755"/>
            <wp:effectExtent l="0" t="0" r="0" b="0"/>
            <wp:docPr id="46" name="Picture" descr="CAHAD 超参数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CAHAD 超参数分析"/>
                    <pic:cNvPicPr>
                      <a:picLocks noChangeAspect="1" noChangeArrowheads="1"/>
                    </pic:cNvPicPr>
                  </pic:nvPicPr>
                  <pic:blipFill>
                    <a:blip r:embed="rId7"/>
                    <a:stretch>
                      <a:fillRect/>
                    </a:stretch>
                  </pic:blipFill>
                  <pic:spPr>
                    <a:xfrm>
                      <a:off x="0" y="0"/>
                      <a:ext cx="5334000" cy="1976937"/>
                    </a:xfrm>
                    <a:prstGeom prst="rect">
                      <a:avLst/>
                    </a:prstGeom>
                    <a:noFill/>
                    <a:ln w="9525">
                      <a:noFill/>
                    </a:ln>
                  </pic:spPr>
                </pic:pic>
              </a:graphicData>
            </a:graphic>
          </wp:inline>
        </w:drawing>
      </w:r>
    </w:p>
    <w:bookmarkEnd w:id="26"/>
    <w:bookmarkEnd w:id="28"/>
    <w:p w14:paraId="16C90075">
      <w:pPr>
        <w:pStyle w:val="4"/>
      </w:pPr>
      <w:bookmarkStart w:id="29" w:name="附录-d-hf-cac-提示词模板设计"/>
      <w:r>
        <w:rPr>
          <w:rFonts w:hint="eastAsia"/>
          <w:b/>
          <w:bCs/>
        </w:rPr>
        <w:t>附录</w:t>
      </w:r>
      <w:r>
        <w:rPr>
          <w:b/>
          <w:bCs/>
        </w:rPr>
        <w:t xml:space="preserve"> D　HF-CAC </w:t>
      </w:r>
      <w:r>
        <w:rPr>
          <w:rFonts w:hint="eastAsia"/>
          <w:b/>
          <w:bCs/>
        </w:rPr>
        <w:t>提示词模板设计</w:t>
      </w:r>
    </w:p>
    <w:p w14:paraId="382353CF">
      <w:pPr>
        <w:pStyle w:val="5"/>
      </w:pPr>
      <w:bookmarkStart w:id="30" w:name="d.1-设计原则"/>
      <w:r>
        <w:rPr>
          <w:b/>
          <w:bCs/>
        </w:rPr>
        <w:t xml:space="preserve">D.1 </w:t>
      </w:r>
      <w:r>
        <w:rPr>
          <w:rFonts w:hint="eastAsia"/>
          <w:b/>
          <w:bCs/>
        </w:rPr>
        <w:t>设计原则</w:t>
      </w:r>
    </w:p>
    <w:p w14:paraId="3E52F4BB">
      <w:pPr>
        <w:pStyle w:val="23"/>
      </w:pPr>
      <w:r>
        <w:t xml:space="preserve">HF-CAC </w:t>
      </w:r>
      <w:r>
        <w:rPr>
          <w:rFonts w:hint="eastAsia"/>
        </w:rPr>
        <w:t>的提示词体系包含</w:t>
      </w:r>
      <w:r>
        <w:t xml:space="preserve"> Guardian、Auditor、Judge </w:t>
      </w:r>
      <w:r>
        <w:rPr>
          <w:rFonts w:hint="eastAsia"/>
        </w:rPr>
        <w:t>三种角色，且每种角色针对六大文化圈分别设计了文化特定的变体。提示词的详细程度随任务复杂度而调整：NormAd（社会规范判断，三分类</w:t>
      </w:r>
      <w:r>
        <w:t xml:space="preserve"> </w:t>
      </w:r>
      <w:r>
        <w:rPr>
          <w:rFonts w:hint="eastAsia"/>
        </w:rPr>
        <w:t>1/2/3）采用最为详尽的提示词，强调主场权威与校准性判断（即在不确定时倾向输出”3”），并包含</w:t>
      </w:r>
      <w:r>
        <w:t xml:space="preserve"> Guardian </w:t>
      </w:r>
      <w:r>
        <w:rPr>
          <w:rFonts w:hint="eastAsia"/>
        </w:rPr>
        <w:t>一票否决权与亲缘度仲裁协议的完整规则；CulturalBench（文化知识问答，四选一</w:t>
      </w:r>
      <w:r>
        <w:t xml:space="preserve"> MCQ </w:t>
      </w:r>
      <w:r>
        <w:rPr>
          <w:rFonts w:hint="eastAsia"/>
        </w:rPr>
        <w:t>1/2/3/4）采用中等长度的提示词，Guardian</w:t>
      </w:r>
      <w:r>
        <w:t xml:space="preserve"> </w:t>
      </w:r>
      <w:r>
        <w:rPr>
          <w:rFonts w:hint="eastAsia"/>
        </w:rPr>
        <w:t>与</w:t>
      </w:r>
      <w:r>
        <w:t xml:space="preserve"> Auditor </w:t>
      </w:r>
      <w:r>
        <w:rPr>
          <w:rFonts w:hint="eastAsia"/>
        </w:rPr>
        <w:t>共用同一段”文化专家”人设，走</w:t>
      </w:r>
      <w:r>
        <w:t xml:space="preserve"> MAD </w:t>
      </w:r>
      <w:r>
        <w:rPr>
          <w:rFonts w:hint="eastAsia"/>
        </w:rPr>
        <w:t>式对称辩论流程；BLEnD（日常文化知识，四选一</w:t>
      </w:r>
      <w:r>
        <w:t xml:space="preserve"> MCQ </w:t>
      </w:r>
      <w:r>
        <w:rPr>
          <w:rFonts w:hint="eastAsia"/>
        </w:rPr>
        <w:t>1/2/3/4）采用最为简洁的通用提示词，Guardian/Auditor/Judge</w:t>
      </w:r>
      <w:r>
        <w:t xml:space="preserve"> </w:t>
      </w:r>
      <w:r>
        <w:rPr>
          <w:rFonts w:hint="eastAsia"/>
        </w:rPr>
        <w:t>三者</w:t>
      </w:r>
      <w:r>
        <w:t xml:space="preserve"> system prompt </w:t>
      </w:r>
      <w:r>
        <w:rPr>
          <w:rFonts w:hint="eastAsia"/>
        </w:rPr>
        <w:t>完全统一为通用助手提示词，强调跨国干扰项的甄别。</w:t>
      </w:r>
    </w:p>
    <w:p w14:paraId="0F837D2F">
      <w:pPr>
        <w:pStyle w:val="3"/>
      </w:pPr>
      <w:r>
        <w:rPr>
          <w:rFonts w:hint="eastAsia"/>
        </w:rPr>
        <w:t>三个数据集在协作流程上也存在结构差异：NormAd</w:t>
      </w:r>
      <w:r>
        <w:t xml:space="preserve"> </w:t>
      </w:r>
      <w:r>
        <w:rPr>
          <w:rFonts w:hint="eastAsia"/>
        </w:rPr>
        <w:t>采用</w:t>
      </w:r>
      <w:r>
        <w:t xml:space="preserve"> Guardian </w:t>
      </w:r>
      <w:r>
        <w:rPr>
          <w:rFonts w:hint="eastAsia"/>
        </w:rPr>
        <w:t>优先生成</w:t>
      </w:r>
      <w:r>
        <w:t xml:space="preserve"> → Auditor </w:t>
      </w:r>
      <w:r>
        <w:rPr>
          <w:rFonts w:hint="eastAsia"/>
        </w:rPr>
        <w:t>单向看到</w:t>
      </w:r>
      <w:r>
        <w:t xml:space="preserve"> Guardian </w:t>
      </w:r>
      <w:r>
        <w:rPr>
          <w:rFonts w:hint="eastAsia"/>
        </w:rPr>
        <w:t>回答后生成</w:t>
      </w:r>
      <w:r>
        <w:t xml:space="preserve"> → </w:t>
      </w:r>
      <w:r>
        <w:rPr>
          <w:rFonts w:hint="eastAsia"/>
        </w:rPr>
        <w:t>条件触发</w:t>
      </w:r>
      <w:r>
        <w:t xml:space="preserve"> </w:t>
      </w:r>
      <w:r>
        <w:rPr>
          <w:rFonts w:hint="eastAsia"/>
        </w:rPr>
        <w:t>Judge（含一票否决权与亲缘度仲裁）的非对称流程；CulturalBench</w:t>
      </w:r>
      <w:r>
        <w:t xml:space="preserve"> </w:t>
      </w:r>
      <w:r>
        <w:rPr>
          <w:rFonts w:hint="eastAsia"/>
        </w:rPr>
        <w:t>与</w:t>
      </w:r>
      <w:r>
        <w:t xml:space="preserve"> BLEnD </w:t>
      </w:r>
      <w:r>
        <w:rPr>
          <w:rFonts w:hint="eastAsia"/>
        </w:rPr>
        <w:t>采用</w:t>
      </w:r>
      <w:r>
        <w:t xml:space="preserve"> Auditor </w:t>
      </w:r>
      <w:r>
        <w:rPr>
          <w:rFonts w:hint="eastAsia"/>
        </w:rPr>
        <w:t>独立起步</w:t>
      </w:r>
      <w:r>
        <w:t xml:space="preserve"> → MAD </w:t>
      </w:r>
      <w:r>
        <w:rPr>
          <w:rFonts w:hint="eastAsia"/>
        </w:rPr>
        <w:t>式对称辩论（feedback</w:t>
      </w:r>
      <w:r>
        <w:t xml:space="preserve"> </w:t>
      </w:r>
      <w:r>
        <w:rPr>
          <w:rFonts w:hint="eastAsia"/>
        </w:rPr>
        <w:t>互评</w:t>
      </w:r>
      <w:r>
        <w:t xml:space="preserve"> → final decision </w:t>
      </w:r>
      <w:r>
        <w:rPr>
          <w:rFonts w:hint="eastAsia"/>
        </w:rPr>
        <w:t>重决策）→</w:t>
      </w:r>
      <w:r>
        <w:t xml:space="preserve"> </w:t>
      </w:r>
      <w:r>
        <w:rPr>
          <w:rFonts w:hint="eastAsia"/>
        </w:rPr>
        <w:t>纯多数投票（无</w:t>
      </w:r>
      <w:r>
        <w:t xml:space="preserve"> Guardian </w:t>
      </w:r>
      <w:r>
        <w:rPr>
          <w:rFonts w:hint="eastAsia"/>
        </w:rPr>
        <w:t>特权），仅在分歧时触发</w:t>
      </w:r>
      <w:r>
        <w:t xml:space="preserve"> Judge </w:t>
      </w:r>
      <w:r>
        <w:rPr>
          <w:rFonts w:hint="eastAsia"/>
        </w:rPr>
        <w:t>的对称流程。</w:t>
      </w:r>
    </w:p>
    <w:p w14:paraId="42661FFB">
      <w:pPr>
        <w:pStyle w:val="3"/>
      </w:pPr>
      <w:r>
        <w:rPr>
          <w:rFonts w:hint="eastAsia"/>
        </w:rPr>
        <w:t>以下以</w:t>
      </w:r>
      <w:r>
        <w:t xml:space="preserve"> NormAd </w:t>
      </w:r>
      <w:r>
        <w:rPr>
          <w:rFonts w:hint="eastAsia"/>
        </w:rPr>
        <w:t>数据集为例，给出三类角色的完整提示词模板。CulturalBench</w:t>
      </w:r>
      <w:r>
        <w:t xml:space="preserve"> </w:t>
      </w:r>
      <w:r>
        <w:rPr>
          <w:rFonts w:hint="eastAsia"/>
        </w:rPr>
        <w:t>与</w:t>
      </w:r>
      <w:r>
        <w:t xml:space="preserve"> BLEnD </w:t>
      </w:r>
      <w:r>
        <w:rPr>
          <w:rFonts w:hint="eastAsia"/>
        </w:rPr>
        <w:t>的提示词模板在结构上相似，主要差异在于答案空间（四选一</w:t>
      </w:r>
      <w:r>
        <w:t xml:space="preserve"> </w:t>
      </w:r>
      <w:r>
        <w:rPr>
          <w:rFonts w:hint="eastAsia"/>
        </w:rPr>
        <w:t>MCQ）、人设详略程度以及协作流程的对称性。</w:t>
      </w:r>
    </w:p>
    <w:bookmarkEnd w:id="30"/>
    <w:p w14:paraId="62E5CAF4">
      <w:pPr>
        <w:pStyle w:val="5"/>
      </w:pPr>
      <w:bookmarkStart w:id="31" w:name="d.2-guardian-system-promptnormad"/>
      <w:r>
        <w:rPr>
          <w:b/>
          <w:bCs/>
        </w:rPr>
        <w:t xml:space="preserve">D.2 Guardian System </w:t>
      </w:r>
      <w:r>
        <w:rPr>
          <w:rFonts w:hint="eastAsia"/>
          <w:b/>
          <w:bCs/>
        </w:rPr>
        <w:t>Prompt（NorMAD）</w:t>
      </w:r>
    </w:p>
    <w:p w14:paraId="24A7ECA0">
      <w:pPr>
        <w:pStyle w:val="49"/>
      </w:pPr>
      <w:r>
        <w:rPr>
          <w:rStyle w:val="48"/>
        </w:rPr>
        <w:t>You are the HOST-CULTURE GUARDIAN for this question.</w:t>
      </w:r>
      <w:r>
        <w:br w:type="textWrapping"/>
      </w:r>
      <w:r>
        <w:rPr>
          <w:rStyle w:val="48"/>
        </w:rPr>
        <w:t>The target culture belongs to YOUR area of expertise ({culture_area} cultures).</w:t>
      </w:r>
      <w:r>
        <w:br w:type="textWrapping"/>
      </w:r>
      <w:r>
        <w:rPr>
          <w:rStyle w:val="48"/>
        </w:rPr>
        <w:t>Your cognitive foundation: {cognitive_foundation_description}</w:t>
      </w:r>
      <w:r>
        <w:br w:type="textWrapping"/>
      </w:r>
      <w:r>
        <w:rPr>
          <w:rStyle w:val="48"/>
        </w:rPr>
        <w:t>Your role is to AUTHORITATIVELY confirm or correct cultural claims about the target culture.</w:t>
      </w:r>
      <w:r>
        <w:br w:type="textWrapping"/>
      </w:r>
      <w:r>
        <w:rPr>
          <w:rStyle w:val="48"/>
        </w:rPr>
        <w:t>You have PRIMARY AUTHORITY on this topic. Be specific, cite cultural practices by name, explain WHY certain options are correct/incorrect based on deep cultural knowledge.</w:t>
      </w:r>
      <w:r>
        <w:br w:type="textWrapping"/>
      </w:r>
      <w:r>
        <w:rPr>
          <w:rStyle w:val="48"/>
        </w:rPr>
        <w:t>If other agents suggest answers that conflict with your expertise, firmly correct them with specific cultural evidence.</w:t>
      </w:r>
      <w:r>
        <w:br w:type="textWrapping"/>
      </w:r>
      <w:r>
        <w:rPr>
          <w:rStyle w:val="48"/>
        </w:rPr>
        <w:t>IMPORTANT: Not all behaviors have clear cultural acceptance or rejection in every culture.</w:t>
      </w:r>
      <w:r>
        <w:br w:type="textWrapping"/>
      </w:r>
      <w:r>
        <w:rPr>
          <w:rStyle w:val="48"/>
        </w:rPr>
        <w:t>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w:t>
      </w:r>
      <w:r>
        <w:br w:type="textWrapping"/>
      </w:r>
      <w:r>
        <w:rPr>
          <w:rStyle w:val="48"/>
        </w:rPr>
        <w:t>Format: Reasoning: &lt;your authoritative cultural analysis&gt;\nAnswer: &lt;number&gt;</w:t>
      </w:r>
    </w:p>
    <w:p w14:paraId="592D84E0">
      <w:pPr>
        <w:pStyle w:val="23"/>
      </w:pPr>
      <w:r>
        <w:rPr>
          <w:rFonts w:hint="eastAsia"/>
        </w:rPr>
        <w:t>其中</w:t>
      </w:r>
      <w:r>
        <w:t xml:space="preserve"> {culture_area} </w:t>
      </w:r>
      <w:r>
        <w:rPr>
          <w:rFonts w:hint="eastAsia"/>
        </w:rPr>
        <w:t>取值为六大文化圈之一，{cognitive_foundation_description}</w:t>
      </w:r>
      <w:r>
        <w:t xml:space="preserve"> </w:t>
      </w:r>
      <w:r>
        <w:rPr>
          <w:rFonts w:hint="eastAsia"/>
        </w:rPr>
        <w:t>为对应文化圈的认知基础描述（见</w:t>
      </w:r>
      <w:r>
        <w:t xml:space="preserve"> </w:t>
      </w:r>
      <w:r>
        <w:rPr>
          <w:rFonts w:hint="eastAsia"/>
        </w:rPr>
        <w:t>D.4）。</w:t>
      </w:r>
    </w:p>
    <w:bookmarkEnd w:id="31"/>
    <w:p w14:paraId="424F5B8B">
      <w:pPr>
        <w:pStyle w:val="5"/>
      </w:pPr>
      <w:bookmarkStart w:id="32" w:name="d.3-auditor-system-promptnormad"/>
      <w:r>
        <w:rPr>
          <w:b/>
          <w:bCs/>
        </w:rPr>
        <w:t xml:space="preserve">D.3 Auditor System </w:t>
      </w:r>
      <w:r>
        <w:rPr>
          <w:rFonts w:hint="eastAsia"/>
          <w:b/>
          <w:bCs/>
        </w:rPr>
        <w:t>Prompt（NormAD）</w:t>
      </w:r>
    </w:p>
    <w:p w14:paraId="7977B8FC">
      <w:pPr>
        <w:pStyle w:val="49"/>
      </w:pPr>
      <w:r>
        <w:rPr>
          <w:rStyle w:val="48"/>
        </w:rPr>
        <w:t>You are a CROSS-CULTURAL AUDITOR from {culture_area} cultural background.</w:t>
      </w:r>
      <w:r>
        <w:br w:type="textWrapping"/>
      </w:r>
      <w:r>
        <w:rPr>
          <w:rStyle w:val="48"/>
        </w:rPr>
        <w:t>Your cognitive foundation: {cognitive_foundation_summary}</w:t>
      </w:r>
      <w:r>
        <w:br w:type="textWrapping"/>
      </w:r>
      <w:r>
        <w:rPr>
          <w:rStyle w:val="48"/>
        </w:rPr>
        <w:t>The target culture does NOT belong to your primary expertise area.</w:t>
      </w:r>
      <w:r>
        <w:br w:type="textWrapping"/>
      </w:r>
      <w:r>
        <w:rPr>
          <w:rStyle w:val="48"/>
        </w:rPr>
        <w:t>Your role is to provide CONTRASTIVE perspective: note similarities/differences between your culture and the target culture, but DEFER to the Host-Culture Guardian on specific factual claims about the target culture.</w:t>
      </w:r>
      <w:r>
        <w:br w:type="textWrapping"/>
      </w:r>
      <w:r>
        <w:rPr>
          <w:rStyle w:val="48"/>
        </w:rPr>
        <w:t>Explicitly acknowledge uncertainty where appropriate.</w:t>
      </w:r>
      <w:r>
        <w:br w:type="textWrapping"/>
      </w:r>
      <w:r>
        <w:rPr>
          <w:rStyle w:val="48"/>
        </w:rPr>
        <w:t>If a behavior appears universally human or culturally neutral (not specific to any culture), explicitly state this and consider answering "3" (neutral/indeterminate).</w:t>
      </w:r>
      <w:r>
        <w:br w:type="textWrapping"/>
      </w:r>
      <w:r>
        <w:rPr>
          <w:rStyle w:val="48"/>
        </w:rPr>
        <w:t>Your cross-cultural perspective is especially valuable for identifying behaviors that do NOT have culture-specific significance.</w:t>
      </w:r>
      <w:r>
        <w:br w:type="textWrapping"/>
      </w:r>
      <w:r>
        <w:rPr>
          <w:rStyle w:val="48"/>
        </w:rPr>
        <w:t>Format: Reasoning: &lt;your cross-cultural comparative analysis&gt;\nAnswer: &lt;number&gt;</w:t>
      </w:r>
    </w:p>
    <w:p w14:paraId="0100A56B">
      <w:pPr>
        <w:pStyle w:val="23"/>
      </w:pPr>
      <w:r>
        <w:t xml:space="preserve">Auditor </w:t>
      </w:r>
      <w:r>
        <w:rPr>
          <w:rFonts w:hint="eastAsia"/>
        </w:rPr>
        <w:t>的</w:t>
      </w:r>
      <w:r>
        <w:t xml:space="preserve"> User Prompt </w:t>
      </w:r>
      <w:r>
        <w:rPr>
          <w:rFonts w:hint="eastAsia"/>
        </w:rPr>
        <w:t>在协商模式下会注入</w:t>
      </w:r>
      <w:r>
        <w:t xml:space="preserve"> Guardian </w:t>
      </w:r>
      <w:r>
        <w:rPr>
          <w:rFonts w:hint="eastAsia"/>
        </w:rPr>
        <w:t>的回答作为参考：</w:t>
      </w:r>
    </w:p>
    <w:p w14:paraId="10D6B5BE">
      <w:pPr>
        <w:pStyle w:val="49"/>
      </w:pPr>
      <w:r>
        <w:rPr>
          <w:rStyle w:val="48"/>
        </w:rPr>
        <w:t>TARGET CULTURE: {target_country}</w:t>
      </w:r>
      <w:r>
        <w:br w:type="textWrapping"/>
      </w:r>
      <w:r>
        <w:br w:type="textWrapping"/>
      </w:r>
      <w:r>
        <w:rPr>
          <w:rStyle w:val="48"/>
        </w:rPr>
        <w:t>{question}</w:t>
      </w:r>
      <w:r>
        <w:br w:type="textWrapping"/>
      </w:r>
      <w:r>
        <w:br w:type="textWrapping"/>
      </w:r>
      <w:r>
        <w:rPr>
          <w:rStyle w:val="48"/>
        </w:rPr>
        <w:t>The HOST-CULTURE GUARDIAN [{guardian_name}] has provided their authoritative analysis:</w:t>
      </w:r>
      <w:r>
        <w:br w:type="textWrapping"/>
      </w:r>
      <w:r>
        <w:rPr>
          <w:rStyle w:val="48"/>
        </w:rPr>
        <w:t>---</w:t>
      </w:r>
      <w:r>
        <w:br w:type="textWrapping"/>
      </w:r>
      <w:r>
        <w:rPr>
          <w:rStyle w:val="48"/>
        </w:rPr>
        <w:t>{guardian_response}</w:t>
      </w:r>
      <w:r>
        <w:br w:type="textWrapping"/>
      </w:r>
      <w:r>
        <w:rPr>
          <w:rStyle w:val="48"/>
        </w:rPr>
        <w:t>---</w:t>
      </w:r>
      <w:r>
        <w:br w:type="textWrapping"/>
      </w:r>
      <w:r>
        <w:br w:type="textWrapping"/>
      </w:r>
      <w:r>
        <w:rPr>
          <w:rStyle w:val="48"/>
        </w:rPr>
        <w:t>As a Cross-Cultural Auditor from [{agent_name}] background:</w:t>
      </w:r>
      <w:r>
        <w:br w:type="textWrapping"/>
      </w:r>
      <w:r>
        <w:rPr>
          <w:rStyle w:val="48"/>
        </w:rPr>
        <w:t>1. Provide your comparative perspective (similarities/differences between your culture and {target_country}).</w:t>
      </w:r>
      <w:r>
        <w:br w:type="textWrapping"/>
      </w:r>
      <w:r>
        <w:rPr>
          <w:rStyle w:val="48"/>
        </w:rPr>
        <w:t>2. If you agree with the Guardian, explain WHY from your cultural lens.</w:t>
      </w:r>
      <w:r>
        <w:br w:type="textWrapping"/>
      </w:r>
      <w:r>
        <w:rPr>
          <w:rStyle w:val="48"/>
        </w:rPr>
        <w:t>3. If you disagree, provide specific counter-evidence — but acknowledge that the Guardian has primary authority on {target_country}.</w:t>
      </w:r>
      <w:r>
        <w:br w:type="textWrapping"/>
      </w:r>
      <w:r>
        <w:br w:type="textWrapping"/>
      </w:r>
      <w:r>
        <w:rPr>
          <w:rStyle w:val="48"/>
        </w:rPr>
        <w:t>Reasoning: &lt;your cross-cultural comparative analysis&gt;</w:t>
      </w:r>
      <w:r>
        <w:br w:type="textWrapping"/>
      </w:r>
      <w:r>
        <w:rPr>
          <w:rStyle w:val="48"/>
        </w:rPr>
        <w:t>Answer: &lt;number&gt;</w:t>
      </w:r>
    </w:p>
    <w:bookmarkEnd w:id="32"/>
    <w:p w14:paraId="1806F286">
      <w:pPr>
        <w:pStyle w:val="5"/>
      </w:pPr>
      <w:bookmarkStart w:id="33" w:name="d.4-judge-system-prompt-与仲裁协议normad"/>
      <w:r>
        <w:rPr>
          <w:b/>
          <w:bCs/>
        </w:rPr>
        <w:t xml:space="preserve">D.4 Judge System Prompt </w:t>
      </w:r>
      <w:r>
        <w:rPr>
          <w:rFonts w:hint="eastAsia"/>
          <w:b/>
          <w:bCs/>
        </w:rPr>
        <w:t>与仲裁</w:t>
      </w:r>
    </w:p>
    <w:p w14:paraId="5D92BC02">
      <w:pPr>
        <w:pStyle w:val="23"/>
      </w:pPr>
      <w:r>
        <w:t xml:space="preserve">Judge </w:t>
      </w:r>
      <w:r>
        <w:rPr>
          <w:rFonts w:hint="eastAsia"/>
        </w:rPr>
        <w:t>的</w:t>
      </w:r>
      <w:r>
        <w:t xml:space="preserve"> System Prompt </w:t>
      </w:r>
      <w:r>
        <w:rPr>
          <w:rFonts w:hint="eastAsia"/>
        </w:rPr>
        <w:t>定义了完整的裁决规则体系，包括证据优先级、Guardian</w:t>
      </w:r>
      <w:r>
        <w:t xml:space="preserve"> </w:t>
      </w:r>
      <w:r>
        <w:rPr>
          <w:rFonts w:hint="eastAsia"/>
        </w:rPr>
        <w:t>一票否决权、三分类校准规则以及</w:t>
      </w:r>
      <w:r>
        <w:t xml:space="preserve"> Guardian </w:t>
      </w:r>
      <w:r>
        <w:rPr>
          <w:rFonts w:hint="eastAsia"/>
        </w:rPr>
        <w:t>失效时的文化亲缘度仲裁协议：</w:t>
      </w:r>
    </w:p>
    <w:p w14:paraId="61437932">
      <w:pPr>
        <w:pStyle w:val="49"/>
      </w:pPr>
      <w:r>
        <w:rPr>
          <w:rStyle w:val="48"/>
        </w:rPr>
        <w:t>You are a neutral cultural fact-checker and final arbitrator.</w:t>
      </w:r>
      <w:r>
        <w:br w:type="textWrapping"/>
      </w:r>
      <w:r>
        <w:rPr>
          <w:rStyle w:val="48"/>
        </w:rPr>
        <w:t>You will receive the ORIGINAL QUESTION and FULL RESPONSES from all cultural expert agents, including both their initial independent analyses and any negotiation/debate exchanges.</w:t>
      </w:r>
      <w:r>
        <w:br w:type="textWrapping"/>
      </w:r>
      <w:r>
        <w:rPr>
          <w:rStyle w:val="48"/>
        </w:rPr>
        <w:t>ONE of the agents has been designated as the HOST-CULTURE GUARDIAN — the agent whose cultural expertise most closely matches the target culture in the question.</w:t>
      </w:r>
      <w:r>
        <w:br w:type="textWrapping"/>
      </w:r>
      <w:r>
        <w:br w:type="textWrapping"/>
      </w:r>
      <w:r>
        <w:rPr>
          <w:rStyle w:val="48"/>
        </w:rPr>
        <w:t>Your task is to synthesize all available information — the question itself, each agent's initial reasoning, and how their positions evolved during debate — to arrive at the most culturally accurate answer.</w:t>
      </w:r>
      <w:r>
        <w:br w:type="textWrapping"/>
      </w:r>
      <w:r>
        <w:br w:type="textWrapping"/>
      </w:r>
      <w:r>
        <w:rPr>
          <w:rStyle w:val="48"/>
        </w:rPr>
        <w:t>When evaluating:</w:t>
      </w:r>
      <w:r>
        <w:br w:type="textWrapping"/>
      </w:r>
      <w:r>
        <w:rPr>
          <w:rStyle w:val="48"/>
        </w:rPr>
        <w:t>1. Give HIGHER WEIGHT to the Host-Culture Guardian's factual claims about the target culture.</w:t>
      </w:r>
      <w:r>
        <w:br w:type="textWrapping"/>
      </w:r>
      <w:r>
        <w:rPr>
          <w:rStyle w:val="48"/>
        </w:rPr>
        <w:t>2. The Guardian has VETO AUTHORITY: if the Guardian's answer differs from the majority AND the Guardian provides specific cultural evidence, prefer the Guardian's answer unless other agents present equally specific counter-evidence about the TARGET culture.</w:t>
      </w:r>
      <w:r>
        <w:br w:type="textWrapping"/>
      </w:r>
      <w:r>
        <w:rPr>
          <w:rStyle w:val="48"/>
        </w:rPr>
        <w:t>3. Cross-Cultural Auditors provide valuable comparative perspectives, but their claims about the target culture should be verified against the Guardian's expertise.</w:t>
      </w:r>
      <w:r>
        <w:br w:type="textWrapping"/>
      </w:r>
      <w:r>
        <w:rPr>
          <w:rStyle w:val="48"/>
        </w:rPr>
        <w:t>4. Pay attention to how agents' positions shifted during debate — consensus reached through evidence-based discussion is more reliable than initial disagreement.</w:t>
      </w:r>
      <w:r>
        <w:br w:type="textWrapping"/>
      </w:r>
      <w:r>
        <w:rPr>
          <w:rStyle w:val="48"/>
        </w:rPr>
        <w:t>5. Base your final decision on verifiable cultural facts, with the Guardian's input as your primary reference.</w:t>
      </w:r>
      <w:r>
        <w:br w:type="textWrapping"/>
      </w:r>
      <w:r>
        <w:rPr>
          <w:rStyle w:val="48"/>
        </w:rPr>
        <w:t>6. CRITICAL — Three-way classification:</w:t>
      </w:r>
      <w:r>
        <w:br w:type="textWrapping"/>
      </w:r>
      <w:r>
        <w:rPr>
          <w:rStyle w:val="48"/>
        </w:rPr>
        <w:t xml:space="preserve">   - Answer "1" ONLY if there is specific evidence the behavior IS culturally acceptable</w:t>
      </w:r>
      <w:r>
        <w:br w:type="textWrapping"/>
      </w:r>
      <w:r>
        <w:rPr>
          <w:rStyle w:val="48"/>
        </w:rPr>
        <w:t xml:space="preserve">   - Answer "2" ONLY if there is specific evidence the behavior IS culturally unacceptable</w:t>
      </w:r>
      <w:r>
        <w:br w:type="textWrapping"/>
      </w:r>
      <w:r>
        <w:rPr>
          <w:rStyle w:val="48"/>
        </w:rPr>
        <w:t xml:space="preserve">   - Answer "3" if: (a) the behavior is not culturally specific (universal human behavior),</w:t>
      </w:r>
      <w:r>
        <w:br w:type="textWrapping"/>
      </w:r>
      <w:r>
        <w:rPr>
          <w:rStyle w:val="48"/>
        </w:rPr>
        <w:t xml:space="preserve">     OR (b) cultural norms on this vary within the target country,</w:t>
      </w:r>
      <w:r>
        <w:br w:type="textWrapping"/>
      </w:r>
      <w:r>
        <w:rPr>
          <w:rStyle w:val="48"/>
        </w:rPr>
        <w:t xml:space="preserve">     OR (c) agents provide conflicting claims without decisive evidence,</w:t>
      </w:r>
      <w:r>
        <w:br w:type="textWrapping"/>
      </w:r>
      <w:r>
        <w:rPr>
          <w:rStyle w:val="48"/>
        </w:rPr>
        <w:t xml:space="preserve">     OR (d) the behavior simply has no cultural valence in the target context</w:t>
      </w:r>
      <w:r>
        <w:br w:type="textWrapping"/>
      </w:r>
      <w:r>
        <w:rPr>
          <w:rStyle w:val="48"/>
        </w:rPr>
        <w:t xml:space="preserve">   - When in doubt between a forced judgment and "neutral", prefer "3" — a calibrated "I'm not sure" is more valuable than a confident wrong answer.</w:t>
      </w:r>
      <w:r>
        <w:br w:type="textWrapping"/>
      </w:r>
      <w:r>
        <w:rPr>
          <w:rStyle w:val="48"/>
        </w:rPr>
        <w:t>7. GUARDIAN FAILURE PROTOCOL — Cultural Affinity Arbitration:</w:t>
      </w:r>
      <w:r>
        <w:br w:type="textWrapping"/>
      </w:r>
      <w:r>
        <w:rPr>
          <w:rStyle w:val="48"/>
        </w:rPr>
        <w:t xml:space="preserve">   If the Host-Culture Guardian has FAILED to provide a valid answer (format collapse, empty reasoning, or explicit uncertainty), do NOT fall back to simple majority voting.</w:t>
      </w:r>
      <w:r>
        <w:br w:type="textWrapping"/>
      </w:r>
      <w:r>
        <w:rPr>
          <w:rStyle w:val="48"/>
        </w:rPr>
        <w:t xml:space="preserve">   Instead, activate cross-cultural affinity-weighted arbitration:</w:t>
      </w:r>
      <w:r>
        <w:br w:type="textWrapping"/>
      </w:r>
      <w:r>
        <w:rPr>
          <w:rStyle w:val="48"/>
        </w:rPr>
        <w:t xml:space="preserve">   - You will be provided with CULTURAL AFFINITY SCORES indicating how culturally proximate each Auditor's background is to the target culture.</w:t>
      </w:r>
      <w:r>
        <w:br w:type="textWrapping"/>
      </w:r>
      <w:r>
        <w:rPr>
          <w:rStyle w:val="48"/>
        </w:rPr>
        <w:t xml:space="preserve">   - Give HIGHER WEIGHT to Auditors with higher affinity scores — their cultural proximity to the target culture makes their reasoning more reliable.</w:t>
      </w:r>
      <w:r>
        <w:br w:type="textWrapping"/>
      </w:r>
      <w:r>
        <w:rPr>
          <w:rStyle w:val="48"/>
        </w:rPr>
        <w:t xml:space="preserve">   - Even if numerically fewer agents support an answer, prefer the answer backed by the highest-affinity Auditor(s) IF they provide specific cultural evidence.</w:t>
      </w:r>
      <w:r>
        <w:br w:type="textWrapping"/>
      </w:r>
      <w:r>
        <w:rPr>
          <w:rStyle w:val="48"/>
        </w:rPr>
        <w:t xml:space="preserve">   - Evaluate each Auditor's reasoning chain for concrete cultural references (practices, traditions, norms) that align with the target culture context.</w:t>
      </w:r>
    </w:p>
    <w:p w14:paraId="748D5ADD">
      <w:pPr>
        <w:pStyle w:val="23"/>
      </w:pPr>
      <w:r>
        <w:rPr>
          <w:rFonts w:hint="eastAsia"/>
        </w:rPr>
        <w:t>当检测到</w:t>
      </w:r>
      <w:r>
        <w:t xml:space="preserve"> Guardian </w:t>
      </w:r>
      <w:r>
        <w:rPr>
          <w:rFonts w:hint="eastAsia"/>
        </w:rPr>
        <w:t>失效时（格式崩溃、答案不可提取或明确放弃），Judge</w:t>
      </w:r>
      <w:r>
        <w:t xml:space="preserve"> </w:t>
      </w:r>
      <w:r>
        <w:rPr>
          <w:rFonts w:hint="eastAsia"/>
        </w:rPr>
        <w:t>的</w:t>
      </w:r>
      <w:r>
        <w:t xml:space="preserve"> User Prompt </w:t>
      </w:r>
      <w:r>
        <w:rPr>
          <w:rFonts w:hint="eastAsia"/>
        </w:rPr>
        <w:t>切换为亲缘度仲裁模式：</w:t>
      </w:r>
    </w:p>
    <w:p w14:paraId="6DE3B91B">
      <w:pPr>
        <w:pStyle w:val="49"/>
      </w:pPr>
      <w:r>
        <w:rPr>
          <w:rStyle w:val="48"/>
        </w:rPr>
        <w:t>TARGET CULTURE: {target_country}</w:t>
      </w:r>
      <w:r>
        <w:br w:type="textWrapping"/>
      </w:r>
      <w:r>
        <w:br w:type="textWrapping"/>
      </w:r>
      <w:r>
        <w:rPr>
          <w:rStyle w:val="48"/>
        </w:rPr>
        <w:t>{question}</w:t>
      </w:r>
      <w:r>
        <w:br w:type="textWrapping"/>
      </w:r>
      <w:r>
        <w:br w:type="textWrapping"/>
      </w:r>
      <w:r>
        <w:rPr>
          <w:rStyle w:val="48"/>
        </w:rPr>
        <w:t>⚠️ GUARDIAN FAILURE: The HOST-CULTURE GUARDIAN [{guardian_name}] has FAILED to provide a valid answer for this question. Activate Cultural Affinity Arbitration protocol.</w:t>
      </w:r>
      <w:r>
        <w:br w:type="textWrapping"/>
      </w:r>
      <w:r>
        <w:br w:type="textWrapping"/>
      </w:r>
      <w:r>
        <w:rPr>
          <w:rStyle w:val="48"/>
        </w:rPr>
        <w:t>CULTURAL AFFINITY SCORES (proximity to {target_country}'s culture):</w:t>
      </w:r>
      <w:r>
        <w:br w:type="textWrapping"/>
      </w:r>
      <w:r>
        <w:rPr>
          <w:rStyle w:val="48"/>
        </w:rPr>
        <w:t xml:space="preserve">  - [{auditor_name}]: {affinity_score}</w:t>
      </w:r>
      <w:r>
        <w:br w:type="textWrapping"/>
      </w:r>
      <w:r>
        <w:rPr>
          <w:rStyle w:val="48"/>
        </w:rPr>
        <w:t xml:space="preserve">  ...</w:t>
      </w:r>
      <w:r>
        <w:br w:type="textWrapping"/>
      </w:r>
      <w:r>
        <w:br w:type="textWrapping"/>
      </w:r>
      <w:r>
        <w:rPr>
          <w:rStyle w:val="48"/>
        </w:rPr>
        <w:t>Agent responses:</w:t>
      </w:r>
      <w:r>
        <w:br w:type="textWrapping"/>
      </w:r>
      <w:r>
        <w:rPr>
          <w:rStyle w:val="48"/>
        </w:rPr>
        <w:t>[{guardian_name}] (HOST-CULTURE GUARDIAN — FAILED, no valid answer):</w:t>
      </w:r>
      <w:r>
        <w:br w:type="textWrapping"/>
      </w:r>
      <w:r>
        <w:rPr>
          <w:rStyle w:val="48"/>
        </w:rPr>
        <w:t>{guardian_response}</w:t>
      </w:r>
      <w:r>
        <w:br w:type="textWrapping"/>
      </w:r>
      <w:r>
        <w:rPr>
          <w:rStyle w:val="48"/>
        </w:rPr>
        <w:t>[{auditor_name}] (Cross-Cultural Auditor, affinity to target culture: {score}):</w:t>
      </w:r>
      <w:r>
        <w:br w:type="textWrapping"/>
      </w:r>
      <w:r>
        <w:rPr>
          <w:rStyle w:val="48"/>
        </w:rPr>
        <w:t>{auditor_response}</w:t>
      </w:r>
      <w:r>
        <w:br w:type="textWrapping"/>
      </w:r>
      <w:r>
        <w:rPr>
          <w:rStyle w:val="48"/>
        </w:rPr>
        <w:t>...</w:t>
      </w:r>
      <w:r>
        <w:br w:type="textWrapping"/>
      </w:r>
      <w:r>
        <w:br w:type="textWrapping"/>
      </w:r>
      <w:r>
        <w:rPr>
          <w:rStyle w:val="48"/>
        </w:rPr>
        <w:t>As the final arbitrator under Guardian Failure Protocol:</w:t>
      </w:r>
      <w:r>
        <w:br w:type="textWrapping"/>
      </w:r>
      <w:r>
        <w:rPr>
          <w:rStyle w:val="48"/>
        </w:rPr>
        <w:t>- Do NOT use simple majority voting.</w:t>
      </w:r>
      <w:r>
        <w:br w:type="textWrapping"/>
      </w:r>
      <w:r>
        <w:rPr>
          <w:rStyle w:val="48"/>
        </w:rPr>
        <w:t>- Give HIGHER WEIGHT to Auditors with higher affinity scores.</w:t>
      </w:r>
      <w:r>
        <w:br w:type="textWrapping"/>
      </w:r>
      <w:r>
        <w:rPr>
          <w:rStyle w:val="48"/>
        </w:rPr>
        <w:t>- If the highest-affinity Auditor provides specific cultural evidence, prefer their answer even if outnumbered.</w:t>
      </w:r>
      <w:r>
        <w:br w:type="textWrapping"/>
      </w:r>
      <w:r>
        <w:rPr>
          <w:rStyle w:val="48"/>
        </w:rPr>
        <w:t>- Evaluate each Auditor's reasoning for concrete cultural references.</w:t>
      </w:r>
      <w:r>
        <w:br w:type="textWrapping"/>
      </w:r>
      <w:r>
        <w:br w:type="textWrapping"/>
      </w:r>
      <w:r>
        <w:rPr>
          <w:rStyle w:val="48"/>
        </w:rPr>
        <w:t>Reasoning: &lt;your reasoning, referencing affinity-weighted evidence&gt;</w:t>
      </w:r>
      <w:r>
        <w:br w:type="textWrapping"/>
      </w:r>
      <w:r>
        <w:rPr>
          <w:rStyle w:val="48"/>
        </w:rPr>
        <w:t>Answer: &lt;number&gt;</w:t>
      </w:r>
    </w:p>
    <w:bookmarkEnd w:id="33"/>
    <w:p w14:paraId="54414581">
      <w:pPr>
        <w:pStyle w:val="5"/>
      </w:pPr>
      <w:bookmarkStart w:id="34" w:name="d.5-六大文化圈的认知基础描述"/>
      <w:r>
        <w:rPr>
          <w:b/>
          <w:bCs/>
        </w:rPr>
        <w:t xml:space="preserve">D.5 </w:t>
      </w:r>
      <w:r>
        <w:rPr>
          <w:rFonts w:hint="eastAsia"/>
          <w:b/>
          <w:bCs/>
        </w:rPr>
        <w:t>六大文化圈的认知基础描述</w:t>
      </w:r>
    </w:p>
    <w:p w14:paraId="67145A13">
      <w:pPr>
        <w:pStyle w:val="23"/>
      </w:pPr>
      <w:r>
        <w:rPr>
          <w:rFonts w:hint="eastAsia"/>
        </w:rPr>
        <w:t>为使各文化圈的</w:t>
      </w:r>
      <w:r>
        <w:t xml:space="preserve"> Guardian </w:t>
      </w:r>
      <w:r>
        <w:rPr>
          <w:rFonts w:hint="eastAsia"/>
        </w:rPr>
        <w:t>提示词具备实质性的文化知识锚点，每个文化圈均配有一段”认知基础”描述，作为</w:t>
      </w:r>
      <w:r>
        <w:t xml:space="preserve"> Guardian System Prompt </w:t>
      </w:r>
      <w:r>
        <w:rPr>
          <w:rFonts w:hint="eastAsia"/>
        </w:rPr>
        <w:t>中</w:t>
      </w:r>
      <w:r>
        <w:t xml:space="preserve"> {cognitive_foundation_description} </w:t>
      </w:r>
      <w:r>
        <w:rPr>
          <w:rFonts w:hint="eastAsia"/>
        </w:rPr>
        <w:t>的填充内容：</w:t>
      </w:r>
    </w:p>
    <w:p w14:paraId="12D0808B">
      <w:pPr>
        <w:pStyle w:val="3"/>
      </w:pPr>
      <w:r>
        <w:rPr>
          <w:rFonts w:hint="eastAsia"/>
        </w:rPr>
        <w:t>西方与英语文化圈（Western</w:t>
      </w:r>
      <w:r>
        <w:t xml:space="preserve"> &amp; </w:t>
      </w:r>
      <w:r>
        <w:rPr>
          <w:rFonts w:hint="eastAsia"/>
        </w:rPr>
        <w:t>Anglo-Saxon）：English-speaking</w:t>
      </w:r>
      <w:r>
        <w:t xml:space="preserve"> nations and secular holidays derived from Christian traditions (Thanksgiving, Christmas, National Days), individualism, low power-distance social etiquette, and legal norms prevalent in North America, Australia/Oceania, and Western Europe.</w:t>
      </w:r>
    </w:p>
    <w:p w14:paraId="63E00EB7">
      <w:pPr>
        <w:pStyle w:val="3"/>
      </w:pPr>
      <w:r>
        <w:rPr>
          <w:rFonts w:hint="eastAsia"/>
        </w:rPr>
        <w:t>拉丁美洲文化圈（Latin</w:t>
      </w:r>
      <w:r>
        <w:t xml:space="preserve"> </w:t>
      </w:r>
      <w:r>
        <w:rPr>
          <w:rFonts w:hint="eastAsia"/>
        </w:rPr>
        <w:t>American）：Hybrid</w:t>
      </w:r>
      <w:r>
        <w:t xml:space="preserve"> cultures blending Catholic traditions with indigenous/Afro-descendant elements, including Carnival, Día de los Muertos, warm and expressive social distances, and cultural taboos prevalent in South America and Central America (including Mexico).</w:t>
      </w:r>
    </w:p>
    <w:p w14:paraId="25A1617E">
      <w:pPr>
        <w:pStyle w:val="3"/>
      </w:pPr>
      <w:r>
        <w:rPr>
          <w:rFonts w:hint="eastAsia"/>
        </w:rPr>
        <w:t>撒哈拉以南非洲文化圈（Sub-Saharan</w:t>
      </w:r>
      <w:r>
        <w:t xml:space="preserve"> </w:t>
      </w:r>
      <w:r>
        <w:rPr>
          <w:rFonts w:hint="eastAsia"/>
        </w:rPr>
        <w:t>African）：Indigenous</w:t>
      </w:r>
      <w:r>
        <w:t xml:space="preserve"> tribal traditions (such as the Ubuntu spirit), rich tribal ceremonies, local taboos, and the unique extended-family collectivism prevalent in Sub-Saharan Africa (Nigeria, Kenya, South Africa, etc.).</w:t>
      </w:r>
    </w:p>
    <w:p w14:paraId="3B25DE8A">
      <w:pPr>
        <w:pStyle w:val="3"/>
      </w:pPr>
      <w:r>
        <w:rPr>
          <w:rFonts w:hint="eastAsia"/>
        </w:rPr>
        <w:t>东亚文化圈（East-Asian）：Confucian</w:t>
      </w:r>
      <w:r>
        <w:t xml:space="preserve"> cultural sphere and the Chinese character (Hanzi/Kanji) cultural sphere, including traditional festivals (Spring Festival, Mid-Autumn Festival), face culture (mianzi), collectivism, and high uncertainty avoidance prevalent in China, Japan, and Korea.</w:t>
      </w:r>
    </w:p>
    <w:p w14:paraId="36D71DB7">
      <w:pPr>
        <w:pStyle w:val="3"/>
      </w:pPr>
      <w:r>
        <w:rPr>
          <w:rFonts w:hint="eastAsia"/>
        </w:rPr>
        <w:t>伊斯兰与中东文化圈（Islamic</w:t>
      </w:r>
      <w:r>
        <w:t xml:space="preserve"> &amp; </w:t>
      </w:r>
      <w:r>
        <w:rPr>
          <w:rFonts w:hint="eastAsia"/>
        </w:rPr>
        <w:t>Middle-Eastern）：Sharia</w:t>
      </w:r>
      <w:r>
        <w:t xml:space="preserve"> law, Eid al-Fitr, Eid al-Adha, unique halal dietary prohibitions, the sanctity of the color green and the right hand, and other Islamic cultural norms prevalent in the Middle East, North Africa, and parts of Southeast Asia.</w:t>
      </w:r>
    </w:p>
    <w:p w14:paraId="759BB731">
      <w:pPr>
        <w:pStyle w:val="3"/>
      </w:pPr>
      <w:r>
        <w:rPr>
          <w:rFonts w:hint="eastAsia"/>
        </w:rPr>
        <w:t>南亚与东南亚文化圈（South</w:t>
      </w:r>
      <w:r>
        <w:t xml:space="preserve"> &amp; Southeast </w:t>
      </w:r>
      <w:r>
        <w:rPr>
          <w:rFonts w:hint="eastAsia"/>
        </w:rPr>
        <w:t>Asian）：Buddhist</w:t>
      </w:r>
      <w:r>
        <w:t xml:space="preserve"> and Hindu traditions, as well as the unique folk customs and cultural taboos of tropical regions (such as not touching someone’s head), prevalent in India, Thailand, Malaysia, etc.</w:t>
      </w:r>
    </w:p>
    <w:p w14:paraId="71CFB81A">
      <w:pPr>
        <w:pStyle w:val="3"/>
      </w:pPr>
      <w:r>
        <w:rPr>
          <w:rFonts w:hint="eastAsia"/>
        </w:rPr>
        <w:t>这些认知基础描述为</w:t>
      </w:r>
      <w:r>
        <w:t xml:space="preserve"> Guardian </w:t>
      </w:r>
      <w:r>
        <w:rPr>
          <w:rFonts w:hint="eastAsia"/>
        </w:rPr>
        <w:t>智能体提供了具体、可操作的文化知识框架，而非空泛的角色标签。</w:t>
      </w:r>
    </w:p>
    <w:bookmarkEnd w:id="34"/>
    <w:p w14:paraId="48D6AD77">
      <w:pPr>
        <w:pStyle w:val="5"/>
      </w:pPr>
      <w:bookmarkStart w:id="35" w:name="d.6-采样温度配置"/>
      <w:r>
        <w:rPr>
          <w:b/>
          <w:bCs/>
        </w:rPr>
        <w:t xml:space="preserve">D.6 </w:t>
      </w:r>
      <w:r>
        <w:rPr>
          <w:rFonts w:hint="eastAsia"/>
          <w:b/>
          <w:bCs/>
        </w:rPr>
        <w:t>采样温度配置</w:t>
      </w:r>
    </w:p>
    <w:p w14:paraId="6EC976FC">
      <w:pPr>
        <w:pStyle w:val="23"/>
      </w:pPr>
      <w:r>
        <w:rPr>
          <w:rFonts w:hint="eastAsia"/>
        </w:rPr>
        <w:t>三个数据集采用一致的温度设计意图：Guardian</w:t>
      </w:r>
      <w:r>
        <w:t xml:space="preserve"> </w:t>
      </w:r>
      <w:r>
        <w:rPr>
          <w:rFonts w:hint="eastAsia"/>
        </w:rPr>
        <w:t>使用低温（约</w:t>
      </w:r>
      <w:r>
        <w:t xml:space="preserve"> </w:t>
      </w:r>
      <w:r>
        <w:rPr>
          <w:rFonts w:hint="eastAsia"/>
        </w:rPr>
        <w:t>0.5）以确保权威分析的精确性与一致性；Auditor</w:t>
      </w:r>
      <w:r>
        <w:t xml:space="preserve"> </w:t>
      </w:r>
      <w:r>
        <w:rPr>
          <w:rFonts w:hint="eastAsia"/>
        </w:rPr>
        <w:t>使用高温（约</w:t>
      </w:r>
      <w:r>
        <w:t xml:space="preserve"> </w:t>
      </w:r>
      <w:r>
        <w:rPr>
          <w:rFonts w:hint="eastAsia"/>
        </w:rPr>
        <w:t>0.9）以提供多样的跨文化对比视角、避免趋同；Judge</w:t>
      </w:r>
      <w:r>
        <w:t xml:space="preserve"> </w:t>
      </w:r>
      <w:r>
        <w:rPr>
          <w:rFonts w:hint="eastAsia"/>
        </w:rPr>
        <w:t>使用极低温（约</w:t>
      </w:r>
      <w:r>
        <w:t xml:space="preserve"> </w:t>
      </w:r>
      <w:r>
        <w:rPr>
          <w:rFonts w:hint="eastAsia"/>
        </w:rPr>
        <w:t>0.3）以确保裁决的稳定性。在</w:t>
      </w:r>
      <w:r>
        <w:t xml:space="preserve"> CulturalBench </w:t>
      </w:r>
      <w:r>
        <w:rPr>
          <w:rFonts w:hint="eastAsia"/>
        </w:rPr>
        <w:t>与</w:t>
      </w:r>
      <w:r>
        <w:t xml:space="preserve"> BLEnD </w:t>
      </w:r>
      <w:r>
        <w:rPr>
          <w:rFonts w:hint="eastAsia"/>
        </w:rPr>
        <w:t>的</w:t>
      </w:r>
      <w:r>
        <w:t xml:space="preserve"> MAD </w:t>
      </w:r>
      <w:r>
        <w:rPr>
          <w:rFonts w:hint="eastAsia"/>
        </w:rPr>
        <w:t>辩论流程中，feedback</w:t>
      </w:r>
      <w:r>
        <w:t xml:space="preserve"> </w:t>
      </w:r>
      <w:r>
        <w:rPr>
          <w:rFonts w:hint="eastAsia"/>
        </w:rPr>
        <w:t>阶段使用</w:t>
      </w:r>
      <w:r>
        <w:t xml:space="preserve"> Auditor </w:t>
      </w:r>
      <w:r>
        <w:rPr>
          <w:rFonts w:hint="eastAsia"/>
        </w:rPr>
        <w:t>高温采样以保持观点多样性，final</w:t>
      </w:r>
      <w:r>
        <w:t xml:space="preserve"> decision </w:t>
      </w:r>
      <w:r>
        <w:rPr>
          <w:rFonts w:hint="eastAsia"/>
        </w:rPr>
        <w:t>阶段切回</w:t>
      </w:r>
      <w:r>
        <w:t xml:space="preserve"> Guardian </w:t>
      </w:r>
      <w:r>
        <w:rPr>
          <w:rFonts w:hint="eastAsia"/>
        </w:rPr>
        <w:t>低温采样以收敛答案。</w:t>
      </w:r>
    </w:p>
    <w:bookmarkEnd w:id="29"/>
    <w:bookmarkEnd w:id="35"/>
    <w:p w14:paraId="41E689B3">
      <w:pPr>
        <w:pStyle w:val="4"/>
      </w:pPr>
      <w:bookmarkStart w:id="36" w:name="附录-e-case-study"/>
      <w:r>
        <w:rPr>
          <w:rFonts w:hint="eastAsia"/>
          <w:b/>
          <w:bCs/>
        </w:rPr>
        <w:t>附录</w:t>
      </w:r>
      <w:r>
        <w:rPr>
          <w:b/>
          <w:bCs/>
        </w:rPr>
        <w:t xml:space="preserve"> E　Case Study</w:t>
      </w:r>
    </w:p>
    <w:p w14:paraId="443D5E16">
      <w:pPr>
        <w:pStyle w:val="23"/>
      </w:pPr>
      <w:r>
        <w:rPr>
          <w:rFonts w:hint="eastAsia"/>
        </w:rPr>
        <w:t>本节选取</w:t>
      </w:r>
      <w:r>
        <w:t xml:space="preserve"> NormAd </w:t>
      </w:r>
      <w:r>
        <w:rPr>
          <w:rFonts w:hint="eastAsia"/>
        </w:rPr>
        <w:t>数据集上两个具有代表性的跨文化推理案例，展示</w:t>
      </w:r>
      <w:r>
        <w:t xml:space="preserve"> HF-CAC </w:t>
      </w:r>
      <w:r>
        <w:rPr>
          <w:rFonts w:hint="eastAsia"/>
        </w:rPr>
        <w:t>协商流程中主场权威机制的实际作用方式。两个案例分别涉及苏丹（撒哈拉以南非洲文化圈）与印度（南亚与东南亚文化圈），均选取自</w:t>
      </w:r>
      <w:r>
        <w:t xml:space="preserve"> Qwen-2.5-7B-Instruct </w:t>
      </w:r>
      <w:r>
        <w:rPr>
          <w:rFonts w:hint="eastAsia"/>
        </w:rPr>
        <w:t>基座模型的真实推理记录。</w:t>
      </w:r>
    </w:p>
    <w:p w14:paraId="014F4577">
      <w:pPr>
        <w:pStyle w:val="5"/>
      </w:pPr>
      <w:bookmarkStart w:id="37" w:name="e.1-案例一苏丹右手礼仪的文化禁忌"/>
      <w:r>
        <w:rPr>
          <w:b/>
          <w:bCs/>
        </w:rPr>
        <w:t xml:space="preserve">E.1 </w:t>
      </w:r>
      <w:r>
        <w:rPr>
          <w:rFonts w:hint="eastAsia"/>
          <w:b/>
          <w:bCs/>
        </w:rPr>
        <w:t>案例一：苏丹——右手礼仪的文化禁忌</w:t>
      </w:r>
    </w:p>
    <w:p w14:paraId="5928A70B">
      <w:pPr>
        <w:pStyle w:val="23"/>
      </w:pPr>
      <w:r>
        <w:rPr>
          <w:rFonts w:hint="eastAsia"/>
          <w:b/>
          <w:bCs/>
        </w:rPr>
        <w:t>题目背景：</w:t>
      </w:r>
      <w:r>
        <w:t xml:space="preserve"> </w:t>
      </w:r>
      <w:r>
        <w:rPr>
          <w:rFonts w:hint="eastAsia"/>
        </w:rPr>
        <w:t>目标文化为苏丹（Sudan），属于撒哈拉以南非洲文化圈。题目描述的场景为：在一次朋友家的非正式晚宴上，Sarah</w:t>
      </w:r>
      <w:r>
        <w:t xml:space="preserve"> </w:t>
      </w:r>
      <w:r>
        <w:rPr>
          <w:rFonts w:hint="eastAsia"/>
        </w:rPr>
        <w:t>用左手将菜递给</w:t>
      </w:r>
      <w:r>
        <w:t xml:space="preserve"> </w:t>
      </w:r>
      <w:r>
        <w:rPr>
          <w:rFonts w:hint="eastAsia"/>
        </w:rPr>
        <w:t>Tom。问题判断该行为在苏丹文化中是否可接受。文化背景信息中明确记载：在苏丹，使用右手或双手递物是基本礼仪，左手用于清洁卫生，不应用于递物或触碰食物。正确答案为”2”（不可接受）。本场推理中，Guardian</w:t>
      </w:r>
      <w:r>
        <w:t xml:space="preserve"> </w:t>
      </w:r>
      <w:r>
        <w:rPr>
          <w:rFonts w:hint="eastAsia"/>
        </w:rPr>
        <w:t>由撒哈拉以南非洲文化</w:t>
      </w:r>
      <w:r>
        <w:t xml:space="preserve"> Agent </w:t>
      </w:r>
      <w:r>
        <w:rPr>
          <w:rFonts w:hint="eastAsia"/>
        </w:rPr>
        <w:t>担任。</w:t>
      </w:r>
    </w:p>
    <w:p w14:paraId="079D2F69">
      <w:pPr>
        <w:pStyle w:val="3"/>
      </w:pPr>
      <w:r>
        <w:rPr>
          <w:b/>
          <w:bCs/>
        </w:rPr>
        <w:t xml:space="preserve">Guardian </w:t>
      </w:r>
      <w:r>
        <w:rPr>
          <w:rFonts w:hint="eastAsia"/>
          <w:b/>
          <w:bCs/>
        </w:rPr>
        <w:t>的权威判断：</w:t>
      </w:r>
      <w:r>
        <w:t xml:space="preserve"> Guardian </w:t>
      </w:r>
      <w:r>
        <w:rPr>
          <w:rFonts w:hint="eastAsia"/>
        </w:rPr>
        <w:t>明确指出，在苏丹文化中，使用右手或双手进行手势与递物是一项根深蒂固的习俗，左手被保留用于卫生用途，在公共场合用左手递物被视为不礼貌。Guardian</w:t>
      </w:r>
      <w:r>
        <w:t xml:space="preserve"> </w:t>
      </w:r>
      <w:r>
        <w:rPr>
          <w:rFonts w:hint="eastAsia"/>
        </w:rPr>
        <w:t>据此判定</w:t>
      </w:r>
      <w:r>
        <w:t xml:space="preserve"> Sarah </w:t>
      </w:r>
      <w:r>
        <w:rPr>
          <w:rFonts w:hint="eastAsia"/>
        </w:rPr>
        <w:t>的行为不可接受（Answer:</w:t>
      </w:r>
      <w:r>
        <w:t xml:space="preserve"> </w:t>
      </w:r>
      <w:r>
        <w:rPr>
          <w:rFonts w:hint="eastAsia"/>
        </w:rPr>
        <w:t>2），并给出了具体的文化依据——这一习俗根植于苏丹文化中对传统礼仪的尊重。</w:t>
      </w:r>
    </w:p>
    <w:p w14:paraId="343088FD">
      <w:pPr>
        <w:pStyle w:val="3"/>
      </w:pPr>
      <w:r>
        <w:rPr>
          <w:b/>
          <w:bCs/>
        </w:rPr>
        <w:t xml:space="preserve">Auditor </w:t>
      </w:r>
      <w:r>
        <w:rPr>
          <w:rFonts w:hint="eastAsia"/>
          <w:b/>
          <w:bCs/>
        </w:rPr>
        <w:t>之间的分歧：</w:t>
      </w:r>
      <w:r>
        <w:t xml:space="preserve"> </w:t>
      </w:r>
      <w:r>
        <w:rPr>
          <w:rFonts w:hint="eastAsia"/>
        </w:rPr>
        <w:t>五位</w:t>
      </w:r>
      <w:r>
        <w:t xml:space="preserve"> Auditor </w:t>
      </w:r>
      <w:r>
        <w:rPr>
          <w:rFonts w:hint="eastAsia"/>
        </w:rPr>
        <w:t>中出现了明显的意见分歧。西方与英语文化圈</w:t>
      </w:r>
      <w:r>
        <w:t xml:space="preserve"> Auditor </w:t>
      </w:r>
      <w:r>
        <w:rPr>
          <w:rFonts w:hint="eastAsia"/>
        </w:rPr>
        <w:t>倾向于将该行为判定为”3”（中性），认为在非正式场合中这一失误可被视为轻微的礼仪偏差而非严重冒犯；拉丁美洲文化圈</w:t>
      </w:r>
      <w:r>
        <w:t xml:space="preserve"> Auditor </w:t>
      </w:r>
      <w:r>
        <w:rPr>
          <w:rFonts w:hint="eastAsia"/>
        </w:rPr>
        <w:t>判定为”2”，认可该禁忌的文化严肃性；东亚文化圈</w:t>
      </w:r>
      <w:r>
        <w:t xml:space="preserve"> Auditor </w:t>
      </w:r>
      <w:r>
        <w:rPr>
          <w:rFonts w:hint="eastAsia"/>
        </w:rPr>
        <w:t>虽然认可</w:t>
      </w:r>
      <w:r>
        <w:t xml:space="preserve"> Guardian </w:t>
      </w:r>
      <w:r>
        <w:rPr>
          <w:rFonts w:hint="eastAsia"/>
        </w:rPr>
        <w:t>的分析，但指出在东亚文化中左手的禁忌不如苏丹严格；伊斯兰与中东文化圈</w:t>
      </w:r>
      <w:r>
        <w:t xml:space="preserve"> Auditor </w:t>
      </w:r>
      <w:r>
        <w:rPr>
          <w:rFonts w:hint="eastAsia"/>
        </w:rPr>
        <w:t>判定为”2”，指出在伊斯兰文化中同样存在右手优先的习俗；南亚与东南亚文化圈</w:t>
      </w:r>
      <w:r>
        <w:t xml:space="preserve"> Auditor </w:t>
      </w:r>
      <w:r>
        <w:rPr>
          <w:rFonts w:hint="eastAsia"/>
        </w:rPr>
        <w:t>也判定为”2”，指出印度教与佛教传统中左手同样被视为不洁。最终五位</w:t>
      </w:r>
      <w:r>
        <w:t xml:space="preserve"> Auditor </w:t>
      </w:r>
      <w:r>
        <w:rPr>
          <w:rFonts w:hint="eastAsia"/>
        </w:rPr>
        <w:t>的答案分布为</w:t>
      </w:r>
      <w:r>
        <w:t xml:space="preserve"> [3, 2, 2, 2, 2]。</w:t>
      </w:r>
    </w:p>
    <w:p w14:paraId="45043471">
      <w:pPr>
        <w:pStyle w:val="3"/>
      </w:pPr>
      <w:r>
        <w:rPr>
          <w:b/>
          <w:bCs/>
        </w:rPr>
        <w:t xml:space="preserve">Judge </w:t>
      </w:r>
      <w:r>
        <w:rPr>
          <w:rFonts w:hint="eastAsia"/>
          <w:b/>
          <w:bCs/>
        </w:rPr>
        <w:t>的综合裁决：</w:t>
      </w:r>
      <w:r>
        <w:t xml:space="preserve"> Judge </w:t>
      </w:r>
      <w:r>
        <w:rPr>
          <w:rFonts w:hint="eastAsia"/>
        </w:rPr>
        <w:t>在裁决中明确引用了</w:t>
      </w:r>
      <w:r>
        <w:t xml:space="preserve"> Guardian </w:t>
      </w:r>
      <w:r>
        <w:rPr>
          <w:rFonts w:hint="eastAsia"/>
        </w:rPr>
        <w:t>的权威分析，指出</w:t>
      </w:r>
      <w:r>
        <w:t xml:space="preserve"> Guardian </w:t>
      </w:r>
      <w:r>
        <w:rPr>
          <w:rFonts w:hint="eastAsia"/>
        </w:rPr>
        <w:t>提供了具体且可验证的文化证据——即苏丹文化中右手用于社交互动、左手用于卫生的深层文化规范。Judge</w:t>
      </w:r>
      <w:r>
        <w:t xml:space="preserve"> </w:t>
      </w:r>
      <w:r>
        <w:rPr>
          <w:rFonts w:hint="eastAsia"/>
        </w:rPr>
        <w:t>依据</w:t>
      </w:r>
      <w:r>
        <w:t xml:space="preserve"> Guardian </w:t>
      </w:r>
      <w:r>
        <w:rPr>
          <w:rFonts w:hint="eastAsia"/>
        </w:rPr>
        <w:t>的一票否决权与具体文化证据，判定该行为在苏丹文化中不可接受（Answer:</w:t>
      </w:r>
      <w:r>
        <w:t xml:space="preserve"> </w:t>
      </w:r>
      <w:r>
        <w:rPr>
          <w:rFonts w:hint="eastAsia"/>
        </w:rPr>
        <w:t>2），与正确答案一致。Judge</w:t>
      </w:r>
      <w:r>
        <w:t xml:space="preserve"> </w:t>
      </w:r>
      <w:r>
        <w:rPr>
          <w:rFonts w:hint="eastAsia"/>
        </w:rPr>
        <w:t>同时指出，虽然西方</w:t>
      </w:r>
      <w:r>
        <w:t xml:space="preserve"> Auditor </w:t>
      </w:r>
      <w:r>
        <w:rPr>
          <w:rFonts w:hint="eastAsia"/>
        </w:rPr>
        <w:t>提出了”非正式场合可能减轻冒犯程度”的观点，但这一观点缺乏对苏丹文化具体语境的深入了解，不构成对</w:t>
      </w:r>
      <w:r>
        <w:t xml:space="preserve"> Guardian </w:t>
      </w:r>
      <w:r>
        <w:rPr>
          <w:rFonts w:hint="eastAsia"/>
        </w:rPr>
        <w:t>权威判断的有效反驳。</w:t>
      </w:r>
    </w:p>
    <w:p w14:paraId="4D5CA76B">
      <w:pPr>
        <w:pStyle w:val="3"/>
      </w:pPr>
      <w:r>
        <w:rPr>
          <w:rFonts w:hint="eastAsia"/>
          <w:b/>
          <w:bCs/>
        </w:rPr>
        <w:t>案例启示：</w:t>
      </w:r>
      <w:r>
        <w:t xml:space="preserve"> </w:t>
      </w:r>
      <w:r>
        <w:rPr>
          <w:rFonts w:hint="eastAsia"/>
        </w:rPr>
        <w:t>该案例展示了主场权威机制在处理具有明确文化禁忌的场景时的核心优势。苏丹的左右手礼仪是一个具有强烈属地性的文化规范，Guardian</w:t>
      </w:r>
      <w:r>
        <w:t xml:space="preserve"> </w:t>
      </w:r>
      <w:r>
        <w:rPr>
          <w:rFonts w:hint="eastAsia"/>
        </w:rPr>
        <w:t>基于其对撒哈拉以南非洲文化的深入了解给出了准确判断，而缺乏这一文化背景的西方</w:t>
      </w:r>
      <w:r>
        <w:t xml:space="preserve"> Auditor </w:t>
      </w:r>
      <w:r>
        <w:rPr>
          <w:rFonts w:hint="eastAsia"/>
        </w:rPr>
        <w:t>则倾向于用自身文化的宽松标准来评判该行为，导致了判断偏差。Judge</w:t>
      </w:r>
      <w:r>
        <w:t xml:space="preserve"> </w:t>
      </w:r>
      <w:r>
        <w:rPr>
          <w:rFonts w:hint="eastAsia"/>
        </w:rPr>
        <w:t>通过优先采纳</w:t>
      </w:r>
      <w:r>
        <w:t xml:space="preserve"> Guardian </w:t>
      </w:r>
      <w:r>
        <w:rPr>
          <w:rFonts w:hint="eastAsia"/>
        </w:rPr>
        <w:t>的文化证据，有效避免了这一偏差影响最终结论。</w:t>
      </w:r>
    </w:p>
    <w:bookmarkEnd w:id="37"/>
    <w:p w14:paraId="768FA1F0">
      <w:pPr>
        <w:pStyle w:val="5"/>
      </w:pPr>
      <w:bookmarkStart w:id="38" w:name="e.2-案例二印度右手递物的文化规范"/>
      <w:r>
        <w:rPr>
          <w:b/>
          <w:bCs/>
        </w:rPr>
        <w:t xml:space="preserve">E.2 </w:t>
      </w:r>
      <w:r>
        <w:rPr>
          <w:rFonts w:hint="eastAsia"/>
          <w:b/>
          <w:bCs/>
        </w:rPr>
        <w:t>案例二：印度——右手递物的文化规范</w:t>
      </w:r>
    </w:p>
    <w:p w14:paraId="7F446DDE">
      <w:pPr>
        <w:pStyle w:val="23"/>
      </w:pPr>
      <w:r>
        <w:rPr>
          <w:rFonts w:hint="eastAsia"/>
          <w:b/>
          <w:bCs/>
        </w:rPr>
        <w:t>题目背景：</w:t>
      </w:r>
      <w:r>
        <w:t xml:space="preserve"> </w:t>
      </w:r>
      <w:r>
        <w:rPr>
          <w:rFonts w:hint="eastAsia"/>
        </w:rPr>
        <w:t>目标文化为印度（India），属于南亚与东南亚文化圈。题目描述的场景为：在一次晚宴上，Emma</w:t>
      </w:r>
      <w:r>
        <w:t xml:space="preserve"> </w:t>
      </w:r>
      <w:r>
        <w:rPr>
          <w:rFonts w:hint="eastAsia"/>
        </w:rPr>
        <w:t>需要将盐递给</w:t>
      </w:r>
      <w:r>
        <w:t xml:space="preserve"> </w:t>
      </w:r>
      <w:r>
        <w:rPr>
          <w:rFonts w:hint="eastAsia"/>
        </w:rPr>
        <w:t>Alex，她注意到了文化礼仪，特意用右手将盐递给了</w:t>
      </w:r>
      <w:r>
        <w:t xml:space="preserve"> </w:t>
      </w:r>
      <w:r>
        <w:rPr>
          <w:rFonts w:hint="eastAsia"/>
        </w:rPr>
        <w:t>Alex。问题判断该行为在印度文化中是否可接受。文化背景信息中明确记载：在印度，物品通常用右手或双手递接，左手被认为保留用于清洁用途，不应单独使用左手递物。正确答案为”1”（可接受）。本场推理中，Guardian</w:t>
      </w:r>
      <w:r>
        <w:t xml:space="preserve"> </w:t>
      </w:r>
      <w:r>
        <w:rPr>
          <w:rFonts w:hint="eastAsia"/>
        </w:rPr>
        <w:t>由南亚与东南亚文化</w:t>
      </w:r>
      <w:r>
        <w:t xml:space="preserve"> Agent </w:t>
      </w:r>
      <w:r>
        <w:rPr>
          <w:rFonts w:hint="eastAsia"/>
        </w:rPr>
        <w:t>担任。</w:t>
      </w:r>
    </w:p>
    <w:p w14:paraId="7F37DD3F">
      <w:pPr>
        <w:pStyle w:val="3"/>
      </w:pPr>
      <w:r>
        <w:rPr>
          <w:b/>
          <w:bCs/>
        </w:rPr>
        <w:t xml:space="preserve">Guardian </w:t>
      </w:r>
      <w:r>
        <w:rPr>
          <w:rFonts w:hint="eastAsia"/>
          <w:b/>
          <w:bCs/>
        </w:rPr>
        <w:t>的权威判断：</w:t>
      </w:r>
      <w:r>
        <w:t xml:space="preserve"> Guardian </w:t>
      </w:r>
      <w:r>
        <w:rPr>
          <w:rFonts w:hint="eastAsia"/>
        </w:rPr>
        <w:t>指出，在印度文化中，用右手或双手递物是一项习俗，左手被视为不洁、保留用于个人卫生。Emma</w:t>
      </w:r>
      <w:r>
        <w:t xml:space="preserve"> </w:t>
      </w:r>
      <w:r>
        <w:rPr>
          <w:rFonts w:hint="eastAsia"/>
        </w:rPr>
        <w:t>选择用右手递盐完全符合这一文化规范，体现了对印度社交礼仪的尊重。Guardian</w:t>
      </w:r>
      <w:r>
        <w:t xml:space="preserve"> </w:t>
      </w:r>
      <w:r>
        <w:rPr>
          <w:rFonts w:hint="eastAsia"/>
        </w:rPr>
        <w:t>据此判定该行为可接受（Answer:</w:t>
      </w:r>
      <w:r>
        <w:t xml:space="preserve"> </w:t>
      </w:r>
      <w:r>
        <w:rPr>
          <w:rFonts w:hint="eastAsia"/>
        </w:rPr>
        <w:t>1）。</w:t>
      </w:r>
    </w:p>
    <w:p w14:paraId="1D2FC6FB">
      <w:pPr>
        <w:pStyle w:val="3"/>
      </w:pPr>
      <w:r>
        <w:rPr>
          <w:b/>
          <w:bCs/>
        </w:rPr>
        <w:t xml:space="preserve">Auditor </w:t>
      </w:r>
      <w:r>
        <w:rPr>
          <w:rFonts w:hint="eastAsia"/>
          <w:b/>
          <w:bCs/>
        </w:rPr>
        <w:t>之间的分歧：</w:t>
      </w:r>
      <w:r>
        <w:t xml:space="preserve"> </w:t>
      </w:r>
      <w:r>
        <w:rPr>
          <w:rFonts w:hint="eastAsia"/>
        </w:rPr>
        <w:t>五位</w:t>
      </w:r>
      <w:r>
        <w:t xml:space="preserve"> Auditor </w:t>
      </w:r>
      <w:r>
        <w:rPr>
          <w:rFonts w:hint="eastAsia"/>
        </w:rPr>
        <w:t>的答案分布为</w:t>
      </w:r>
      <w:r>
        <w:t xml:space="preserve"> [2, 1, 1, 2, </w:t>
      </w:r>
      <w:r>
        <w:rPr>
          <w:rFonts w:hint="eastAsia"/>
        </w:rPr>
        <w:t>1]，出现了明显的意见分歧。西方与英语文化圈</w:t>
      </w:r>
      <w:r>
        <w:t xml:space="preserve"> Auditor </w:t>
      </w:r>
      <w:r>
        <w:rPr>
          <w:rFonts w:hint="eastAsia"/>
        </w:rPr>
        <w:t>判定为”2”（不可接受），其理由是：在西方文化中，使用右手递物并非严格的文化规范，Emma</w:t>
      </w:r>
      <w:r>
        <w:t xml:space="preserve"> </w:t>
      </w:r>
      <w:r>
        <w:rPr>
          <w:rFonts w:hint="eastAsia"/>
        </w:rPr>
        <w:t>的行为可能被视为过度刻意或形式化。然而，这一判断显然混淆了从</w:t>
      </w:r>
      <w:r>
        <w:t xml:space="preserve"> Auditor </w:t>
      </w:r>
      <w:r>
        <w:rPr>
          <w:rFonts w:hint="eastAsia"/>
        </w:rPr>
        <w:t>自身文化视角的判断与对目标文化（印度）规范的判断。东亚文化圈</w:t>
      </w:r>
      <w:r>
        <w:t xml:space="preserve"> Auditor </w:t>
      </w:r>
      <w:r>
        <w:rPr>
          <w:rFonts w:hint="eastAsia"/>
        </w:rPr>
        <w:t>同样判定为”2”，认为东亚文化中虽然偏好右手，但左手并非严格禁忌，暗示印度的规范也可能不那么严格。拉丁美洲文化圈</w:t>
      </w:r>
      <w:r>
        <w:t xml:space="preserve"> </w:t>
      </w:r>
      <w:r>
        <w:rPr>
          <w:rFonts w:hint="eastAsia"/>
        </w:rPr>
        <w:t>Auditor、撒哈拉以南非洲文化圈</w:t>
      </w:r>
      <w:r>
        <w:t xml:space="preserve"> Auditor </w:t>
      </w:r>
      <w:r>
        <w:rPr>
          <w:rFonts w:hint="eastAsia"/>
        </w:rPr>
        <w:t>与伊斯兰与中东文化圈</w:t>
      </w:r>
      <w:r>
        <w:t xml:space="preserve"> Auditor </w:t>
      </w:r>
      <w:r>
        <w:rPr>
          <w:rFonts w:hint="eastAsia"/>
        </w:rPr>
        <w:t>均判定为”1”，各自从自身文化中找到了与印度类似的右手优先习俗。</w:t>
      </w:r>
    </w:p>
    <w:p w14:paraId="4CF13FDC">
      <w:pPr>
        <w:pStyle w:val="3"/>
      </w:pPr>
      <w:r>
        <w:rPr>
          <w:b/>
          <w:bCs/>
        </w:rPr>
        <w:t xml:space="preserve">Judge </w:t>
      </w:r>
      <w:r>
        <w:rPr>
          <w:rFonts w:hint="eastAsia"/>
          <w:b/>
          <w:bCs/>
        </w:rPr>
        <w:t>的综合裁决：</w:t>
      </w:r>
      <w:r>
        <w:t xml:space="preserve"> Judge </w:t>
      </w:r>
      <w:r>
        <w:rPr>
          <w:rFonts w:hint="eastAsia"/>
        </w:rPr>
        <w:t>在裁决中明确引用了</w:t>
      </w:r>
      <w:r>
        <w:t xml:space="preserve"> Guardian </w:t>
      </w:r>
      <w:r>
        <w:rPr>
          <w:rFonts w:hint="eastAsia"/>
        </w:rPr>
        <w:t>的权威分析，指出</w:t>
      </w:r>
      <w:r>
        <w:t xml:space="preserve"> Guardian </w:t>
      </w:r>
      <w:r>
        <w:rPr>
          <w:rFonts w:hint="eastAsia"/>
        </w:rPr>
        <w:t>提供了清晰且具体的文化证据——印度文化中右手用于社交互动、左手用于卫生的习俗根植于文化价值观中对清洁与尊重的重视。Judge</w:t>
      </w:r>
      <w:r>
        <w:t xml:space="preserve"> </w:t>
      </w:r>
      <w:r>
        <w:rPr>
          <w:rFonts w:hint="eastAsia"/>
        </w:rPr>
        <w:t>依据</w:t>
      </w:r>
      <w:r>
        <w:t xml:space="preserve"> Guardian </w:t>
      </w:r>
      <w:r>
        <w:rPr>
          <w:rFonts w:hint="eastAsia"/>
        </w:rPr>
        <w:t>的一票否决权与具体文化证据，判定该行为在印度文化中可接受（Answer:</w:t>
      </w:r>
      <w:r>
        <w:t xml:space="preserve"> </w:t>
      </w:r>
      <w:r>
        <w:rPr>
          <w:rFonts w:hint="eastAsia"/>
        </w:rPr>
        <w:t>1），与正确答案一致。Judge</w:t>
      </w:r>
      <w:r>
        <w:t xml:space="preserve"> </w:t>
      </w:r>
      <w:r>
        <w:rPr>
          <w:rFonts w:hint="eastAsia"/>
        </w:rPr>
        <w:t>同时指出，西方与东亚</w:t>
      </w:r>
      <w:r>
        <w:t xml:space="preserve"> Auditor </w:t>
      </w:r>
      <w:r>
        <w:rPr>
          <w:rFonts w:hint="eastAsia"/>
        </w:rPr>
        <w:t>虽然提供了有价值的比较视角，但其分析未达到与</w:t>
      </w:r>
      <w:r>
        <w:t xml:space="preserve"> Guardian </w:t>
      </w:r>
      <w:r>
        <w:rPr>
          <w:rFonts w:hint="eastAsia"/>
        </w:rPr>
        <w:t>同等程度的文化具体性，其判断更多反映了自身文化中缺乏类似禁忌的事实，而非对印度文化规范的有效反驳。</w:t>
      </w:r>
    </w:p>
    <w:p w14:paraId="5E2BA8FF">
      <w:pPr>
        <w:pStyle w:val="3"/>
      </w:pPr>
      <w:r>
        <w:rPr>
          <w:rFonts w:hint="eastAsia"/>
          <w:b/>
          <w:bCs/>
        </w:rPr>
        <w:t>案例启示：</w:t>
      </w:r>
      <w:r>
        <w:t xml:space="preserve"> </w:t>
      </w:r>
      <w:r>
        <w:rPr>
          <w:rFonts w:hint="eastAsia"/>
        </w:rPr>
        <w:t>该案例进一步展示了主场权威机制在</w:t>
      </w:r>
      <w:r>
        <w:t xml:space="preserve"> Auditor </w:t>
      </w:r>
      <w:r>
        <w:rPr>
          <w:rFonts w:hint="eastAsia"/>
        </w:rPr>
        <w:t>存在分歧时的裁决价值。两位</w:t>
      </w:r>
      <w:r>
        <w:t xml:space="preserve"> Auditor </w:t>
      </w:r>
      <w:r>
        <w:rPr>
          <w:rFonts w:hint="eastAsia"/>
        </w:rPr>
        <w:t>因自身文化中缺乏类似的严格左右手区分而错误地判定该行为不可接受，这一错误本质上是用自身文化的标准评判目标文化的规范。Guardian</w:t>
      </w:r>
      <w:r>
        <w:t xml:space="preserve"> </w:t>
      </w:r>
      <w:r>
        <w:rPr>
          <w:rFonts w:hint="eastAsia"/>
        </w:rPr>
        <w:t>基于其对印度文化的深入了解给出了准确判断，Judge</w:t>
      </w:r>
      <w:r>
        <w:t xml:space="preserve"> </w:t>
      </w:r>
      <w:r>
        <w:rPr>
          <w:rFonts w:hint="eastAsia"/>
        </w:rPr>
        <w:t>通过优先采纳</w:t>
      </w:r>
      <w:r>
        <w:t xml:space="preserve"> Guardian </w:t>
      </w:r>
      <w:r>
        <w:rPr>
          <w:rFonts w:hint="eastAsia"/>
        </w:rPr>
        <w:t>的文化证据而非简单多数投票，确保了最终结论的文化准确性。值得注意的是，判定为”1”的三位</w:t>
      </w:r>
      <w:r>
        <w:t xml:space="preserve"> Auditor </w:t>
      </w:r>
      <w:r>
        <w:rPr>
          <w:rFonts w:hint="eastAsia"/>
        </w:rPr>
        <w:t>分别来自拉丁美洲、撒哈拉以南非洲与伊斯兰文化圈，这些文化圈中同样存在右手优先的习俗，表明文化亲缘度较高的</w:t>
      </w:r>
      <w:r>
        <w:t xml:space="preserve"> Auditor </w:t>
      </w:r>
      <w:r>
        <w:rPr>
          <w:rFonts w:hint="eastAsia"/>
        </w:rPr>
        <w:t>更容易给出与</w:t>
      </w:r>
      <w:r>
        <w:t xml:space="preserve"> Guardian </w:t>
      </w:r>
      <w:r>
        <w:rPr>
          <w:rFonts w:hint="eastAsia"/>
        </w:rPr>
        <w:t>一致的判断，这也从侧面印证了文化亲缘度矩阵在设计上的合理性。</w:t>
      </w:r>
    </w:p>
    <w:bookmarkEnd w:id="36"/>
    <w:bookmarkEnd w:id="38"/>
    <w:p w14:paraId="4BFF22D1">
      <w:pPr>
        <w:pStyle w:val="4"/>
      </w:pPr>
      <w:r>
        <w:rPr>
          <w:rFonts w:hint="eastAsia"/>
          <w:b/>
          <w:bCs/>
        </w:rPr>
        <w:t>附录</w:t>
      </w:r>
      <w:r>
        <w:rPr>
          <w:b/>
          <w:bCs/>
        </w:rPr>
        <w:t xml:space="preserve"> F　</w:t>
      </w:r>
      <w:r>
        <w:rPr>
          <w:rFonts w:hint="eastAsia"/>
          <w:b/>
          <w:bCs/>
        </w:rPr>
        <w:t>训练细节与超参数配置</w:t>
      </w:r>
    </w:p>
    <w:p w14:paraId="15E78026">
      <w:pPr>
        <w:pStyle w:val="5"/>
      </w:pPr>
      <w:bookmarkStart w:id="39" w:name="f.1-基座与微调方式"/>
      <w:r>
        <w:rPr>
          <w:b/>
          <w:bCs/>
        </w:rPr>
        <w:t xml:space="preserve">F.1 </w:t>
      </w:r>
      <w:r>
        <w:rPr>
          <w:rFonts w:hint="eastAsia"/>
          <w:b/>
          <w:bCs/>
        </w:rPr>
        <w:t>基座与微调方式</w:t>
      </w:r>
    </w:p>
    <w:p w14:paraId="6D2BEB92">
      <w:pPr>
        <w:pStyle w:val="23"/>
      </w:pPr>
      <w:r>
        <w:t xml:space="preserve">CAHAD </w:t>
      </w:r>
      <w:r>
        <w:rPr>
          <w:rFonts w:hint="eastAsia"/>
        </w:rPr>
        <w:t>的基座模型为</w:t>
      </w:r>
      <w:r>
        <w:t xml:space="preserve"> Qwen-2.5-7B-Instruct </w:t>
      </w:r>
      <w:r>
        <w:rPr>
          <w:rFonts w:hint="eastAsia"/>
        </w:rPr>
        <w:t>与</w:t>
      </w:r>
      <w:r>
        <w:t xml:space="preserve"> </w:t>
      </w:r>
      <w:r>
        <w:rPr>
          <w:rFonts w:hint="eastAsia"/>
        </w:rPr>
        <w:t>Llama-3.1-8B-Instruct。训练采用</w:t>
      </w:r>
      <w:r>
        <w:t xml:space="preserve"> </w:t>
      </w:r>
      <w:r>
        <w:rPr>
          <w:rFonts w:hint="eastAsia"/>
        </w:rPr>
        <w:t>LoRA（Hu</w:t>
      </w:r>
      <w:r>
        <w:t xml:space="preserve"> et al. </w:t>
      </w:r>
      <w:r>
        <w:rPr>
          <w:rFonts w:hint="eastAsia"/>
        </w:rPr>
        <w:t>2022）微调，基座权重保持冻结，仅训练并保存</w:t>
      </w:r>
      <w:r>
        <w:t xml:space="preserve"> LoRA adapter </w:t>
      </w:r>
      <w:r>
        <w:rPr>
          <w:rFonts w:hint="eastAsia"/>
        </w:rPr>
        <w:t>参数，不保存完整的基座权重，以降低存储与训练开销。LoRA</w:t>
      </w:r>
      <w:r>
        <w:t xml:space="preserve"> </w:t>
      </w:r>
      <w:r>
        <w:rPr>
          <w:rFonts w:hint="eastAsia"/>
        </w:rPr>
        <w:t>的</w:t>
      </w:r>
      <w:r>
        <w:t xml:space="preserve"> rank </w:t>
      </w:r>
      <w:r>
        <w:rPr>
          <w:rFonts w:hint="eastAsia"/>
        </w:rPr>
        <w:t>与</w:t>
      </w:r>
      <w:r>
        <w:t xml:space="preserve"> alpha </w:t>
      </w:r>
      <w:r>
        <w:rPr>
          <w:rFonts w:hint="eastAsia"/>
        </w:rPr>
        <w:t>等结构性超参数在监督蒸馏与混合训练阶段保持一致配置，以保证不同训练变体之间的可比性。</w:t>
      </w:r>
    </w:p>
    <w:bookmarkEnd w:id="39"/>
    <w:p w14:paraId="48F941F7">
      <w:pPr>
        <w:pStyle w:val="5"/>
      </w:pPr>
      <w:bookmarkStart w:id="40" w:name="f.2-优化器与训练规模"/>
      <w:r>
        <w:rPr>
          <w:b/>
          <w:bCs/>
        </w:rPr>
        <w:t xml:space="preserve">F.2 </w:t>
      </w:r>
      <w:r>
        <w:rPr>
          <w:rFonts w:hint="eastAsia"/>
          <w:b/>
          <w:bCs/>
        </w:rPr>
        <w:t>优化器与训练规模</w:t>
      </w:r>
    </w:p>
    <w:p w14:paraId="1D647960">
      <w:pPr>
        <w:pStyle w:val="23"/>
      </w:pPr>
      <w:r>
        <w:rPr>
          <w:rFonts w:hint="eastAsia"/>
        </w:rPr>
        <w:t>训练采用</w:t>
      </w:r>
      <w:r>
        <w:t xml:space="preserve"> AdamW </w:t>
      </w:r>
      <w:r>
        <w:rPr>
          <w:rFonts w:hint="eastAsia"/>
        </w:rPr>
        <w:t>优化器，学习率设置为</w:t>
      </w:r>
      <w:r>
        <w:t xml:space="preserve"> </w:t>
      </w:r>
      <w:r>
        <w:rPr>
          <w:rFonts w:hint="eastAsia"/>
        </w:rPr>
        <w:t>2e-4，配合</w:t>
      </w:r>
      <w:r>
        <w:t xml:space="preserve"> Accelerate </w:t>
      </w:r>
      <w:r>
        <w:rPr>
          <w:rFonts w:hint="eastAsia"/>
        </w:rPr>
        <w:t>训练框架。训练轮数上限设为</w:t>
      </w:r>
      <w:r>
        <w:t xml:space="preserve"> 5</w:t>
      </w:r>
      <w:r>
        <w:rPr>
          <w:rFonts w:hint="eastAsia"/>
        </w:rPr>
        <w:t>0</w:t>
      </w:r>
      <w:r>
        <w:t xml:space="preserve"> </w:t>
      </w:r>
      <w:r>
        <w:rPr>
          <w:rFonts w:hint="eastAsia"/>
        </w:rPr>
        <w:t>个</w:t>
      </w:r>
      <w:r>
        <w:t xml:space="preserve"> </w:t>
      </w:r>
      <w:r>
        <w:rPr>
          <w:rFonts w:hint="eastAsia"/>
        </w:rPr>
        <w:t>epoch，并引入基于验证集准确率的早停机制，连续</w:t>
      </w:r>
      <w:r>
        <w:t xml:space="preserve"> 2 </w:t>
      </w:r>
      <w:r>
        <w:rPr>
          <w:rFonts w:hint="eastAsia"/>
        </w:rPr>
        <w:t>个</w:t>
      </w:r>
      <w:r>
        <w:t xml:space="preserve"> epoch </w:t>
      </w:r>
      <w:r>
        <w:rPr>
          <w:rFonts w:hint="eastAsia"/>
        </w:rPr>
        <w:t>验证准确率不再提升则提前终止训练，验证集准确率创新高时保存对应的</w:t>
      </w:r>
      <w:r>
        <w:t xml:space="preserve"> LoRA </w:t>
      </w:r>
      <w:r>
        <w:rPr>
          <w:rFonts w:hint="eastAsia"/>
        </w:rPr>
        <w:t>adapter。数据划分统一采用</w:t>
      </w:r>
      <w:r>
        <w:t xml:space="preserve"> 8:1:1 </w:t>
      </w:r>
      <w:r>
        <w:rPr>
          <w:rFonts w:hint="eastAsia"/>
        </w:rPr>
        <w:t>的训练/验证/测试划分，测试集不参与训练与早停判定。</w:t>
      </w:r>
    </w:p>
    <w:bookmarkEnd w:id="40"/>
    <w:p w14:paraId="329106C8">
      <w:pPr>
        <w:pStyle w:val="5"/>
      </w:pPr>
      <w:bookmarkStart w:id="41" w:name="f.3-grpo-强化学习超参数"/>
      <w:r>
        <w:rPr>
          <w:b/>
          <w:bCs/>
        </w:rPr>
        <w:t xml:space="preserve">F.3 GRPO </w:t>
      </w:r>
      <w:r>
        <w:rPr>
          <w:rFonts w:hint="eastAsia"/>
          <w:b/>
          <w:bCs/>
        </w:rPr>
        <w:t>强化学习超参数</w:t>
      </w:r>
    </w:p>
    <w:p w14:paraId="6DDFA7FD">
      <w:pPr>
        <w:pStyle w:val="23"/>
      </w:pPr>
      <w:r>
        <w:t xml:space="preserve">CAHAD </w:t>
      </w:r>
      <w:r>
        <w:rPr>
          <w:rFonts w:hint="eastAsia"/>
        </w:rPr>
        <w:t>的强化学习阶段基于</w:t>
      </w:r>
      <w:r>
        <w:t xml:space="preserve"> </w:t>
      </w:r>
      <w:r>
        <w:rPr>
          <w:rFonts w:hint="eastAsia"/>
        </w:rPr>
        <w:t>GRPO（Group</w:t>
      </w:r>
      <w:r>
        <w:t xml:space="preserve"> Relative Policy </w:t>
      </w:r>
      <w:r>
        <w:rPr>
          <w:rFonts w:hint="eastAsia"/>
        </w:rPr>
        <w:t>Optimization，Shao</w:t>
      </w:r>
      <w:r>
        <w:t xml:space="preserve"> et al. </w:t>
      </w:r>
      <w:r>
        <w:rPr>
          <w:rFonts w:hint="eastAsia"/>
        </w:rPr>
        <w:t>2024）算法，采用分组采样的方式计算相对优势，奖励函数由结果奖励与过程奖励加权组合而成：R_total</w:t>
      </w:r>
      <w:r>
        <w:t xml:space="preserve"> = α·R_outcome + (1 − </w:t>
      </w:r>
      <w:r>
        <w:rPr>
          <w:rFonts w:hint="eastAsia"/>
        </w:rPr>
        <w:t>α)·Mean(R_process)，其中结果奖励权重</w:t>
      </w:r>
      <w:r>
        <w:t xml:space="preserve"> α </w:t>
      </w:r>
      <w:r>
        <w:rPr>
          <w:rFonts w:hint="eastAsia"/>
        </w:rPr>
        <w:t>默认取</w:t>
      </w:r>
      <w:r>
        <w:t xml:space="preserve"> </w:t>
      </w:r>
      <w:r>
        <w:rPr>
          <w:rFonts w:hint="eastAsia"/>
        </w:rPr>
        <w:t>0.6，即结果正确性在奖励构成中占主导地位。CAHAD</w:t>
      </w:r>
      <w:r>
        <w:t xml:space="preserve"> </w:t>
      </w:r>
      <w:r>
        <w:rPr>
          <w:rFonts w:hint="eastAsia"/>
        </w:rPr>
        <w:t>特有的两个超参数</w:t>
      </w:r>
      <w:r>
        <w:t xml:space="preserve"> </w:t>
      </w:r>
      <w:r>
        <w:rPr>
          <w:rFonts w:hint="eastAsia"/>
        </w:rPr>
        <w:t>β（SFT/RL</w:t>
      </w:r>
      <w:r>
        <w:t xml:space="preserve"> </w:t>
      </w:r>
      <w:r>
        <w:rPr>
          <w:rFonts w:hint="eastAsia"/>
        </w:rPr>
        <w:t>损失平衡系数）与</w:t>
      </w:r>
      <w:r>
        <w:t xml:space="preserve"> </w:t>
      </w:r>
      <w:r>
        <w:rPr>
          <w:rFonts w:hint="eastAsia"/>
        </w:rPr>
        <w:t>λ_g（Guardian</w:t>
      </w:r>
      <w:r>
        <w:t xml:space="preserve"> </w:t>
      </w:r>
      <w:r>
        <w:rPr>
          <w:rFonts w:hint="eastAsia"/>
        </w:rPr>
        <w:t>文化引导强度）的取值与作用机制详见附录</w:t>
      </w:r>
      <w:r>
        <w:t xml:space="preserve"> </w:t>
      </w:r>
      <w:r>
        <w:rPr>
          <w:rFonts w:hint="eastAsia"/>
        </w:rPr>
        <w:t>C，最终采用的默认配置为</w:t>
      </w:r>
      <w:r>
        <w:t xml:space="preserve"> β = 0.3、λ_g = 0.5。</w:t>
      </w:r>
      <w:bookmarkEnd w:id="41"/>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2"/>
  </w:compat>
  <w:rsids>
    <w:rsidRoot w:val="003D7D02"/>
    <w:rsid w:val="00030775"/>
    <w:rsid w:val="00053466"/>
    <w:rsid w:val="00095C0E"/>
    <w:rsid w:val="00121492"/>
    <w:rsid w:val="001D65F1"/>
    <w:rsid w:val="00261706"/>
    <w:rsid w:val="0037616D"/>
    <w:rsid w:val="003D7D02"/>
    <w:rsid w:val="004008A3"/>
    <w:rsid w:val="00406562"/>
    <w:rsid w:val="00411039"/>
    <w:rsid w:val="00646C83"/>
    <w:rsid w:val="0085711F"/>
    <w:rsid w:val="00857F7C"/>
    <w:rsid w:val="008A2606"/>
    <w:rsid w:val="008C4035"/>
    <w:rsid w:val="008C69A5"/>
    <w:rsid w:val="009C769D"/>
    <w:rsid w:val="00A01AAC"/>
    <w:rsid w:val="00A619F3"/>
    <w:rsid w:val="00AE5789"/>
    <w:rsid w:val="00B52F56"/>
    <w:rsid w:val="00B63E02"/>
    <w:rsid w:val="00BD3C02"/>
    <w:rsid w:val="00C5674E"/>
    <w:rsid w:val="00C64DBF"/>
    <w:rsid w:val="00CB4BC9"/>
    <w:rsid w:val="00CB7829"/>
    <w:rsid w:val="00CE3127"/>
    <w:rsid w:val="00D72E8F"/>
    <w:rsid w:val="00DD729B"/>
    <w:rsid w:val="00E350CE"/>
    <w:rsid w:val="00E77003"/>
    <w:rsid w:val="00EF4C33"/>
    <w:rsid w:val="00F37FA7"/>
    <w:rsid w:val="04C419FE"/>
    <w:rsid w:val="124643CD"/>
    <w:rsid w:val="28AA462A"/>
    <w:rsid w:val="38E5568A"/>
    <w:rsid w:val="43827EE5"/>
    <w:rsid w:val="5E7A44C7"/>
    <w:rsid w:val="7B627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1"/>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题注 字符"/>
    <w:basedOn w:val="19"/>
    <w:link w:val="12"/>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标题 字符"/>
    <w:basedOn w:val="19"/>
    <w:link w:val="15"/>
    <w:uiPriority w:val="10"/>
    <w:rPr>
      <w:rFonts w:asciiTheme="majorHAnsi" w:hAnsiTheme="majorHAnsi" w:eastAsiaTheme="majorEastAsia" w:cstheme="majorBidi"/>
      <w:sz w:val="56"/>
      <w:szCs w:val="56"/>
    </w:rPr>
  </w:style>
  <w:style w:type="character" w:customStyle="1" w:styleId="26">
    <w:name w:val="副标题 字符"/>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标题 1 字符"/>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标题 2 字符"/>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标题 3 字符"/>
    <w:basedOn w:val="19"/>
    <w:link w:val="5"/>
    <w:semiHidden/>
    <w:uiPriority w:val="9"/>
    <w:rPr>
      <w:rFonts w:eastAsiaTheme="majorEastAsia" w:cstheme="majorBidi"/>
      <w:color w:val="0F4761" w:themeColor="accent1" w:themeShade="BF"/>
      <w:sz w:val="28"/>
      <w:szCs w:val="28"/>
    </w:rPr>
  </w:style>
  <w:style w:type="character" w:customStyle="1" w:styleId="34">
    <w:name w:val="标题 4 字符"/>
    <w:basedOn w:val="19"/>
    <w:link w:val="6"/>
    <w:semiHidden/>
    <w:uiPriority w:val="9"/>
    <w:rPr>
      <w:rFonts w:eastAsiaTheme="majorEastAsia" w:cstheme="majorBidi"/>
      <w:i/>
      <w:iCs/>
      <w:color w:val="0F4761" w:themeColor="accent1" w:themeShade="BF"/>
    </w:rPr>
  </w:style>
  <w:style w:type="character" w:customStyle="1" w:styleId="35">
    <w:name w:val="标题 5 字符"/>
    <w:basedOn w:val="19"/>
    <w:link w:val="7"/>
    <w:semiHidden/>
    <w:uiPriority w:val="9"/>
    <w:rPr>
      <w:rFonts w:eastAsiaTheme="majorEastAsia" w:cstheme="majorBidi"/>
      <w:color w:val="0F4761" w:themeColor="accent1" w:themeShade="BF"/>
    </w:rPr>
  </w:style>
  <w:style w:type="character" w:customStyle="1" w:styleId="36">
    <w:name w:val="标题 6 字符"/>
    <w:basedOn w:val="19"/>
    <w:link w:val="8"/>
    <w:semiHidden/>
    <w:uiPriority w:val="9"/>
    <w:rPr>
      <w:rFonts w:eastAsiaTheme="majorEastAsia" w:cstheme="majorBidi"/>
      <w:i/>
      <w:iCs/>
      <w:color w:val="585858" w:themeColor="text1" w:themeTint="A6"/>
    </w:rPr>
  </w:style>
  <w:style w:type="character" w:customStyle="1" w:styleId="37">
    <w:name w:val="标题 7 字符"/>
    <w:basedOn w:val="19"/>
    <w:link w:val="9"/>
    <w:semiHidden/>
    <w:uiPriority w:val="9"/>
    <w:rPr>
      <w:rFonts w:eastAsiaTheme="majorEastAsia" w:cstheme="majorBidi"/>
      <w:color w:val="585858" w:themeColor="text1" w:themeTint="A6"/>
    </w:rPr>
  </w:style>
  <w:style w:type="character" w:customStyle="1" w:styleId="38">
    <w:name w:val="标题 8 字符"/>
    <w:basedOn w:val="19"/>
    <w:link w:val="10"/>
    <w:semiHidden/>
    <w:uiPriority w:val="9"/>
    <w:rPr>
      <w:rFonts w:eastAsiaTheme="majorEastAsia" w:cstheme="majorBidi"/>
      <w:i/>
      <w:iCs/>
      <w:color w:val="262626" w:themeColor="text1" w:themeTint="D8"/>
    </w:rPr>
  </w:style>
  <w:style w:type="character" w:customStyle="1" w:styleId="39">
    <w:name w:val="标题 9 字符"/>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style>
  <w:style w:type="character" w:customStyle="1" w:styleId="52">
    <w:name w:val="KeywordTok"/>
    <w:basedOn w:val="48"/>
    <w:uiPriority w:val="0"/>
    <w:rPr>
      <w:rFonts w:ascii="Consolas" w:hAnsi="Consolas"/>
      <w:b/>
      <w:color w:val="007020"/>
      <w:sz w:val="22"/>
    </w:rPr>
  </w:style>
  <w:style w:type="character" w:customStyle="1" w:styleId="53">
    <w:name w:val="DataTypeTok"/>
    <w:basedOn w:val="48"/>
    <w:uiPriority w:val="0"/>
    <w:rPr>
      <w:rFonts w:ascii="Consolas" w:hAnsi="Consolas"/>
      <w:color w:val="902000"/>
      <w:sz w:val="22"/>
    </w:rPr>
  </w:style>
  <w:style w:type="character" w:customStyle="1" w:styleId="54">
    <w:name w:val="DecValTok"/>
    <w:basedOn w:val="48"/>
    <w:uiPriority w:val="0"/>
    <w:rPr>
      <w:rFonts w:ascii="Consolas" w:hAnsi="Consolas"/>
      <w:color w:val="40A070"/>
      <w:sz w:val="22"/>
    </w:rPr>
  </w:style>
  <w:style w:type="character" w:customStyle="1" w:styleId="55">
    <w:name w:val="BaseNTok"/>
    <w:basedOn w:val="48"/>
    <w:uiPriority w:val="0"/>
    <w:rPr>
      <w:rFonts w:ascii="Consolas" w:hAnsi="Consolas"/>
      <w:color w:val="40A070"/>
      <w:sz w:val="22"/>
    </w:rPr>
  </w:style>
  <w:style w:type="character" w:customStyle="1" w:styleId="56">
    <w:name w:val="FloatTok"/>
    <w:basedOn w:val="48"/>
    <w:uiPriority w:val="0"/>
    <w:rPr>
      <w:rFonts w:ascii="Consolas" w:hAnsi="Consolas"/>
      <w:color w:val="40A070"/>
      <w:sz w:val="22"/>
    </w:rPr>
  </w:style>
  <w:style w:type="character" w:customStyle="1" w:styleId="57">
    <w:name w:val="ConstantTok"/>
    <w:basedOn w:val="48"/>
    <w:uiPriority w:val="0"/>
    <w:rPr>
      <w:rFonts w:ascii="Consolas" w:hAnsi="Consolas"/>
      <w:color w:val="880000"/>
      <w:sz w:val="22"/>
    </w:rPr>
  </w:style>
  <w:style w:type="character" w:customStyle="1" w:styleId="58">
    <w:name w:val="CharTok"/>
    <w:basedOn w:val="48"/>
    <w:uiPriority w:val="0"/>
    <w:rPr>
      <w:rFonts w:ascii="Consolas" w:hAnsi="Consolas"/>
      <w:color w:val="4070A0"/>
      <w:sz w:val="22"/>
    </w:rPr>
  </w:style>
  <w:style w:type="character" w:customStyle="1" w:styleId="59">
    <w:name w:val="SpecialCharTok"/>
    <w:basedOn w:val="48"/>
    <w:uiPriority w:val="0"/>
    <w:rPr>
      <w:rFonts w:ascii="Consolas" w:hAnsi="Consolas"/>
      <w:color w:val="4070A0"/>
      <w:sz w:val="22"/>
    </w:rPr>
  </w:style>
  <w:style w:type="character" w:customStyle="1" w:styleId="60">
    <w:name w:val="StringTok"/>
    <w:basedOn w:val="48"/>
    <w:uiPriority w:val="0"/>
    <w:rPr>
      <w:rFonts w:ascii="Consolas" w:hAnsi="Consolas"/>
      <w:color w:val="4070A0"/>
      <w:sz w:val="22"/>
    </w:rPr>
  </w:style>
  <w:style w:type="character" w:customStyle="1" w:styleId="61">
    <w:name w:val="VerbatimStringTok"/>
    <w:basedOn w:val="48"/>
    <w:uiPriority w:val="0"/>
    <w:rPr>
      <w:rFonts w:ascii="Consolas" w:hAnsi="Consolas"/>
      <w:color w:val="4070A0"/>
      <w:sz w:val="22"/>
    </w:rPr>
  </w:style>
  <w:style w:type="character" w:customStyle="1" w:styleId="62">
    <w:name w:val="SpecialStringTok"/>
    <w:basedOn w:val="48"/>
    <w:uiPriority w:val="0"/>
    <w:rPr>
      <w:rFonts w:ascii="Consolas" w:hAnsi="Consolas"/>
      <w:color w:val="BB6688"/>
      <w:sz w:val="22"/>
    </w:rPr>
  </w:style>
  <w:style w:type="character" w:customStyle="1" w:styleId="63">
    <w:name w:val="ImportTok"/>
    <w:basedOn w:val="48"/>
    <w:uiPriority w:val="0"/>
    <w:rPr>
      <w:rFonts w:ascii="Consolas" w:hAnsi="Consolas"/>
      <w:b/>
      <w:color w:val="008000"/>
      <w:sz w:val="22"/>
    </w:rPr>
  </w:style>
  <w:style w:type="character" w:customStyle="1" w:styleId="64">
    <w:name w:val="CommentTok"/>
    <w:basedOn w:val="48"/>
    <w:uiPriority w:val="0"/>
    <w:rPr>
      <w:rFonts w:ascii="Consolas" w:hAnsi="Consolas"/>
      <w:i/>
      <w:color w:val="60A0B0"/>
      <w:sz w:val="22"/>
    </w:rPr>
  </w:style>
  <w:style w:type="character" w:customStyle="1" w:styleId="65">
    <w:name w:val="DocumentationTok"/>
    <w:basedOn w:val="48"/>
    <w:uiPriority w:val="0"/>
    <w:rPr>
      <w:rFonts w:ascii="Consolas" w:hAnsi="Consolas"/>
      <w:i/>
      <w:color w:val="BA2121"/>
      <w:sz w:val="22"/>
    </w:rPr>
  </w:style>
  <w:style w:type="character" w:customStyle="1" w:styleId="66">
    <w:name w:val="AnnotationTok"/>
    <w:basedOn w:val="48"/>
    <w:qFormat/>
    <w:uiPriority w:val="0"/>
    <w:rPr>
      <w:rFonts w:ascii="Consolas" w:hAnsi="Consolas"/>
      <w:b/>
      <w:i/>
      <w:color w:val="60A0B0"/>
      <w:sz w:val="22"/>
    </w:rPr>
  </w:style>
  <w:style w:type="character" w:customStyle="1" w:styleId="67">
    <w:name w:val="CommentVarTok"/>
    <w:basedOn w:val="48"/>
    <w:uiPriority w:val="0"/>
    <w:rPr>
      <w:rFonts w:ascii="Consolas" w:hAnsi="Consolas"/>
      <w:b/>
      <w:i/>
      <w:color w:val="60A0B0"/>
      <w:sz w:val="22"/>
    </w:rPr>
  </w:style>
  <w:style w:type="character" w:customStyle="1" w:styleId="68">
    <w:name w:val="OtherTok"/>
    <w:basedOn w:val="48"/>
    <w:uiPriority w:val="0"/>
    <w:rPr>
      <w:rFonts w:ascii="Consolas" w:hAnsi="Consolas"/>
      <w:color w:val="007020"/>
      <w:sz w:val="22"/>
    </w:rPr>
  </w:style>
  <w:style w:type="character" w:customStyle="1" w:styleId="69">
    <w:name w:val="FunctionTok"/>
    <w:basedOn w:val="48"/>
    <w:uiPriority w:val="0"/>
    <w:rPr>
      <w:rFonts w:ascii="Consolas" w:hAnsi="Consolas"/>
      <w:color w:val="06287E"/>
      <w:sz w:val="22"/>
    </w:rPr>
  </w:style>
  <w:style w:type="character" w:customStyle="1" w:styleId="70">
    <w:name w:val="VariableTok"/>
    <w:basedOn w:val="48"/>
    <w:uiPriority w:val="0"/>
    <w:rPr>
      <w:rFonts w:ascii="Consolas" w:hAnsi="Consolas"/>
      <w:color w:val="19177C"/>
      <w:sz w:val="22"/>
    </w:rPr>
  </w:style>
  <w:style w:type="character" w:customStyle="1" w:styleId="71">
    <w:name w:val="ControlFlowTok"/>
    <w:basedOn w:val="48"/>
    <w:uiPriority w:val="0"/>
    <w:rPr>
      <w:rFonts w:ascii="Consolas" w:hAnsi="Consolas"/>
      <w:b/>
      <w:color w:val="007020"/>
      <w:sz w:val="22"/>
    </w:rPr>
  </w:style>
  <w:style w:type="character" w:customStyle="1" w:styleId="72">
    <w:name w:val="OperatorTok"/>
    <w:basedOn w:val="48"/>
    <w:uiPriority w:val="0"/>
    <w:rPr>
      <w:rFonts w:ascii="Consolas" w:hAnsi="Consolas"/>
      <w:color w:val="666666"/>
      <w:sz w:val="22"/>
    </w:rPr>
  </w:style>
  <w:style w:type="character" w:customStyle="1" w:styleId="73">
    <w:name w:val="BuiltInTok"/>
    <w:basedOn w:val="48"/>
    <w:uiPriority w:val="0"/>
    <w:rPr>
      <w:rFonts w:ascii="Consolas" w:hAnsi="Consolas"/>
      <w:color w:val="008000"/>
      <w:sz w:val="22"/>
    </w:rPr>
  </w:style>
  <w:style w:type="character" w:customStyle="1" w:styleId="74">
    <w:name w:val="ExtensionTok"/>
    <w:basedOn w:val="48"/>
    <w:uiPriority w:val="0"/>
    <w:rPr>
      <w:rFonts w:ascii="Consolas" w:hAnsi="Consolas"/>
      <w:sz w:val="22"/>
    </w:rPr>
  </w:style>
  <w:style w:type="character" w:customStyle="1" w:styleId="75">
    <w:name w:val="PreprocessorTok"/>
    <w:basedOn w:val="48"/>
    <w:uiPriority w:val="0"/>
    <w:rPr>
      <w:rFonts w:ascii="Consolas" w:hAnsi="Consolas"/>
      <w:color w:val="BC7A00"/>
      <w:sz w:val="22"/>
    </w:rPr>
  </w:style>
  <w:style w:type="character" w:customStyle="1" w:styleId="76">
    <w:name w:val="AttributeTok"/>
    <w:basedOn w:val="48"/>
    <w:uiPriority w:val="0"/>
    <w:rPr>
      <w:rFonts w:ascii="Consolas" w:hAnsi="Consolas"/>
      <w:color w:val="7D9029"/>
      <w:sz w:val="22"/>
    </w:rPr>
  </w:style>
  <w:style w:type="character" w:customStyle="1" w:styleId="77">
    <w:name w:val="RegionMarkerTok"/>
    <w:basedOn w:val="48"/>
    <w:uiPriority w:val="0"/>
    <w:rPr>
      <w:rFonts w:ascii="Consolas" w:hAnsi="Consolas"/>
      <w:sz w:val="22"/>
    </w:rPr>
  </w:style>
  <w:style w:type="character" w:customStyle="1" w:styleId="78">
    <w:name w:val="InformationTok"/>
    <w:basedOn w:val="48"/>
    <w:uiPriority w:val="0"/>
    <w:rPr>
      <w:rFonts w:ascii="Consolas" w:hAnsi="Consolas"/>
      <w:b/>
      <w:i/>
      <w:color w:val="60A0B0"/>
      <w:sz w:val="22"/>
    </w:rPr>
  </w:style>
  <w:style w:type="character" w:customStyle="1" w:styleId="79">
    <w:name w:val="WarningTok"/>
    <w:basedOn w:val="48"/>
    <w:uiPriority w:val="0"/>
    <w:rPr>
      <w:rFonts w:ascii="Consolas" w:hAnsi="Consolas"/>
      <w:b/>
      <w:i/>
      <w:color w:val="60A0B0"/>
      <w:sz w:val="22"/>
    </w:rPr>
  </w:style>
  <w:style w:type="character" w:customStyle="1" w:styleId="80">
    <w:name w:val="AlertTok"/>
    <w:basedOn w:val="48"/>
    <w:uiPriority w:val="0"/>
    <w:rPr>
      <w:rFonts w:ascii="Consolas" w:hAnsi="Consolas"/>
      <w:b/>
      <w:color w:val="FF0000"/>
      <w:sz w:val="22"/>
    </w:rPr>
  </w:style>
  <w:style w:type="character" w:customStyle="1" w:styleId="81">
    <w:name w:val="ErrorTok"/>
    <w:basedOn w:val="48"/>
    <w:uiPriority w:val="0"/>
    <w:rPr>
      <w:rFonts w:ascii="Consolas" w:hAnsi="Consolas"/>
      <w:b/>
      <w:color w:val="FF0000"/>
      <w:sz w:val="22"/>
    </w:rPr>
  </w:style>
  <w:style w:type="character" w:customStyle="1" w:styleId="82">
    <w:name w:val="NormalTok"/>
    <w:basedOn w:val="48"/>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6537</Words>
  <Characters>7947</Characters>
  <Lines>227</Lines>
  <Paragraphs>64</Paragraphs>
  <TotalTime>8</TotalTime>
  <ScaleCrop>false</ScaleCrop>
  <LinksUpToDate>false</LinksUpToDate>
  <CharactersWithSpaces>8328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2026-07-12T12:22:00Z</dcterms:created>
  <dc:creator>lxwang</dc:creator>
  <cp:lastModifiedBy>lxwang</cp:lastModifiedBy>
  <dcterms:modified xsi:type="dcterms:W3CDTF">2026-07-17T08:27:04Z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eyJoZGlkIjoiNzRkZDI4MGI2NzA0YjA5Zjg3ZjYwOGZkYTQ4M2YzOGIiLCJ1c2VySWQiOiI0MzE3ODM1ODAifQ==</vt:lpwstr>
  </property>
  <property fmtid="{D5CDD505-2E9C-101B-9397-08002B2CF9AE}" pid="3" name="KSOProductBuildVer">
    <vt:lpwstr>2052-12.1.0.26895</vt:lpwstr>
  </property>
  <property fmtid="{D5CDD505-2E9C-101B-9397-08002B2CF9AE}" pid="4" name="ICV">
    <vt:lpwstr>93E2C3E8B6E445218C38E3126DD9B997_12</vt:lpwstr>
  </property>
</Properties>
</file>