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AAAI风格中文小论文大纲（v4修订版 · 含图表规划）</w:t>
      </w:r>
    </w:p>
    <w:p>
      <w:pPr>
        <w:spacing w:after="120"/>
        <w:jc w:val="center"/>
      </w:pPr>
      <w:r>
        <w:rPr>
          <w:i/>
          <w:iCs/>
        </w:rPr>
        <w:t xml:space="preserve">文档用途：作为小论文写作提纲，不是最终成稿。本版在 v3 基础上补充了所有图表的编号、位置与新增建议。</w:t>
      </w:r>
    </w:p>
    <w:p>
      <w:pPr>
        <w:pStyle w:val="Heading1"/>
      </w:pPr>
      <w:r>
        <w:rPr>
          <w:b/>
          <w:bCs/>
        </w:rPr>
        <w:t xml:space="preserve">三问总览</w:t>
      </w:r>
    </w:p>
    <w:p>
      <w:pPr>
        <w:spacing w:after="120"/>
      </w:pPr>
      <w:r>
        <w:t xml:space="preserve">三个研究问题分别关注协作结构、能力迁移与评估盲区三个独立维度。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200"/>
        <w:gridCol w:w="1900"/>
        <w:gridCol w:w="2326"/>
      </w:tblGrid>
      <w:tr>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中文短标题</w:t>
            </w:r>
          </w:p>
        </w:tc>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英文短标题</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对应方法/贡献</w:t>
            </w:r>
          </w:p>
        </w:tc>
        <w:tc>
          <w:tcPr>
            <w:tcW w:type="dxa" w:w="23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对应结果小节</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问题一</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等权协商是否适合文化推理？</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iCs/>
              </w:rPr>
              <w:t xml:space="preserve">Does equal-authority collaboration suit cultural reasoning?</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HF-CAC（方法）</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5.1</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问题二</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多智能体文化推理能力能否迁移到可部署单体模型？</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iCs/>
              </w:rPr>
              <w:t xml:space="preserve">Can multi-agent cultural reasoning be distilled into a deployable single model?</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CAMAD（方法）</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5.2</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问题三</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现有方法是否对稀有文化存在隐性退化？</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iCs/>
              </w:rPr>
              <w:t xml:space="preserve">Do current methods silently degrade on rare cultures?</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文化频率分组评估（发现+评估贡献）</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5.3</w:t>
            </w:r>
          </w:p>
        </w:tc>
      </w:tr>
    </w:tbl>
    <w:p>
      <w:r>
        <w:t xml:space="preserve"/>
      </w:r>
    </w:p>
    <w:p>
      <w:pPr>
        <w:pStyle w:val="Heading1"/>
      </w:pPr>
      <w:r>
        <w:rPr>
          <w:b/>
          <w:bCs/>
        </w:rPr>
        <w:t xml:space="preserve">图表总览</w:t>
      </w:r>
    </w:p>
    <w:p>
      <w:pPr>
        <w:spacing w:after="120"/>
      </w:pPr>
      <w:r>
        <w:t xml:space="preserve">下表列出论文中所有图表（含建议新增的图表），以及它们在正文/附录中的位置。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426"/>
      </w:tblGrid>
      <w:tr>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编号</w:t>
            </w:r>
          </w:p>
        </w:tc>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名称</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类型与形式</w:t>
            </w:r>
          </w:p>
        </w:tc>
        <w:tc>
          <w:tcPr>
            <w:tcW w:type="dxa" w:w="24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所在位置</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Figure 1</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HF-CAC + CAMAD 整体架构图</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示意图</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 方法 开头</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Figure 2</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智能体数量分析</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折线图</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5.1 分析实验一</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Figure 3</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协商轮次分析</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折线图</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5.1 分析实验二</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Figure 4</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高频 vs 稀有文化准确率对比</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分组柱状图（建议新增）</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5.3 隐性退化可视化</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Figure 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CAMAD 关键超参数分析</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折线图/子图组（建议新增）</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5.2 或 5.3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Figure 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文化亲缘度矩阵热力图</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热力图（建议新增）</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3.1 或附录 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Table 1</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HF-CAC vs 多智能体 Baseline 对比</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准确率表</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5.1 主对比实验</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Table 2</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CAMAD vs 蒸馏/单体 Baseline 对比</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准确率表</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5.2 主对比实验</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Table 3</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HF-CAC vs CAMAD Token 消耗对比</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效率表（token/时延）</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5.2 部署效率分析</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Table 4</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CAMAD 消融实验</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消融表</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5.2 消融分析</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Table 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文化频率分组结果</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分组准确率表</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5.3 分组实验</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Table 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亲缘度矩阵敏感性分析</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对比表</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附录 B</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Table/Fig 7</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Case Study 示例</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推理过程对比（建议新增）</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5.1 或附录 F</w:t>
            </w:r>
          </w:p>
        </w:tc>
      </w:tr>
    </w:tbl>
    <w:p>
      <w:r>
        <w:t xml:space="preserve"/>
      </w:r>
    </w:p>
    <w:p>
      <w:pPr>
        <w:pStyle w:val="Heading1"/>
      </w:pPr>
      <w:r>
        <w:rPr>
          <w:b/>
          <w:bCs/>
        </w:rPr>
        <w:t xml:space="preserve">1. 引言（Introduction）</w:t>
      </w:r>
    </w:p>
    <w:p>
      <w:pPr>
        <w:spacing w:after="120"/>
      </w:pPr>
      <w:r>
        <w:t xml:space="preserve">本节从研究动机出发，自然引出三个并列问题，概括本文方法与贡献。</w:t>
      </w:r>
    </w:p>
    <w:p>
      <w:pPr>
        <w:spacing w:before="120"/>
      </w:pPr>
      <w:r>
        <w:rPr>
          <w:b/>
          <w:bCs/>
        </w:rPr>
        <w:t xml:space="preserve">主要内容：</w:t>
      </w:r>
    </w:p>
    <w:p>
      <w:pPr>
        <w:pStyle w:val="ListParagraph"/>
        <w:numPr>
          <w:ilvl w:val="0"/>
          <w:numId w:val="2"/>
        </w:numPr>
        <w:spacing w:after="80"/>
      </w:pPr>
      <w:r>
        <w:t xml:space="preserve">背景：大语言模型在多元文化场景中存在显著偏见；多智能体文化推理是近年来的主流解决思路。无需展开数据驱动方法，直接从多智能体方法切入。</w:t>
      </w:r>
    </w:p>
    <w:p>
      <w:pPr>
        <w:pStyle w:val="ListParagraph"/>
        <w:numPr>
          <w:ilvl w:val="0"/>
          <w:numId w:val="2"/>
        </w:numPr>
        <w:spacing w:after="80"/>
      </w:pPr>
      <w:r>
        <w:t xml:space="preserve">指出多智能体文化推理虽取得一定成效，但围绕该范式仍有三个并列的未解决问题：</w:t>
      </w:r>
    </w:p>
    <w:p>
      <w:pPr>
        <w:pStyle w:val="ListParagraph"/>
        <w:numPr>
          <w:ilvl w:val="0"/>
          <w:numId w:val="2"/>
        </w:numPr>
        <w:spacing w:after="80"/>
      </w:pPr>
      <w:r>
        <w:rPr>
          <w:b/>
          <w:bCs/>
        </w:rPr>
        <w:t xml:space="preserve">问题一：等权协商是否适合文化推理？</w:t>
      </w:r>
      <w:r/>
    </w:p>
    <w:p>
      <w:pPr>
        <w:pStyle w:val="ListParagraph"/>
        <w:numPr>
          <w:ilvl w:val="0"/>
          <w:numId w:val="2"/>
        </w:numPr>
        <w:spacing w:after="80"/>
      </w:pPr>
      <w:r>
        <w:rPr>
          <w:b/>
          <w:bCs/>
        </w:rPr>
        <w:t xml:space="preserve">问题二：多智能体文化推理能力能否迁移到可部署单体模型？</w:t>
      </w:r>
      <w:r/>
    </w:p>
    <w:p>
      <w:pPr>
        <w:pStyle w:val="ListParagraph"/>
        <w:numPr>
          <w:ilvl w:val="0"/>
          <w:numId w:val="2"/>
        </w:numPr>
        <w:spacing w:after="80"/>
      </w:pPr>
      <w:r>
        <w:rPr>
          <w:b/>
          <w:bCs/>
        </w:rPr>
        <w:t xml:space="preserve">问题三：现有方法是否对稀有文化存在隐性退化？</w:t>
      </w:r>
      <w:r/>
    </w:p>
    <w:p>
      <w:pPr>
        <w:pStyle w:val="ListParagraph"/>
        <w:numPr>
          <w:ilvl w:val="0"/>
          <w:numId w:val="2"/>
        </w:numPr>
        <w:spacing w:after="80"/>
      </w:pPr>
      <w:r>
        <w:t xml:space="preserve">用一段话概括本文贡献：HF-CAC 回答问题一，CAMAD 回答问题二，按文化频率分组的评估协议与实证分析回答问题三。</w:t>
      </w:r>
    </w:p>
    <w:p>
      <w:pPr>
        <w:pStyle w:val="ListParagraph"/>
        <w:numPr>
          <w:ilvl w:val="0"/>
          <w:numId w:val="2"/>
        </w:numPr>
        <w:spacing w:after="80"/>
      </w:pPr>
      <w:r>
        <w:t xml:space="preserve">在引言末尾以三点列出贡献，与三个问题一一对应。</w:t>
      </w:r>
    </w:p>
    <w:p>
      <w:pPr>
        <w:spacing w:before="120"/>
      </w:pPr>
      <w:r>
        <w:rPr>
          <w:b/>
          <w:bCs/>
        </w:rPr>
        <w:t xml:space="preserve">写法提示：</w:t>
      </w:r>
    </w:p>
    <w:p>
      <w:pPr>
        <w:pStyle w:val="ListParagraph"/>
        <w:numPr>
          <w:ilvl w:val="0"/>
          <w:numId w:val="2"/>
        </w:numPr>
        <w:spacing w:after="80"/>
      </w:pPr>
      <w:r>
        <w:t xml:space="preserve">三个问题使用并列句式提出，体现同一层级的独立挑战。</w:t>
      </w:r>
    </w:p>
    <w:p>
      <w:pPr>
        <w:pStyle w:val="ListParagraph"/>
        <w:numPr>
          <w:ilvl w:val="0"/>
          <w:numId w:val="2"/>
        </w:numPr>
        <w:spacing w:after="80"/>
      </w:pPr>
      <w:r>
        <w:t xml:space="preserve">问题三的表述侧重"这个现象存在但被忽视了"，而不是"我设计了一个方法来解决它"。</w:t>
      </w:r>
    </w:p>
    <w:p>
      <w:pPr>
        <w:pStyle w:val="Heading1"/>
      </w:pPr>
      <w:r>
        <w:rPr>
          <w:b/>
          <w:bCs/>
        </w:rPr>
        <w:t xml:space="preserve">2. 相关工作（Related Works）</w:t>
      </w:r>
    </w:p>
    <w:p>
      <w:pPr>
        <w:spacing w:after="120"/>
      </w:pPr>
      <w:r>
        <w:t xml:space="preserve">本节将本文置于多智能体文化推理与多智能体蒸馏的研究谱系中。无需单独介绍数据驱动方法。</w:t>
      </w:r>
    </w:p>
    <w:p>
      <w:pPr>
        <w:pStyle w:val="Heading2"/>
      </w:pPr>
      <w:r>
        <w:rPr>
          <w:b/>
          <w:bCs/>
        </w:rPr>
        <w:t xml:space="preserve">2.1 多智能体文化推理</w:t>
      </w:r>
    </w:p>
    <w:p>
      <w:pPr>
        <w:pStyle w:val="ListParagraph"/>
        <w:numPr>
          <w:ilvl w:val="0"/>
          <w:numId w:val="2"/>
        </w:numPr>
        <w:spacing w:after="80"/>
      </w:pPr>
      <w:r>
        <w:t xml:space="preserve">概括 MAD、MACD、OG-MAR 等方法。</w:t>
      </w:r>
    </w:p>
    <w:p>
      <w:pPr>
        <w:pStyle w:val="ListParagraph"/>
        <w:numPr>
          <w:ilvl w:val="0"/>
          <w:numId w:val="2"/>
        </w:numPr>
        <w:spacing w:after="80"/>
      </w:pPr>
      <w:r>
        <w:t xml:space="preserve">重点指出两个共性缺陷：（a）默认平等协商、缺少主场权威机制；（b）都是高成本的推理时方法、难以部署。</w:t>
      </w:r>
    </w:p>
    <w:p>
      <w:pPr>
        <w:pStyle w:val="ListParagraph"/>
        <w:numPr>
          <w:ilvl w:val="0"/>
          <w:numId w:val="2"/>
        </w:numPr>
        <w:spacing w:after="80"/>
      </w:pPr>
      <w:r>
        <w:t xml:space="preserve">末尾落到"这些工作为什么还不足以解决问题一和问题二"。</w:t>
      </w:r>
    </w:p>
    <w:p>
      <w:pPr>
        <w:pStyle w:val="Heading2"/>
      </w:pPr>
      <w:r>
        <w:rPr>
          <w:b/>
          <w:bCs/>
        </w:rPr>
        <w:t xml:space="preserve">2.2 多智能体蒸馏与训练范式</w:t>
      </w:r>
    </w:p>
    <w:p>
      <w:pPr>
        <w:pStyle w:val="ListParagraph"/>
        <w:numPr>
          <w:ilvl w:val="0"/>
          <w:numId w:val="2"/>
        </w:numPr>
        <w:spacing w:after="80"/>
      </w:pPr>
      <w:r>
        <w:t xml:space="preserve">概括 MAGDi、AgentArk 等蒸馏方法，以及 SFT、RL、SFT→RL 等训练范式。</w:t>
      </w:r>
    </w:p>
    <w:p>
      <w:pPr>
        <w:pStyle w:val="ListParagraph"/>
        <w:numPr>
          <w:ilvl w:val="0"/>
          <w:numId w:val="2"/>
        </w:numPr>
        <w:spacing w:after="80"/>
      </w:pPr>
      <w:r>
        <w:t xml:space="preserve">指出现有蒸馏方法在文化任务上缺少针对性设计。</w:t>
      </w:r>
    </w:p>
    <w:p>
      <w:pPr>
        <w:pStyle w:val="ListParagraph"/>
        <w:numPr>
          <w:ilvl w:val="0"/>
          <w:numId w:val="2"/>
        </w:numPr>
        <w:spacing w:after="80"/>
      </w:pPr>
      <w:r>
        <w:t xml:space="preserve">指出现有工作几乎都只报告整体准确率，缺少按文化频率分组的细粒度评估，为问题三做铺垫。</w:t>
      </w:r>
    </w:p>
    <w:p>
      <w:pPr>
        <w:pStyle w:val="Heading1"/>
      </w:pPr>
      <w:r>
        <w:rPr>
          <w:b/>
          <w:bCs/>
        </w:rPr>
        <w:t xml:space="preserve">3. 方法（Method）</w:t>
      </w:r>
    </w:p>
    <w:p>
      <w:pPr>
        <w:spacing w:after="120"/>
      </w:pPr>
      <w:r>
        <w:t xml:space="preserve">本节先给出总体框架图，再分两小节分别讲 HF-CAC 和 CAMAD。</w:t>
      </w:r>
    </w:p>
    <w:p>
      <w:pPr>
        <w:spacing w:before="120"/>
      </w:pPr>
      <w:r>
        <w:rPr>
          <w:b/>
          <w:bCs/>
        </w:rPr>
        <w:t xml:space="preserve">总体框架（置于方法章节开头）：</w:t>
      </w:r>
    </w:p>
    <w:p>
      <w:pPr>
        <w:pStyle w:val="ListParagraph"/>
        <w:numPr>
          <w:ilvl w:val="0"/>
          <w:numId w:val="2"/>
        </w:numPr>
        <w:spacing w:after="80"/>
      </w:pPr>
      <w:r>
        <w:t xml:space="preserve">用一段总括文字 + Figure 1 把 HF-CAC 与 CAMAD 的关系串起来。</w:t>
      </w:r>
    </w:p>
    <w:p>
      <w:pPr>
        <w:spacing w:after="100" w:before="100"/>
        <w:jc w:val="center"/>
      </w:pPr>
      <w:r>
        <w:rPr>
          <w:i/>
          <w:iCs/>
          <w:color w:val="2E75B6"/>
        </w:rPr>
        <w:t xml:space="preserve">【Figure 1 置于此处：HF-CAC + CAMAD 整体架构图】</w:t>
      </w:r>
    </w:p>
    <w:p>
      <w:pPr>
        <w:pStyle w:val="ListParagraph"/>
        <w:numPr>
          <w:ilvl w:val="0"/>
          <w:numId w:val="2"/>
        </w:numPr>
        <w:spacing w:after="80"/>
      </w:pPr>
      <w:r>
        <w:t xml:space="preserve">Figure 1 应展示：HF-CAC 作为多智能体 teacher 系统（回答问题一），其输出（Judge 最终答案 + Guardian 文化方向信号）作为 CAMAD 的训练信号；CAMAD 将多智能体能力蒸馏为可部署单体模型（回答问题二）。</w:t>
      </w:r>
    </w:p>
    <w:p>
      <w:pPr>
        <w:pStyle w:val="ListParagraph"/>
        <w:numPr>
          <w:ilvl w:val="0"/>
          <w:numId w:val="2"/>
        </w:numPr>
        <w:spacing w:after="80"/>
      </w:pPr>
      <w:r>
        <w:t xml:space="preserve">总括句：HF-CAC 负责生成高质量文化判断，CAMAD 负责把这种判断迁移为可部署单体模型。</w:t>
      </w:r>
    </w:p>
    <w:p>
      <w:pPr>
        <w:pStyle w:val="Heading2"/>
      </w:pPr>
      <w:r>
        <w:rPr>
          <w:b/>
          <w:bCs/>
        </w:rPr>
        <w:t xml:space="preserve">3.1 HF-CAC：主场文化激活的协作结构（回答问题一）</w:t>
      </w:r>
    </w:p>
    <w:p>
      <w:pPr>
        <w:pStyle w:val="ListParagraph"/>
        <w:numPr>
          <w:ilvl w:val="0"/>
          <w:numId w:val="2"/>
        </w:numPr>
        <w:spacing w:after="80"/>
      </w:pPr>
      <w:r>
        <w:t xml:space="preserve">写清楚为何文化知识具有属地性与不对称性，为什么文化任务不能套用平权协商。</w:t>
      </w:r>
    </w:p>
    <w:p>
      <w:pPr>
        <w:pStyle w:val="ListParagraph"/>
        <w:numPr>
          <w:ilvl w:val="0"/>
          <w:numId w:val="2"/>
        </w:numPr>
        <w:spacing w:after="80"/>
      </w:pPr>
      <w:r>
        <w:t xml:space="preserve">HF-CAC 如何通过 Guardian、Auditor、Judge 的角色分工打破等权谬误。</w:t>
      </w:r>
    </w:p>
    <w:p>
      <w:pPr>
        <w:pStyle w:val="ListParagraph"/>
        <w:numPr>
          <w:ilvl w:val="0"/>
          <w:numId w:val="2"/>
        </w:numPr>
        <w:spacing w:after="80"/>
      </w:pPr>
      <w:r>
        <w:t xml:space="preserve">两阶段结构化协商流程：Guardian 独立生成 → Auditors 条件生成。</w:t>
      </w:r>
    </w:p>
    <w:p>
      <w:pPr>
        <w:pStyle w:val="ListParagraph"/>
        <w:numPr>
          <w:ilvl w:val="0"/>
          <w:numId w:val="2"/>
        </w:numPr>
        <w:spacing w:after="80"/>
      </w:pPr>
      <w:r>
        <w:t xml:space="preserve">裁决机制：Guardian 一票否决、亲缘度仲裁。</w:t>
      </w:r>
    </w:p>
    <w:p>
      <w:pPr>
        <w:spacing w:after="100" w:before="100"/>
        <w:jc w:val="center"/>
      </w:pPr>
      <w:r>
        <w:rPr>
          <w:i/>
          <w:iCs/>
          <w:color w:val="2E75B6"/>
        </w:rPr>
        <w:t xml:space="preserve">【可选：Figure 6 文化亲缘度矩阵热力图（若正文篇幅不够则移至附录 A）】</w:t>
      </w:r>
    </w:p>
    <w:p>
      <w:pPr>
        <w:pStyle w:val="Heading2"/>
      </w:pPr>
      <w:r>
        <w:rPr>
          <w:b/>
          <w:bCs/>
        </w:rPr>
        <w:t xml:space="preserve">3.2 CAMAD：文化感知的混合自适应蒸馏（回答问题二）</w:t>
      </w:r>
    </w:p>
    <w:p>
      <w:pPr>
        <w:pStyle w:val="ListParagraph"/>
        <w:numPr>
          <w:ilvl w:val="0"/>
          <w:numId w:val="2"/>
        </w:numPr>
        <w:spacing w:after="80"/>
      </w:pPr>
      <w:r>
        <w:t xml:space="preserve">说明为什么要把 HF-CAC 的结构化跨文化推理能力蒸馏进单体模型，以及单体部署的价值。</w:t>
      </w:r>
    </w:p>
    <w:p>
      <w:pPr>
        <w:pStyle w:val="ListParagraph"/>
        <w:numPr>
          <w:ilvl w:val="0"/>
          <w:numId w:val="2"/>
        </w:numPr>
        <w:spacing w:after="80"/>
      </w:pPr>
      <w:r>
        <w:t xml:space="preserve">角色功能重映射：Judge 的最终答案 → 监督蒸馏目标；Guardian 的文化方向判断 → 强化学习引导信号。</w:t>
      </w:r>
    </w:p>
    <w:p>
      <w:pPr>
        <w:pStyle w:val="ListParagraph"/>
        <w:numPr>
          <w:ilvl w:val="0"/>
          <w:numId w:val="2"/>
        </w:numPr>
        <w:spacing w:after="80"/>
      </w:pPr>
      <w:r>
        <w:t xml:space="preserve">混合训练机制：在线 SFT 与 RL 联合优化；Guardian 文化方向信号注入优势函数；自适应文化难度加权。</w:t>
      </w:r>
    </w:p>
    <w:p>
      <w:pPr>
        <w:pStyle w:val="ListParagraph"/>
        <w:numPr>
          <w:ilvl w:val="0"/>
          <w:numId w:val="2"/>
        </w:numPr>
        <w:spacing w:after="80"/>
      </w:pPr>
      <w:r>
        <w:t xml:space="preserve">与串行 SFT→RL 的核心区别：串行范式在 RL 阶段失去监督锚定，混合训练始终保持监督与探索的平衡。</w:t>
      </w:r>
    </w:p>
    <w:p>
      <w:pPr>
        <w:spacing w:before="120"/>
      </w:pPr>
      <w:r>
        <w:rPr>
          <w:b/>
          <w:bCs/>
        </w:rPr>
        <w:t xml:space="preserve">写法提示：</w:t>
      </w:r>
    </w:p>
    <w:p>
      <w:pPr>
        <w:pStyle w:val="ListParagraph"/>
        <w:numPr>
          <w:ilvl w:val="0"/>
          <w:numId w:val="2"/>
        </w:numPr>
        <w:spacing w:after="80"/>
      </w:pPr>
      <w:r>
        <w:t xml:space="preserve">方法章节不设 3.3。问题三不需要新方法，只需要评估协议，在实验设置 4.3 中展开。</w:t>
      </w:r>
    </w:p>
    <w:p>
      <w:pPr>
        <w:pStyle w:val="Heading1"/>
      </w:pPr>
      <w:r>
        <w:rPr>
          <w:b/>
          <w:bCs/>
        </w:rPr>
        <w:t xml:space="preserve">4. 实验设置（Experiment Setup）</w:t>
      </w:r>
    </w:p>
    <w:p>
      <w:pPr>
        <w:spacing w:after="120"/>
      </w:pPr>
      <w:r>
        <w:t xml:space="preserve">本节给结果章节做铺垫，交代数据、模型、baseline、指标与实验设计逻辑。</w:t>
      </w:r>
    </w:p>
    <w:p>
      <w:pPr>
        <w:pStyle w:val="Heading2"/>
      </w:pPr>
      <w:r>
        <w:rPr>
          <w:b/>
          <w:bCs/>
        </w:rPr>
        <w:t xml:space="preserve">4.1 数据集、模型与评价指标</w:t>
      </w:r>
    </w:p>
    <w:p>
      <w:pPr>
        <w:pStyle w:val="ListParagraph"/>
        <w:numPr>
          <w:ilvl w:val="0"/>
          <w:numId w:val="2"/>
        </w:numPr>
        <w:spacing w:after="80"/>
      </w:pPr>
      <w:r>
        <w:t xml:space="preserve">说明使用 NormAd、CulturalBench、BLEnD 等数据集；基座模型选择；评价指标（准确率为主）；是否跨模型验证。</w:t>
      </w:r>
    </w:p>
    <w:p>
      <w:pPr>
        <w:pStyle w:val="Heading2"/>
      </w:pPr>
      <w:r>
        <w:rPr>
          <w:b/>
          <w:bCs/>
        </w:rPr>
        <w:t xml:space="preserve">4.2 Baseline 与实现细节</w:t>
      </w:r>
    </w:p>
    <w:p>
      <w:pPr>
        <w:pStyle w:val="ListParagraph"/>
        <w:numPr>
          <w:ilvl w:val="0"/>
          <w:numId w:val="2"/>
        </w:numPr>
        <w:spacing w:after="80"/>
      </w:pPr>
      <w:r>
        <w:t xml:space="preserve">按两组列出——回答问题一的多智能体 baseline；回答问题二的蒸馏/单体 baseline（含 zero-shot、role-play、single-teacher、MAGDi、AgentArk 等）。</w:t>
      </w:r>
    </w:p>
    <w:p>
      <w:pPr>
        <w:pStyle w:val="ListParagraph"/>
        <w:numPr>
          <w:ilvl w:val="0"/>
          <w:numId w:val="2"/>
        </w:numPr>
        <w:spacing w:after="80"/>
      </w:pPr>
      <w:r>
        <w:t xml:space="preserve">实现细节：HF-CAC 默认六个文化智能体；CAMAD 从基座模型起点训练等。</w:t>
      </w:r>
    </w:p>
    <w:p>
      <w:pPr>
        <w:pStyle w:val="Heading2"/>
      </w:pPr>
      <w:r>
        <w:rPr>
          <w:b/>
          <w:bCs/>
        </w:rPr>
        <w:t xml:space="preserve">4.3 文化频率分组评估协议（服务问题三）</w:t>
      </w:r>
    </w:p>
    <w:p>
      <w:pPr>
        <w:pStyle w:val="ListParagraph"/>
        <w:numPr>
          <w:ilvl w:val="0"/>
          <w:numId w:val="2"/>
        </w:numPr>
        <w:spacing w:after="80"/>
      </w:pPr>
      <w:r>
        <w:t xml:space="preserve">定义文化频率分组的标准：按训练数据中各文化出现频率将测试样本分为高频文化组与稀有文化组。</w:t>
      </w:r>
    </w:p>
    <w:p>
      <w:pPr>
        <w:pStyle w:val="ListParagraph"/>
        <w:numPr>
          <w:ilvl w:val="0"/>
          <w:numId w:val="2"/>
        </w:numPr>
        <w:spacing w:after="80"/>
      </w:pPr>
      <w:r>
        <w:t xml:space="preserve">说明为什么需要这一协议：整体准确率可能掩盖稀有文化上的退化，分组评估才能暴露这一盲区。</w:t>
      </w:r>
    </w:p>
    <w:p>
      <w:pPr>
        <w:pStyle w:val="ListParagraph"/>
        <w:numPr>
          <w:ilvl w:val="0"/>
          <w:numId w:val="2"/>
        </w:numPr>
        <w:spacing w:after="80"/>
      </w:pPr>
      <w:r>
        <w:t xml:space="preserve">分组后分别报告各方法（包括本文方法和所有 baseline）在两组上的准确率，而非只看整体。</w:t>
      </w:r>
    </w:p>
    <w:p>
      <w:pPr>
        <w:pStyle w:val="ListParagraph"/>
        <w:numPr>
          <w:ilvl w:val="0"/>
          <w:numId w:val="2"/>
        </w:numPr>
        <w:spacing w:after="80"/>
      </w:pPr>
      <w:r>
        <w:t xml:space="preserve">对照组：将 CAMAD 与 SFT-only、RL-only、串行 SFT→RL 进行对比，揭示不同训练范式在稀有文化上的差异表现。</w:t>
      </w:r>
    </w:p>
    <w:p>
      <w:pPr>
        <w:pStyle w:val="Heading1"/>
      </w:pPr>
      <w:r>
        <w:rPr>
          <w:b/>
          <w:bCs/>
        </w:rPr>
        <w:t xml:space="preserve">5. 实验结果与分析（Results）</w:t>
      </w:r>
    </w:p>
    <w:p>
      <w:pPr>
        <w:spacing w:after="120"/>
      </w:pPr>
      <w:r>
        <w:t xml:space="preserve">按三个问题分三小节，每小节包含主实验和分析实验，图表就近放置。</w:t>
      </w:r>
    </w:p>
    <w:p>
      <w:pPr>
        <w:pStyle w:val="Heading2"/>
      </w:pPr>
      <w:r>
        <w:rPr>
          <w:b/>
          <w:bCs/>
        </w:rPr>
        <w:t xml:space="preserve">5.1 问题一：HF-CAC 的主结果与结构分析</w:t>
      </w:r>
    </w:p>
    <w:p>
      <w:pPr>
        <w:pStyle w:val="ListParagraph"/>
        <w:numPr>
          <w:ilvl w:val="0"/>
          <w:numId w:val="2"/>
        </w:numPr>
        <w:spacing w:after="80"/>
      </w:pPr>
      <w:r>
        <w:rPr>
          <w:b/>
          <w:bCs/>
        </w:rPr>
        <w:t xml:space="preserve">主对比实验：</w:t>
      </w:r>
      <w:r/>
    </w:p>
    <w:p>
      <w:pPr>
        <w:spacing w:after="100" w:before="100"/>
        <w:jc w:val="center"/>
      </w:pPr>
      <w:r>
        <w:rPr>
          <w:i/>
          <w:iCs/>
          <w:color w:val="2E75B6"/>
        </w:rPr>
        <w:t xml:space="preserve">【Table 1 置于此处：HF-CAC vs 多智能体 Baseline 准确率对比表】</w:t>
      </w:r>
    </w:p>
    <w:p>
      <w:pPr>
        <w:pStyle w:val="ListParagraph"/>
        <w:numPr>
          <w:ilvl w:val="0"/>
          <w:numId w:val="2"/>
        </w:numPr>
        <w:spacing w:after="80"/>
      </w:pPr>
      <w:r>
        <w:rPr>
          <w:b/>
          <w:bCs/>
        </w:rPr>
        <w:t xml:space="preserve">分析实验一：</w:t>
      </w:r>
      <w:r/>
    </w:p>
    <w:p>
      <w:pPr>
        <w:spacing w:after="100" w:before="100"/>
        <w:jc w:val="center"/>
      </w:pPr>
      <w:r>
        <w:rPr>
          <w:i/>
          <w:iCs/>
          <w:color w:val="2E75B6"/>
        </w:rPr>
        <w:t xml:space="preserve">【Figure 2 置于此处：智能体数量分析折线图】</w:t>
      </w:r>
    </w:p>
    <w:p>
      <w:pPr>
        <w:pStyle w:val="ListParagraph"/>
        <w:numPr>
          <w:ilvl w:val="0"/>
          <w:numId w:val="2"/>
        </w:numPr>
        <w:spacing w:after="80"/>
      </w:pPr>
      <w:r>
        <w:rPr>
          <w:b/>
          <w:bCs/>
        </w:rPr>
        <w:t xml:space="preserve">分析实验二：</w:t>
      </w:r>
      <w:r/>
    </w:p>
    <w:p>
      <w:pPr>
        <w:spacing w:after="100" w:before="100"/>
        <w:jc w:val="center"/>
      </w:pPr>
      <w:r>
        <w:rPr>
          <w:i/>
          <w:iCs/>
          <w:color w:val="2E75B6"/>
        </w:rPr>
        <w:t xml:space="preserve">【Figure 3 置于此处：协商轮次分析折线图】</w:t>
      </w:r>
    </w:p>
    <w:p>
      <w:pPr>
        <w:pStyle w:val="ListParagraph"/>
        <w:numPr>
          <w:ilvl w:val="0"/>
          <w:numId w:val="2"/>
        </w:numPr>
        <w:spacing w:after="80"/>
      </w:pPr>
      <w:r>
        <w:rPr>
          <w:b/>
          <w:bCs/>
        </w:rPr>
        <w:t xml:space="preserve">（建议新增）Case Study：</w:t>
      </w:r>
      <w:r/>
    </w:p>
    <w:p>
      <w:pPr>
        <w:spacing w:after="100" w:before="100"/>
        <w:jc w:val="center"/>
      </w:pPr>
      <w:r>
        <w:rPr>
          <w:i/>
          <w:iCs/>
          <w:color w:val="2E75B6"/>
        </w:rPr>
        <w:t xml:space="preserve">【Table/Figure 7（建议新增）置于此处或附录 F：Case Study 推理过程对比】</w:t>
      </w:r>
    </w:p>
    <w:p>
      <w:pPr>
        <w:pStyle w:val="ListParagraph"/>
        <w:numPr>
          <w:ilvl w:val="0"/>
          <w:numId w:val="2"/>
        </w:numPr>
        <w:spacing w:after="80"/>
      </w:pPr>
      <w:r>
        <w:rPr>
          <w:b/>
          <w:bCs/>
        </w:rPr>
        <w:t xml:space="preserve">小结：</w:t>
      </w:r>
      <w:r/>
    </w:p>
    <w:p>
      <w:pPr>
        <w:pStyle w:val="Heading2"/>
      </w:pPr>
      <w:r>
        <w:rPr>
          <w:b/>
          <w:bCs/>
        </w:rPr>
        <w:t xml:space="preserve">5.2 问题二：CAMAD 的主结果与部署效率分析</w:t>
      </w:r>
    </w:p>
    <w:p>
      <w:pPr>
        <w:pStyle w:val="ListParagraph"/>
        <w:numPr>
          <w:ilvl w:val="0"/>
          <w:numId w:val="2"/>
        </w:numPr>
        <w:spacing w:after="80"/>
      </w:pPr>
      <w:r>
        <w:rPr>
          <w:b/>
          <w:bCs/>
        </w:rPr>
        <w:t xml:space="preserve">主对比实验：</w:t>
      </w:r>
      <w:r/>
    </w:p>
    <w:p>
      <w:pPr>
        <w:spacing w:after="100" w:before="100"/>
        <w:jc w:val="center"/>
      </w:pPr>
      <w:r>
        <w:rPr>
          <w:i/>
          <w:iCs/>
          <w:color w:val="2E75B6"/>
        </w:rPr>
        <w:t xml:space="preserve">【Table 2 置于此处：CAMAD vs 蒸馏/单体 Baseline 准确率对比表】</w:t>
      </w:r>
    </w:p>
    <w:p>
      <w:pPr>
        <w:pStyle w:val="ListParagraph"/>
        <w:numPr>
          <w:ilvl w:val="0"/>
          <w:numId w:val="2"/>
        </w:numPr>
        <w:spacing w:after="80"/>
      </w:pPr>
      <w:r>
        <w:rPr>
          <w:b/>
          <w:bCs/>
        </w:rPr>
        <w:t xml:space="preserve">部署效率分析：</w:t>
      </w:r>
      <w:r/>
    </w:p>
    <w:p>
      <w:pPr>
        <w:spacing w:after="100" w:before="100"/>
        <w:jc w:val="center"/>
      </w:pPr>
      <w:r>
        <w:rPr>
          <w:i/>
          <w:iCs/>
          <w:color w:val="2E75B6"/>
        </w:rPr>
        <w:t xml:space="preserve">【Table 3 置于此处：HF-CAC vs CAMAD Token 消耗与时延对比表】</w:t>
      </w:r>
    </w:p>
    <w:p>
      <w:pPr>
        <w:pStyle w:val="ListParagraph"/>
        <w:numPr>
          <w:ilvl w:val="0"/>
          <w:numId w:val="2"/>
        </w:numPr>
        <w:spacing w:after="80"/>
      </w:pPr>
      <w:r>
        <w:rPr>
          <w:b/>
          <w:bCs/>
        </w:rPr>
        <w:t xml:space="preserve">消融实验：</w:t>
      </w:r>
      <w:r/>
    </w:p>
    <w:p>
      <w:pPr>
        <w:spacing w:after="100" w:before="100"/>
        <w:jc w:val="center"/>
      </w:pPr>
      <w:r>
        <w:rPr>
          <w:i/>
          <w:iCs/>
          <w:color w:val="2E75B6"/>
        </w:rPr>
        <w:t xml:space="preserve">【Table 4 置于此处：CAMAD 消融实验结果表】</w:t>
      </w:r>
    </w:p>
    <w:p>
      <w:pPr>
        <w:pStyle w:val="ListParagraph"/>
        <w:numPr>
          <w:ilvl w:val="0"/>
          <w:numId w:val="2"/>
        </w:numPr>
        <w:spacing w:after="80"/>
      </w:pPr>
      <w:r>
        <w:rPr>
          <w:b/>
          <w:bCs/>
        </w:rPr>
        <w:t xml:space="preserve">（建议新增）参数分析：</w:t>
      </w:r>
      <w:r/>
    </w:p>
    <w:p>
      <w:pPr>
        <w:spacing w:after="100" w:before="100"/>
        <w:jc w:val="center"/>
      </w:pPr>
      <w:r>
        <w:rPr>
          <w:i/>
          <w:iCs/>
          <w:color w:val="2E75B6"/>
        </w:rPr>
        <w:t xml:space="preserve">【Figure 5（建议新增）置于此处：CAMAD 关键超参数分析图（折线图子图组）】</w:t>
      </w:r>
    </w:p>
    <w:p>
      <w:pPr>
        <w:pStyle w:val="ListParagraph"/>
        <w:numPr>
          <w:ilvl w:val="0"/>
          <w:numId w:val="2"/>
        </w:numPr>
        <w:spacing w:after="80"/>
      </w:pPr>
      <w:r>
        <w:rPr>
          <w:b/>
          <w:bCs/>
        </w:rPr>
        <w:t xml:space="preserve">小结：</w:t>
      </w:r>
      <w:r/>
    </w:p>
    <w:p>
      <w:pPr>
        <w:pStyle w:val="Heading2"/>
      </w:pPr>
      <w:r>
        <w:rPr>
          <w:b/>
          <w:bCs/>
        </w:rPr>
        <w:t xml:space="preserve">5.3 问题三：稀有文化的隐性退化现象</w:t>
      </w:r>
    </w:p>
    <w:p>
      <w:pPr>
        <w:pStyle w:val="ListParagraph"/>
        <w:numPr>
          <w:ilvl w:val="0"/>
          <w:numId w:val="2"/>
        </w:numPr>
        <w:spacing w:after="80"/>
      </w:pPr>
      <w:r>
        <w:rPr>
          <w:b/>
          <w:bCs/>
        </w:rPr>
        <w:t xml:space="preserve">文化频率分组结果：</w:t>
      </w:r>
      <w:r/>
    </w:p>
    <w:p>
      <w:pPr>
        <w:spacing w:after="100" w:before="100"/>
        <w:jc w:val="center"/>
      </w:pPr>
      <w:r>
        <w:rPr>
          <w:i/>
          <w:iCs/>
          <w:color w:val="2E75B6"/>
        </w:rPr>
        <w:t xml:space="preserve">【Table 5 置于此处：文化频率分组结果表（高频 vs 稀有 vs 整体准确率）】</w:t>
      </w:r>
    </w:p>
    <w:p>
      <w:pPr>
        <w:pStyle w:val="ListParagraph"/>
        <w:numPr>
          <w:ilvl w:val="0"/>
          <w:numId w:val="2"/>
        </w:numPr>
        <w:spacing w:after="80"/>
      </w:pPr>
      <w:r>
        <w:rPr>
          <w:b/>
          <w:bCs/>
        </w:rPr>
        <w:t xml:space="preserve">（建议新增）隐性退化可视化：</w:t>
      </w:r>
      <w:r/>
    </w:p>
    <w:p>
      <w:pPr>
        <w:spacing w:after="100" w:before="100"/>
        <w:jc w:val="center"/>
      </w:pPr>
      <w:r>
        <w:rPr>
          <w:i/>
          <w:iCs/>
          <w:color w:val="2E75B6"/>
        </w:rPr>
        <w:t xml:space="preserve">【Figure 4（建议新增）置于此处：高频 vs 稀有文化准确率分组柱状图】</w:t>
      </w:r>
    </w:p>
    <w:p>
      <w:pPr>
        <w:pStyle w:val="ListParagraph"/>
        <w:numPr>
          <w:ilvl w:val="0"/>
          <w:numId w:val="2"/>
        </w:numPr>
        <w:spacing w:after="80"/>
      </w:pPr>
      <w:r>
        <w:rPr>
          <w:b/>
          <w:bCs/>
        </w:rPr>
        <w:t xml:space="preserve">训练范式对比：</w:t>
      </w:r>
      <w:r/>
    </w:p>
    <w:p>
      <w:pPr>
        <w:pStyle w:val="ListParagraph"/>
        <w:numPr>
          <w:ilvl w:val="0"/>
          <w:numId w:val="2"/>
        </w:numPr>
        <w:spacing w:after="80"/>
      </w:pPr>
      <w:r>
        <w:rPr>
          <w:b/>
          <w:bCs/>
        </w:rPr>
        <w:t xml:space="preserve">小结：</w:t>
      </w:r>
      <w:r/>
    </w:p>
    <w:p>
      <w:pPr>
        <w:spacing w:before="120"/>
      </w:pPr>
      <w:r>
        <w:rPr>
          <w:b/>
          <w:bCs/>
        </w:rPr>
        <w:t xml:space="preserve">写法提示：</w:t>
      </w:r>
    </w:p>
    <w:p>
      <w:pPr>
        <w:pStyle w:val="ListParagraph"/>
        <w:numPr>
          <w:ilvl w:val="0"/>
          <w:numId w:val="2"/>
        </w:numPr>
        <w:spacing w:after="80"/>
      </w:pPr>
      <w:r>
        <w:t xml:space="preserve">5.1 突出"HF-CAC 不是通过更多 agent 获胜，而是通过主场权威机制获胜"。</w:t>
      </w:r>
    </w:p>
    <w:p>
      <w:pPr>
        <w:pStyle w:val="ListParagraph"/>
        <w:numPr>
          <w:ilvl w:val="0"/>
          <w:numId w:val="2"/>
        </w:numPr>
        <w:spacing w:after="80"/>
      </w:pPr>
      <w:r>
        <w:t xml:space="preserve">5.2 把 HF-CAC 作为高成本 teacher 上界，CAMAD 作为部署友好 student，两维度（准确率 + token 成本）共同回答问题二。消融实验和参数分析放在 5.2 内部，作为 CAMAD 方法层面的深入验证。</w:t>
      </w:r>
    </w:p>
    <w:p>
      <w:pPr>
        <w:pStyle w:val="ListParagraph"/>
        <w:numPr>
          <w:ilvl w:val="0"/>
          <w:numId w:val="2"/>
        </w:numPr>
        <w:spacing w:after="80"/>
      </w:pPr>
      <w:r>
        <w:t xml:space="preserve">5.3 的核心叙事是"揭示现象"而非"验证方法"：先展示隐性退化现象的普遍性，再说明 CAMAD 在这一视角下的表现。</w:t>
      </w:r>
    </w:p>
    <w:p>
      <w:pPr>
        <w:pStyle w:val="Heading1"/>
      </w:pPr>
      <w:r>
        <w:rPr>
          <w:b/>
          <w:bCs/>
        </w:rPr>
        <w:t xml:space="preserve">6. 结论（Conclusion）</w:t>
      </w:r>
    </w:p>
    <w:p>
      <w:pPr>
        <w:spacing w:before="120"/>
      </w:pPr>
      <w:r>
        <w:rPr>
          <w:b/>
          <w:bCs/>
        </w:rPr>
        <w:t xml:space="preserve">主要内容：</w:t>
      </w:r>
    </w:p>
    <w:p>
      <w:pPr>
        <w:pStyle w:val="ListParagraph"/>
        <w:numPr>
          <w:ilvl w:val="0"/>
          <w:numId w:val="2"/>
        </w:numPr>
        <w:spacing w:after="80"/>
      </w:pPr>
      <w:r>
        <w:t xml:space="preserve">回顾三个问题及其重要性。</w:t>
      </w:r>
    </w:p>
    <w:p>
      <w:pPr>
        <w:pStyle w:val="ListParagraph"/>
        <w:numPr>
          <w:ilvl w:val="0"/>
          <w:numId w:val="2"/>
        </w:numPr>
        <w:spacing w:after="80"/>
      </w:pPr>
      <w:r>
        <w:t xml:space="preserve">概括本文回答：HF-CAC 打破等权谬误；CAMAD 实现可部署的文化推理迁移；按文化频率分组的评估揭示了稀有文化的隐性退化现象。</w:t>
      </w:r>
    </w:p>
    <w:p>
      <w:pPr>
        <w:pStyle w:val="ListParagraph"/>
        <w:numPr>
          <w:ilvl w:val="0"/>
          <w:numId w:val="2"/>
        </w:numPr>
        <w:spacing w:after="80"/>
      </w:pPr>
      <w:r>
        <w:t xml:space="preserve">点出实验支持：主对比实验验证有效性，分组评估揭示被忽视的现象，分析实验解释为何有效。</w:t>
      </w:r>
    </w:p>
    <w:p>
      <w:pPr>
        <w:pStyle w:val="ListParagraph"/>
        <w:numPr>
          <w:ilvl w:val="0"/>
          <w:numId w:val="2"/>
        </w:numPr>
        <w:spacing w:after="80"/>
      </w:pPr>
      <w:r>
        <w:t xml:space="preserve">可用一句面向未来的话收束，例如"呼吁文化对齐研究在评估时采用更细粒度的文化频率视角"。</w:t>
      </w:r>
    </w:p>
    <w:p>
      <w:pPr>
        <w:pStyle w:val="Heading1"/>
      </w:pPr>
      <w:r>
        <w:rPr>
          <w:b/>
          <w:bCs/>
        </w:rPr>
        <w:t xml:space="preserve">7. 局限性（Limitations）</w:t>
      </w:r>
    </w:p>
    <w:p>
      <w:pPr>
        <w:spacing w:after="120"/>
      </w:pPr>
      <w:r>
        <w:t xml:space="preserve">单独成节，篇幅可短，聚焦领域性开放问题。</w:t>
      </w:r>
    </w:p>
    <w:p>
      <w:pPr>
        <w:pStyle w:val="ListParagraph"/>
        <w:numPr>
          <w:ilvl w:val="0"/>
          <w:numId w:val="2"/>
        </w:numPr>
        <w:spacing w:after="80"/>
      </w:pPr>
      <w:r>
        <w:t xml:space="preserve">文化概念本身具有动态性、混合性与跨语境迁移性，如何对"文化"进行统一、稳定且细粒度的机器建模，仍是整个领域的开放问题。</w:t>
      </w:r>
    </w:p>
    <w:p>
      <w:pPr>
        <w:pStyle w:val="ListParagraph"/>
        <w:numPr>
          <w:ilvl w:val="0"/>
          <w:numId w:val="2"/>
        </w:numPr>
        <w:spacing w:after="80"/>
      </w:pPr>
      <w:r>
        <w:t xml:space="preserve">当前公开评测大多基于封闭式 benchmark，如何构建面向开放对话、长期交互与真实用户场景的文化对齐评测体系，仍是所有方法共同面对的挑战。</w:t>
      </w:r>
    </w:p>
    <w:p>
      <w:pPr>
        <w:pStyle w:val="ListParagraph"/>
        <w:numPr>
          <w:ilvl w:val="0"/>
          <w:numId w:val="2"/>
        </w:numPr>
        <w:spacing w:after="80"/>
      </w:pPr>
      <w:r>
        <w:t xml:space="preserve">文化划分粒度有限：六大文化圈有助于建模，但无法完全覆盖国家内部与跨国区域内部的复杂差异。</w:t>
      </w:r>
    </w:p>
    <w:p>
      <w:pPr>
        <w:pStyle w:val="Heading1"/>
      </w:pPr>
      <w:r>
        <w:rPr>
          <w:b/>
          <w:bCs/>
        </w:rPr>
        <w:t xml:space="preserve">附录（Appendix）</w:t>
      </w:r>
    </w:p>
    <w:p>
      <w:pPr>
        <w:pStyle w:val="ListParagraph"/>
        <w:numPr>
          <w:ilvl w:val="0"/>
          <w:numId w:val="2"/>
        </w:numPr>
        <w:spacing w:after="80"/>
      </w:pPr>
      <w:r>
        <w:t xml:space="preserve">A. 文化亲缘度矩阵的构建方法。</w:t>
      </w:r>
    </w:p>
    <w:p>
      <w:pPr>
        <w:spacing w:after="100" w:before="100"/>
        <w:jc w:val="center"/>
      </w:pPr>
      <w:r>
        <w:rPr>
          <w:i/>
          <w:iCs/>
          <w:color w:val="2E75B6"/>
        </w:rPr>
        <w:t xml:space="preserve">【若 Figure 6 未放入正文，则在此处放置文化亲缘度矩阵热力图】</w:t>
      </w:r>
    </w:p>
    <w:p>
      <w:pPr>
        <w:pStyle w:val="ListParagraph"/>
        <w:numPr>
          <w:ilvl w:val="0"/>
          <w:numId w:val="2"/>
        </w:numPr>
        <w:spacing w:after="80"/>
      </w:pPr>
      <w:r>
        <w:t xml:space="preserve">B. 文化亲缘度矩阵的敏感性分析结果。</w:t>
      </w:r>
    </w:p>
    <w:p>
      <w:pPr>
        <w:spacing w:after="100" w:before="100"/>
        <w:jc w:val="center"/>
      </w:pPr>
      <w:r>
        <w:rPr>
          <w:i/>
          <w:iCs/>
          <w:color w:val="2E75B6"/>
        </w:rPr>
        <w:t xml:space="preserve">【Table 6 置于此处：不同矩阵配置下的对比结果】</w:t>
      </w:r>
    </w:p>
    <w:p>
      <w:pPr>
        <w:pStyle w:val="ListParagraph"/>
        <w:numPr>
          <w:ilvl w:val="0"/>
          <w:numId w:val="2"/>
        </w:numPr>
        <w:spacing w:after="80"/>
      </w:pPr>
      <w:r>
        <w:t xml:space="preserve">C. HF-CAC 的提示词模板与角色设定。</w:t>
      </w:r>
    </w:p>
    <w:p>
      <w:pPr>
        <w:pStyle w:val="ListParagraph"/>
        <w:numPr>
          <w:ilvl w:val="0"/>
          <w:numId w:val="2"/>
        </w:numPr>
        <w:spacing w:after="80"/>
      </w:pPr>
      <w:r>
        <w:t xml:space="preserve">D. 从 HF-CAC 到 CAMAD 的数据构造流程。</w:t>
      </w:r>
    </w:p>
    <w:p>
      <w:pPr>
        <w:pStyle w:val="ListParagraph"/>
        <w:numPr>
          <w:ilvl w:val="0"/>
          <w:numId w:val="2"/>
        </w:numPr>
        <w:spacing w:after="80"/>
      </w:pPr>
      <w:r>
        <w:t xml:space="preserve">E. 更多训练细节与超参数。</w:t>
      </w:r>
    </w:p>
    <w:p>
      <w:pPr>
        <w:pStyle w:val="ListParagraph"/>
        <w:numPr>
          <w:ilvl w:val="0"/>
          <w:numId w:val="2"/>
        </w:numPr>
        <w:spacing w:after="80"/>
      </w:pPr>
      <w:r>
        <w:t xml:space="preserve">F. 更多案例分析（Case Study）。</w:t>
      </w:r>
    </w:p>
    <w:p>
      <w:pPr>
        <w:spacing w:after="100" w:before="100"/>
        <w:jc w:val="center"/>
      </w:pPr>
      <w:r>
        <w:rPr>
          <w:i/>
          <w:iCs/>
          <w:color w:val="2E75B6"/>
        </w:rPr>
        <w:t xml:space="preserve">【若 Table/Figure 7 未放入正文，则在此处放置 Case Study】</w:t>
      </w:r>
    </w:p>
    <w:p>
      <w:pPr>
        <w:pStyle w:val="ListParagraph"/>
        <w:numPr>
          <w:ilvl w:val="0"/>
          <w:numId w:val="2"/>
        </w:numPr>
        <w:spacing w:after="80"/>
      </w:pPr>
      <w:r>
        <w:t xml:space="preserve">G. 按文化频率与文化区域分组的细粒度结果表。</w:t>
      </w:r>
    </w:p>
    <w:p>
      <w:pPr>
        <w:pStyle w:val="ListParagraph"/>
        <w:numPr>
          <w:ilvl w:val="0"/>
          <w:numId w:val="2"/>
        </w:numPr>
        <w:spacing w:after="80"/>
      </w:pPr>
      <w:r>
        <w:t xml:space="preserve">H. 复现实验说明。</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2026-07-04T09:58:54.424Z</dcterms:created>
  <dcterms:modified xsi:type="dcterms:W3CDTF">2026-07-04T09:58:54.427Z</dcterms:modified>
</cp:coreProperties>
</file>

<file path=docProps/custom.xml><?xml version="1.0" encoding="utf-8"?>
<Properties xmlns="http://schemas.openxmlformats.org/officeDocument/2006/custom-properties" xmlns:vt="http://schemas.openxmlformats.org/officeDocument/2006/docPropsVTypes"/>
</file>