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Microsoft YaHei" w:hAnsi="Microsoft YaHei" w:eastAsia="Microsoft YaHei"/>
          <w:color w:val="000000"/>
          <w:sz w:val="21"/>
        </w:rPr>
        <w:t>ARR 审稿意见合并总结（3 月 / 5 月）</w:t>
      </w:r>
    </w:p>
    <w:p>
      <w:pPr>
        <w:pStyle w:val="Heading1"/>
        <w:spacing w:after="120"/>
      </w:pPr>
      <w:r>
        <w:rPr>
          <w:rFonts w:ascii="Microsoft YaHei" w:hAnsi="Microsoft YaHei" w:eastAsia="Microsoft YaHei"/>
          <w:b/>
          <w:i w:val="0"/>
          <w:color w:val="000000"/>
          <w:sz w:val="21"/>
        </w:rPr>
        <w:t>一、双路径的“共享/特异”语义解耦缺乏直接验证【不好回复】</w:t>
      </w:r>
    </w:p>
    <w:p>
      <w:pPr>
        <w:spacing w:after="120"/>
      </w:pPr>
      <w:r>
        <w:rPr>
          <w:rFonts w:ascii="Microsoft YaHei" w:hAnsi="Microsoft YaHei" w:eastAsia="Microsoft YaHei"/>
          <w:b/>
          <w:color w:val="000000"/>
          <w:sz w:val="21"/>
        </w:rPr>
        <w:t>简要总结：</w:t>
      </w:r>
      <w:r>
        <w:rPr>
          <w:rFonts w:ascii="Microsoft YaHei" w:hAnsi="Microsoft YaHei" w:eastAsia="Microsoft YaHei"/>
          <w:color w:val="000000"/>
          <w:sz w:val="21"/>
        </w:rPr>
        <w:t>现有准确率和表示距离不足以证明共享路径学习跨文化共识、特异路径学习文化差异；需要路径级、探针或反事实证据。</w:t>
      </w:r>
    </w:p>
    <w:p>
      <w:pPr>
        <w:spacing w:after="120"/>
      </w:pPr>
      <w:r>
        <w:rPr>
          <w:rFonts w:ascii="Microsoft YaHei" w:hAnsi="Microsoft YaHei" w:eastAsia="Microsoft YaHei"/>
          <w:b/>
          <w:i w:val="0"/>
          <w:color w:val="000000"/>
          <w:sz w:val="21"/>
        </w:rPr>
        <w:t>对应审稿人原话及中文：</w:t>
      </w:r>
    </w:p>
    <w:p>
      <w:pPr>
        <w:spacing w:after="120"/>
        <w:ind w:left="317" w:hanging="317"/>
      </w:pPr>
      <w:r>
        <w:rPr>
          <w:rFonts w:ascii="Microsoft YaHei" w:hAnsi="Microsoft YaHei" w:eastAsia="Microsoft YaHei"/>
          <w:b/>
          <w:i w:val="0"/>
          <w:color w:val="000000"/>
          <w:sz w:val="21"/>
        </w:rPr>
        <w:t>1. 【3月-R1】</w:t>
      </w:r>
      <w:r>
        <w:rPr>
          <w:rFonts w:ascii="Microsoft YaHei" w:hAnsi="Microsoft YaHei" w:eastAsia="Microsoft YaHei"/>
          <w:b w:val="0"/>
          <w:i/>
          <w:color w:val="000000"/>
          <w:sz w:val="21"/>
        </w:rPr>
        <w:t xml:space="preserve"> The paper argues that the shared path captures cross-cultural consensus and the specific path captures culture-specific patterns, but the evidence mostly shows improved accuracy and larger representational distances. A larger Euclidean or cosine distance between pathways does not by itself show that one subspace is “shared” and the other is “specific.” The paper needs stronger diagnostics, such as probing each path separately, evaluating shared-only vs. specific-only outputs on explicitly consensus/specific subsets, or showing that masked-path representations become culture-invariant while unmasked-path representations retain culture-discriminative information.</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论文认为共享路径捕获跨文化共识、特异路径捕获文化特定模式，但现有证据主要是准确率提升和更大的表示距离。路径间更大的欧氏距离或余弦距离本身并不能证明一个子空间是“共享”的、另一个是“特异”的。论文需要更有力的诊断，例如分别探测两条路径，在明确的共识/特异子集上评估 shared-only 与 specific-only 输出，或证明 masked 路径表示变得文化不变，而 unmasked 路径表示仍保留文化可区分信息。</w:t>
      </w:r>
    </w:p>
    <w:p>
      <w:pPr>
        <w:spacing w:after="120"/>
        <w:ind w:left="317" w:hanging="317"/>
      </w:pPr>
      <w:r>
        <w:rPr>
          <w:rFonts w:ascii="Microsoft YaHei" w:hAnsi="Microsoft YaHei" w:eastAsia="Microsoft YaHei"/>
          <w:b/>
          <w:i w:val="0"/>
          <w:color w:val="000000"/>
          <w:sz w:val="21"/>
        </w:rPr>
        <w:t>2. 【5月-R1】</w:t>
      </w:r>
      <w:r>
        <w:rPr>
          <w:rFonts w:ascii="Microsoft YaHei" w:hAnsi="Microsoft YaHei" w:eastAsia="Microsoft YaHei"/>
          <w:b w:val="0"/>
          <w:i/>
          <w:color w:val="000000"/>
          <w:sz w:val="21"/>
        </w:rPr>
        <w:t xml:space="preserve"> While the overall performance improvements are promising, the paper does not provide sufficiently transparent evidence that the proposed method works for the reasons claimed. In particular, it remains unclear whether cross-cultural consensus and culture-specific patterns are truly captured by different pathways. The current analysis mainly relies on aggregate performance and representation-distance visualizations, but more direct evidence is needed, such as pathway-specific evaluations, counterfactual cultural cue replacement, or tests separating consensus-oriented questions from culture-specific questions.</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虽然整体性能提升令人鼓舞，但论文没有提供足够透明的证据表明方法是因所声称的机制而生效。尤其是，跨文化共识和文化特定模式是否确实由不同路径分别捕获仍不明确。当前分析主要依赖聚合性能和表示距离可视化，仍需要更直接的证据，例如路径特定评估、反事实文化线索替换，或将共识导向问题与文化特异问题分开的测试。</w:t>
      </w:r>
    </w:p>
    <w:p>
      <w:pPr>
        <w:spacing w:after="120"/>
        <w:ind w:left="317" w:hanging="317"/>
      </w:pPr>
      <w:r>
        <w:rPr>
          <w:rFonts w:ascii="Microsoft YaHei" w:hAnsi="Microsoft YaHei" w:eastAsia="Microsoft YaHei"/>
          <w:b/>
          <w:i w:val="0"/>
          <w:color w:val="000000"/>
          <w:sz w:val="21"/>
        </w:rPr>
        <w:t>3. 【5月-R3】</w:t>
      </w:r>
      <w:r>
        <w:rPr>
          <w:rFonts w:ascii="Microsoft YaHei" w:hAnsi="Microsoft YaHei" w:eastAsia="Microsoft YaHei"/>
          <w:b w:val="0"/>
          <w:i/>
          <w:color w:val="000000"/>
          <w:sz w:val="21"/>
        </w:rPr>
        <w:t xml:space="preserve"> While the representation analysis demonstrates increased geometric separation between culture-shared and culture-specific representations, it does not directly verify that the two pathways capture cross-cultural consensus and culture-specific knowledge, respectively. Additional quantitative analyses, such as pathway-specific evaluation or probing experiments, would provide stronger evidence for semantic disentanglement.</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尽管表示分析显示文化共享与文化特异表示的几何分离更明显，但这并未直接验证两条路径分别捕获了跨文化共识和文化特定知识。路径特定评估或探针实验等额外定量分析将为语义解耦提供更有力的证据。</w:t>
      </w:r>
    </w:p>
    <w:p>
      <w:pPr>
        <w:spacing w:after="120"/>
      </w:pPr>
      <w:r>
        <w:rPr>
          <w:rFonts w:ascii="Microsoft YaHei" w:hAnsi="Microsoft YaHei" w:eastAsia="Microsoft YaHei"/>
          <w:b/>
          <w:i w:val="0"/>
          <w:color w:val="000000"/>
          <w:sz w:val="21"/>
        </w:rPr>
        <w:t>回复：</w:t>
      </w:r>
      <w:r>
        <w:rPr>
          <w:rFonts w:ascii="Microsoft YaHei" w:hAnsi="Microsoft YaHei" w:eastAsia="Microsoft YaHei"/>
          <w:b w:val="0"/>
          <w:i w:val="0"/>
          <w:color w:val="000000"/>
          <w:sz w:val="21"/>
        </w:rPr>
        <w:t>将在修订版补充三类直接验证：将题目划分为跨文化共识型与文化特异型子集，分别评估 shared-only、specific-only 与融合模型；进行文化实体替换的反事实实验，考察两路径输出的稳定性差异；在两路径表示上训练线性探针预测文化标签与共识标签，并在正文新增“机制验证”小节。</w:t>
      </w:r>
    </w:p>
    <w:p>
      <w:pPr>
        <w:pStyle w:val="Heading1"/>
        <w:spacing w:after="120"/>
      </w:pPr>
      <w:r>
        <w:rPr>
          <w:rFonts w:ascii="Microsoft YaHei" w:hAnsi="Microsoft YaHei" w:eastAsia="Microsoft YaHei"/>
          <w:color w:val="000000"/>
          <w:sz w:val="21"/>
        </w:rPr>
        <w:t>二、文化敏感词典与 Masking 的依赖性、鲁棒性和有效性仍需充分说明</w:t>
      </w:r>
    </w:p>
    <w:p>
      <w:pPr>
        <w:spacing w:after="120"/>
      </w:pPr>
      <w:r>
        <w:rPr>
          <w:rFonts w:ascii="Microsoft YaHei" w:hAnsi="Microsoft YaHei" w:eastAsia="Microsoft YaHei"/>
          <w:b/>
          <w:color w:val="000000"/>
          <w:sz w:val="21"/>
        </w:rPr>
        <w:t>简要总结：</w:t>
      </w:r>
      <w:r>
        <w:rPr>
          <w:rFonts w:ascii="Microsoft YaHei" w:hAnsi="Microsoft YaHei" w:eastAsia="Microsoft YaHei"/>
          <w:color w:val="000000"/>
          <w:sz w:val="21"/>
        </w:rPr>
        <w:t>审稿人担心固定/人工词典难覆盖隐式或新兴线索，且 masking 可能掩盖答案线索；同时仅有小幅消融下降，尚不足以解释其实际作用。</w:t>
      </w:r>
    </w:p>
    <w:p>
      <w:pPr>
        <w:spacing w:after="120"/>
      </w:pPr>
      <w:r>
        <w:rPr>
          <w:rFonts w:ascii="Microsoft YaHei" w:hAnsi="Microsoft YaHei" w:eastAsia="Microsoft YaHei"/>
          <w:b/>
          <w:i w:val="0"/>
          <w:color w:val="000000"/>
          <w:sz w:val="21"/>
        </w:rPr>
        <w:t>对应审稿人原话及中文：</w:t>
      </w:r>
    </w:p>
    <w:p>
      <w:pPr>
        <w:spacing w:after="120"/>
        <w:ind w:left="317" w:hanging="317"/>
      </w:pPr>
      <w:r>
        <w:rPr>
          <w:rFonts w:ascii="Microsoft YaHei" w:hAnsi="Microsoft YaHei" w:eastAsia="Microsoft YaHei"/>
          <w:b/>
          <w:i w:val="0"/>
          <w:color w:val="000000"/>
          <w:sz w:val="21"/>
        </w:rPr>
        <w:t>4. 【3月-R1】</w:t>
      </w:r>
      <w:r>
        <w:rPr>
          <w:rFonts w:ascii="Microsoft YaHei" w:hAnsi="Microsoft YaHei" w:eastAsia="Microsoft YaHei"/>
          <w:b w:val="0"/>
          <w:i/>
          <w:color w:val="000000"/>
          <w:sz w:val="21"/>
        </w:rPr>
        <w:t xml:space="preserve"> Cultural Sensitivity Masking replaces explicit cultural identifiers with [MASK], but the examples show that this can mask answer-relevant option text as well, e.g., “traditional Moroccan teapot,” “American fridge,” and “Swedish-style minimalist coffee table” all become partially masked. This makes it unclear whether the model is learning a clean shared/specific decomposition or simply learning from an artificially corrupted input view. The paper should quantify how often masking affects question stems versus options, whether correct-answer cues are masked disproportionately, and whether gains persist under more controlled masking.</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文化敏感性掩码将显式文化标识替换为 [MASK]，但示例表明它也会掩盖与答案相关的选项文本，例如“传统摩洛哥茶壶”“美式冰箱”和“瑞典极简风咖啡桌”都会被部分掩盖。这使人不清楚模型是在学习干净的共享/特异解耦，还是仅从被人为破坏的输入视图中学习。论文应量化 masking 影响题干和选项的频率、正确答案线索是否被不成比例地掩盖，以及增益是否能在更受控的 masking 下保持。</w:t>
      </w:r>
    </w:p>
    <w:p>
      <w:pPr>
        <w:spacing w:after="120"/>
        <w:ind w:left="317" w:hanging="317"/>
      </w:pPr>
      <w:r>
        <w:rPr>
          <w:rFonts w:ascii="Microsoft YaHei" w:hAnsi="Microsoft YaHei" w:eastAsia="Microsoft YaHei"/>
          <w:b/>
          <w:i w:val="0"/>
          <w:color w:val="000000"/>
          <w:sz w:val="21"/>
        </w:rPr>
        <w:t>5. 【3月-R3】</w:t>
      </w:r>
      <w:r>
        <w:rPr>
          <w:rFonts w:ascii="Microsoft YaHei" w:hAnsi="Microsoft YaHei" w:eastAsia="Microsoft YaHei"/>
          <w:b w:val="0"/>
          <w:i/>
          <w:color w:val="000000"/>
          <w:sz w:val="21"/>
        </w:rPr>
        <w:t xml:space="preserve"> The masking lexicon holds up the whole framework, but we know almost nothing about it. The paper gives no total word count, no annotator agreement, no error rates. Table 5 shows percentages but not raw numbers. If the lexicon is bad, the two-path split falls apart. Suggestion: give full details (size, which LLM expanded it, how many annotators). Then degrade it by 10/20/30% and show what happens.</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掩码词典支撑着整个框架，但我们对它几乎一无所知。论文没有给出总词条数、标注者一致性或错误率；Table 5 展示了百分比而没有原始数量。如果词典质量不好，双路径划分就会失效。建议给出完整细节（规模、使用哪个 LLM 扩展、标注者数量），再将其按 10%/20%/30% 的比例降质并展示结果。</w:t>
      </w:r>
    </w:p>
    <w:p>
      <w:pPr>
        <w:spacing w:after="120"/>
        <w:ind w:left="317" w:hanging="317"/>
      </w:pPr>
      <w:r>
        <w:rPr>
          <w:rFonts w:ascii="Microsoft YaHei" w:hAnsi="Microsoft YaHei" w:eastAsia="Microsoft YaHei"/>
          <w:b/>
          <w:i w:val="0"/>
          <w:color w:val="000000"/>
          <w:sz w:val="21"/>
        </w:rPr>
        <w:t>6. 【5月-R1】</w:t>
      </w:r>
      <w:r>
        <w:rPr>
          <w:rFonts w:ascii="Microsoft YaHei" w:hAnsi="Microsoft YaHei" w:eastAsia="Microsoft YaHei"/>
          <w:b w:val="0"/>
          <w:i/>
          <w:color w:val="000000"/>
          <w:sz w:val="21"/>
        </w:rPr>
        <w:t xml:space="preserve"> The proposed method relies on a culture-sensitive lexicon, which is constructed with LLM assistance and then fixed afterwards. Since this lexicon is not learnable or dynamically updated during training, it may be less flexible in handling implicit, emerging, or context-dependent cultural cues.</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所提方法依赖一个由 LLM 辅助构建、随后固定的文化敏感词典。由于该词典在训练中不可学习、不会动态更新，它处理隐式、新兴或依赖上下文的文化线索时可能不够灵活。</w:t>
      </w:r>
    </w:p>
    <w:p>
      <w:pPr>
        <w:spacing w:after="120"/>
        <w:ind w:left="317" w:hanging="317"/>
      </w:pPr>
      <w:r>
        <w:rPr>
          <w:rFonts w:ascii="Microsoft YaHei" w:hAnsi="Microsoft YaHei" w:eastAsia="Microsoft YaHei"/>
          <w:b/>
          <w:i w:val="0"/>
          <w:color w:val="000000"/>
          <w:sz w:val="21"/>
        </w:rPr>
        <w:t>7. 【5月-R2】</w:t>
      </w:r>
      <w:r>
        <w:rPr>
          <w:rFonts w:ascii="Microsoft YaHei" w:hAnsi="Microsoft YaHei" w:eastAsia="Microsoft YaHei"/>
          <w:b w:val="0"/>
          <w:i/>
          <w:color w:val="000000"/>
          <w:sz w:val="21"/>
        </w:rPr>
        <w:t xml:space="preserve"> Heavy Dependency on Explicit Annotations: The masking mechanism heavily relies on manually annotated prior cultural knowledge and exhibits poor adaptability under weak supervision scenarios. Masking requires explicit, identifiable cultural markers such as geographic terms, religious concepts, festivals, and customs within input texts. If cultural cues are implicit, without clear named entities, or paired with incomplete/noisy annotations, the masking strategy will degrade drastically. Consequently, the dual-path decoupling performance may deteriorate severely, reducing the framework to a standard MoE-LoRA baseline.</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对显式标注的强依赖：masking 机制严重依赖人工标注的先验文化知识，在弱监督场景下适应性较差。它要求输入中出现地理术语、宗教概念、节日和习俗等显式可识别的文化标记。若文化线索是隐式的、没有明确命名实体，或伴随不完整/有噪声的标注，masking 策略将严重退化，双路径解耦性能也可能显著下降，使框架退化为普通 MoE-LoRA 基线。</w:t>
      </w:r>
    </w:p>
    <w:p>
      <w:pPr>
        <w:spacing w:after="120"/>
        <w:ind w:left="317" w:hanging="317"/>
      </w:pPr>
      <w:r>
        <w:rPr>
          <w:rFonts w:ascii="Microsoft YaHei" w:hAnsi="Microsoft YaHei" w:eastAsia="Microsoft YaHei"/>
          <w:b/>
          <w:i w:val="0"/>
          <w:color w:val="000000"/>
          <w:sz w:val="21"/>
        </w:rPr>
        <w:t>8. 【5月-R1】</w:t>
      </w:r>
      <w:r>
        <w:rPr>
          <w:rFonts w:ascii="Microsoft YaHei" w:hAnsi="Microsoft YaHei" w:eastAsia="Microsoft YaHei"/>
          <w:b w:val="0"/>
          <w:i/>
          <w:color w:val="000000"/>
          <w:sz w:val="21"/>
        </w:rPr>
        <w:t xml:space="preserve"> According to Table 2, removing the masking mechanism leads to only relatively small performance drops on several datasets. This raises questions about the actual importance of Cultural Sensitivity Masking in the overall framework.</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根据 Table 2，移除 masking 机制在若干数据集上只带来较小的性能下降。这引发了对文化敏感性掩码在整体框架中实际重要性的疑问。</w:t>
      </w:r>
    </w:p>
    <w:p>
      <w:pPr>
        <w:spacing w:after="120"/>
      </w:pPr>
      <w:r>
        <w:rPr>
          <w:rFonts w:ascii="Microsoft YaHei" w:hAnsi="Microsoft YaHei" w:eastAsia="Microsoft YaHei"/>
          <w:b/>
          <w:i w:val="0"/>
          <w:color w:val="000000"/>
          <w:sz w:val="21"/>
        </w:rPr>
        <w:t>回复：</w:t>
      </w:r>
      <w:r>
        <w:rPr>
          <w:rFonts w:ascii="Microsoft YaHei" w:hAnsi="Microsoft YaHei" w:eastAsia="Microsoft YaHei"/>
          <w:b w:val="0"/>
          <w:i w:val="0"/>
          <w:color w:val="000000"/>
          <w:sz w:val="21"/>
        </w:rPr>
        <w:t>词典仅用于构造输入侧“视图扰动”，而非唯一文化表征来源；最终文化判别由 LoRA 专家与动态路由学习。附录 B.5 已进行词典条目随机删除 10%/20%/30% 的鲁棒性实验，四个基准的性能下降均小于 1.5%。此外，w/o mask 并未退化到 Vanilla MoE。修订时仍应补充词典规模、构建/标注细节、错误率（如可得）、掩盖题干与选项的比例，以及正确答案线索是否被不成比例掩盖的分析。</w:t>
      </w:r>
    </w:p>
    <w:p>
      <w:pPr>
        <w:pStyle w:val="Heading1"/>
        <w:spacing w:after="120"/>
      </w:pPr>
      <w:r>
        <w:rPr>
          <w:rFonts w:ascii="Microsoft YaHei" w:hAnsi="Microsoft YaHei" w:eastAsia="Microsoft YaHei"/>
          <w:color w:val="000000"/>
          <w:sz w:val="21"/>
        </w:rPr>
        <w:t>三、专家的分工、负载与专家数量设置缺少充分分析</w:t>
      </w:r>
    </w:p>
    <w:p>
      <w:pPr>
        <w:spacing w:after="120"/>
      </w:pPr>
      <w:r>
        <w:rPr>
          <w:rFonts w:ascii="Microsoft YaHei" w:hAnsi="Microsoft YaHei" w:eastAsia="Microsoft YaHei"/>
          <w:b/>
          <w:color w:val="000000"/>
          <w:sz w:val="21"/>
        </w:rPr>
        <w:t>简要总结：</w:t>
      </w:r>
      <w:r>
        <w:rPr>
          <w:rFonts w:ascii="Microsoft YaHei" w:hAnsi="Microsoft YaHei" w:eastAsia="Microsoft YaHei"/>
          <w:color w:val="000000"/>
          <w:sz w:val="21"/>
        </w:rPr>
        <w:t>多专家路由是核心设计，但需要展示专家如何按区域/主题专精、是否负载均衡，以及不同专家数的性能—效率权衡。</w:t>
      </w:r>
    </w:p>
    <w:p>
      <w:pPr>
        <w:spacing w:after="120"/>
      </w:pPr>
      <w:r>
        <w:rPr>
          <w:rFonts w:ascii="Microsoft YaHei" w:hAnsi="Microsoft YaHei" w:eastAsia="Microsoft YaHei"/>
          <w:b/>
          <w:i w:val="0"/>
          <w:color w:val="000000"/>
          <w:sz w:val="21"/>
        </w:rPr>
        <w:t>对应审稿人原话及中文：</w:t>
      </w:r>
    </w:p>
    <w:p>
      <w:pPr>
        <w:spacing w:after="120"/>
        <w:ind w:left="317" w:hanging="317"/>
      </w:pPr>
      <w:r>
        <w:rPr>
          <w:rFonts w:ascii="Microsoft YaHei" w:hAnsi="Microsoft YaHei" w:eastAsia="Microsoft YaHei"/>
          <w:b/>
          <w:i w:val="0"/>
          <w:color w:val="000000"/>
          <w:sz w:val="21"/>
        </w:rPr>
        <w:t>9. 【5月-R1】</w:t>
      </w:r>
      <w:r>
        <w:rPr>
          <w:rFonts w:ascii="Microsoft YaHei" w:hAnsi="Microsoft YaHei" w:eastAsia="Microsoft YaHei"/>
          <w:b w:val="0"/>
          <w:i/>
          <w:color w:val="000000"/>
          <w:sz w:val="21"/>
        </w:rPr>
        <w:t xml:space="preserve"> Although the culture-specific pathway uses multiple experts with dynamic routing, it remains unclear what kinds of cultural information different experts actually learn. The paper would benefit from a more detailed analysis of expert behavior, such as whether specific experts specialize in particular cultural regions, topics, norms, or reasoning patterns. In addition, the impact of the number of experts is not evaluated. Since expert number can strongly affect MoE-style methods, an ablation or parameter study on this factor is necessary.</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尽管文化特异路径使用多专家动态路由，不同专家实际学习了何种文化信息仍不清楚。论文应更详细地分析专家行为，例如某些专家是否专门处理特定文化区域、主题、规范或推理模式。此外，尚未评估专家数量的影响。由于专家数量会强烈影响 MoE 类方法，有必要对此进行消融或参数研究。</w:t>
      </w:r>
    </w:p>
    <w:p>
      <w:pPr>
        <w:spacing w:after="120"/>
        <w:ind w:left="317" w:hanging="317"/>
      </w:pPr>
      <w:r>
        <w:rPr>
          <w:rFonts w:ascii="Microsoft YaHei" w:hAnsi="Microsoft YaHei" w:eastAsia="Microsoft YaHei"/>
          <w:b/>
          <w:i w:val="0"/>
          <w:color w:val="000000"/>
          <w:sz w:val="21"/>
        </w:rPr>
        <w:t>10. 【5月-R2】</w:t>
      </w:r>
      <w:r>
        <w:rPr>
          <w:rFonts w:ascii="Microsoft YaHei" w:hAnsi="Microsoft YaHei" w:eastAsia="Microsoft YaHei"/>
          <w:b w:val="0"/>
          <w:i/>
          <w:color w:val="000000"/>
          <w:sz w:val="21"/>
        </w:rPr>
        <w:t xml:space="preserve"> Figure 3 only visualizes the Euclidean distance heatmap of routing weights for samples grouped by continents, which merely proves that CRL tightens the clustering of samples from identical cultural backgrounds. The figure fails to intuitively illustrate the degree of expert differentiation and expert load balancing. We recommend plotting the activation magnitude or activation ratio of each expert at layers close to the output, grouped by task categories or clustering labels, to better support the claimed mechanism.</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Figure 3 仅展示了按大洲分组样本的路由权重欧氏距离热图，它只能证明 CRL 使相同文化背景样本的聚类更紧密，不能直观展示专家分化程度和负载均衡情况。建议在接近输出的层中，按任务类别或聚类标签绘制各专家的激活幅度或激活比例，以更好支持所声称的机制。</w:t>
      </w:r>
    </w:p>
    <w:p>
      <w:pPr>
        <w:spacing w:after="120"/>
        <w:ind w:left="317" w:hanging="317"/>
      </w:pPr>
      <w:r>
        <w:rPr>
          <w:rFonts w:ascii="Microsoft YaHei" w:hAnsi="Microsoft YaHei" w:eastAsia="Microsoft YaHei"/>
          <w:b/>
          <w:i w:val="0"/>
          <w:color w:val="000000"/>
          <w:sz w:val="21"/>
        </w:rPr>
        <w:t>11. 【5月-R3】</w:t>
      </w:r>
      <w:r>
        <w:rPr>
          <w:rFonts w:ascii="Microsoft YaHei" w:hAnsi="Microsoft YaHei" w:eastAsia="Microsoft YaHei"/>
          <w:b w:val="0"/>
          <w:i/>
          <w:color w:val="000000"/>
          <w:sz w:val="21"/>
        </w:rPr>
        <w:t xml:space="preserve"> It seems like the experts are crucial components of the proposed architecture, but the paper is missing the effect of the # of these experts and their scalability.</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专家似乎是所提架构的关键组件，但论文缺少对专家数量影响及其可扩展性的研究。</w:t>
      </w:r>
    </w:p>
    <w:p>
      <w:pPr>
        <w:spacing w:after="120"/>
      </w:pPr>
      <w:r>
        <w:rPr>
          <w:rFonts w:ascii="Microsoft YaHei" w:hAnsi="Microsoft YaHei" w:eastAsia="Microsoft YaHei"/>
          <w:b/>
          <w:i w:val="0"/>
          <w:color w:val="000000"/>
          <w:sz w:val="21"/>
        </w:rPr>
        <w:t>回复：</w:t>
      </w:r>
      <w:r>
        <w:rPr>
          <w:rFonts w:ascii="Microsoft YaHei" w:hAnsi="Microsoft YaHei" w:eastAsia="Microsoft YaHei"/>
          <w:b w:val="0"/>
          <w:i w:val="0"/>
          <w:color w:val="000000"/>
          <w:sz w:val="21"/>
        </w:rPr>
        <w:t>已补做专家×文化区域的激活比例分析，并以 w/o CRL 为对照；完整模型呈现更清晰的区域专精。也已进行 N∈{1,2,3,4,5,6} 的专家数消融：N=4 是性能—效率折中点，N≥5 后性能不再稳定提升，N=1 因缺少路由多样性而较弱。修订版还计划补充专家×文化主题的激活热图、训练过程中的专家负载均衡曲线及激活分布熵。</w:t>
      </w:r>
    </w:p>
    <w:p>
      <w:pPr>
        <w:pStyle w:val="Heading1"/>
        <w:spacing w:after="120"/>
      </w:pPr>
      <w:r>
        <w:rPr>
          <w:rFonts w:ascii="Microsoft YaHei" w:hAnsi="Microsoft YaHei" w:eastAsia="Microsoft YaHei"/>
          <w:color w:val="000000"/>
          <w:sz w:val="21"/>
        </w:rPr>
        <w:t>四、实验统计显著性与 OOD 优势的稳健性不足</w:t>
      </w:r>
    </w:p>
    <w:p>
      <w:pPr>
        <w:spacing w:after="120"/>
      </w:pPr>
      <w:r>
        <w:rPr>
          <w:rFonts w:ascii="Microsoft YaHei" w:hAnsi="Microsoft YaHei" w:eastAsia="Microsoft YaHei"/>
          <w:b/>
          <w:color w:val="000000"/>
          <w:sz w:val="21"/>
        </w:rPr>
        <w:t>简要总结：</w:t>
      </w:r>
      <w:r>
        <w:rPr>
          <w:rFonts w:ascii="Microsoft YaHei" w:hAnsi="Microsoft YaHei" w:eastAsia="Microsoft YaHei"/>
          <w:color w:val="000000"/>
          <w:sz w:val="21"/>
        </w:rPr>
        <w:t>单随机种子与较小的 OOD 差距不足以支撑“强且稳定”的结论，应报告多种子方差和样本级显著性检验，并相应收敛表述。</w:t>
      </w:r>
    </w:p>
    <w:p>
      <w:pPr>
        <w:spacing w:after="120"/>
      </w:pPr>
      <w:r>
        <w:rPr>
          <w:rFonts w:ascii="Microsoft YaHei" w:hAnsi="Microsoft YaHei" w:eastAsia="Microsoft YaHei"/>
          <w:b/>
          <w:i w:val="0"/>
          <w:color w:val="000000"/>
          <w:sz w:val="21"/>
        </w:rPr>
        <w:t>对应审稿人原话及中文：</w:t>
      </w:r>
    </w:p>
    <w:p>
      <w:pPr>
        <w:spacing w:after="120"/>
        <w:ind w:left="317" w:hanging="317"/>
      </w:pPr>
      <w:r>
        <w:rPr>
          <w:rFonts w:ascii="Microsoft YaHei" w:hAnsi="Microsoft YaHei" w:eastAsia="Microsoft YaHei"/>
          <w:b/>
          <w:i w:val="0"/>
          <w:color w:val="000000"/>
          <w:sz w:val="21"/>
        </w:rPr>
        <w:t>12. 【3月-R1】</w:t>
      </w:r>
      <w:r>
        <w:rPr>
          <w:rFonts w:ascii="Microsoft YaHei" w:hAnsi="Microsoft YaHei" w:eastAsia="Microsoft YaHei"/>
          <w:b w:val="0"/>
          <w:i/>
          <w:color w:val="000000"/>
          <w:sz w:val="21"/>
        </w:rPr>
        <w:t xml:space="preserve"> The main tables report single accuracy values, and Appendix D states that experiments use a fixed seed of 42. The authors should add uncertainty estimates: run trainable methods with at least 3 random seeds and report mean ± standard deviation, and use paired bootstrap confidence intervals or paired significance tests over test examples for CulDPD vs. MoE/MixLoRA. This is especially important for small OOD margins.</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主表只报告单个准确率，附录 D 说明实验使用固定随机种子 42。作者应增加不确定性估计：对可训练方法至少运行 3 个随机种子并报告均值±标准差；同时针对 CulDPD 与 MoE/MixLoRA 在测试样本上进行配对 bootstrap 置信区间或配对显著性检验。对于较小的 OOD 差距，这尤为重要。</w:t>
      </w:r>
    </w:p>
    <w:p>
      <w:pPr>
        <w:spacing w:after="120"/>
        <w:ind w:left="317" w:hanging="317"/>
      </w:pPr>
      <w:r>
        <w:rPr>
          <w:rFonts w:ascii="Microsoft YaHei" w:hAnsi="Microsoft YaHei" w:eastAsia="Microsoft YaHei"/>
          <w:b/>
          <w:i w:val="0"/>
          <w:color w:val="000000"/>
          <w:sz w:val="21"/>
        </w:rPr>
        <w:t>13. 【3月-R2】</w:t>
      </w:r>
      <w:r>
        <w:rPr>
          <w:rFonts w:ascii="Microsoft YaHei" w:hAnsi="Microsoft YaHei" w:eastAsia="Microsoft YaHei"/>
          <w:b w:val="0"/>
          <w:i/>
          <w:color w:val="000000"/>
          <w:sz w:val="21"/>
        </w:rPr>
        <w:t xml:space="preserve"> On the out-of-distribution benchmarks (NormAd, CultureAtlas), CulDPD's margin over the strongest trained baseline (MixLoRA) is marginal.</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在分布外基准 NormAd 和 CultureAtlas 上，CulDPD 相比最强训练型基线 MixLoRA 的领先幅度很小。</w:t>
      </w:r>
    </w:p>
    <w:p>
      <w:pPr>
        <w:spacing w:after="120"/>
        <w:ind w:left="317" w:hanging="317"/>
      </w:pPr>
      <w:r>
        <w:rPr>
          <w:rFonts w:ascii="Microsoft YaHei" w:hAnsi="Microsoft YaHei" w:eastAsia="Microsoft YaHei"/>
          <w:b/>
          <w:i w:val="0"/>
          <w:color w:val="000000"/>
          <w:sz w:val="21"/>
        </w:rPr>
        <w:t>14. 【3月-R3】</w:t>
      </w:r>
      <w:r>
        <w:rPr>
          <w:rFonts w:ascii="Microsoft YaHei" w:hAnsi="Microsoft YaHei" w:eastAsia="Microsoft YaHei"/>
          <w:b w:val="0"/>
          <w:i/>
          <w:color w:val="000000"/>
          <w:sz w:val="21"/>
        </w:rPr>
        <w:t xml:space="preserve"> The OOD gains are too small to mean anything. The authors ran one seed (42). On NormAd, CulDPD gets 64.64 vs 63.88 for Vanilla MoE on Llama, less than 1. But the paper still calls this "strong and stable." Suggestion: run 3+ seeds, report mean std. Double check the OOD claims.</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OOD 增益过小，难以说明问题。作者只运行了一个种子（42）；在 NormAd 上，Llama 的 CulDPD 为 64.64，而 Vanilla MoE 为 63.88，差距不足 1，但论文仍称其为“强且稳定”。建议运行 3 个以上的种子、报告均值和标准差，并重新核查 OOD 结论。</w:t>
      </w:r>
    </w:p>
    <w:p>
      <w:pPr>
        <w:pStyle w:val="Heading1"/>
        <w:spacing w:after="120"/>
      </w:pPr>
      <w:r>
        <w:rPr>
          <w:rFonts w:ascii="Microsoft YaHei" w:hAnsi="Microsoft YaHei" w:eastAsia="Microsoft YaHei"/>
          <w:color w:val="000000"/>
          <w:sz w:val="21"/>
        </w:rPr>
        <w:t>五、基线比较的公平性、参数规模和解释不充分</w:t>
      </w:r>
    </w:p>
    <w:p>
      <w:pPr>
        <w:spacing w:after="120"/>
      </w:pPr>
      <w:r>
        <w:rPr>
          <w:rFonts w:ascii="Microsoft YaHei" w:hAnsi="Microsoft YaHei" w:eastAsia="Microsoft YaHei"/>
          <w:b/>
          <w:color w:val="000000"/>
          <w:sz w:val="21"/>
        </w:rPr>
        <w:t>简要总结：</w:t>
      </w:r>
      <w:r>
        <w:rPr>
          <w:rFonts w:ascii="Microsoft YaHei" w:hAnsi="Microsoft YaHei" w:eastAsia="Microsoft YaHei"/>
          <w:color w:val="000000"/>
          <w:sz w:val="21"/>
        </w:rPr>
        <w:t>应清楚区分推理型与训练型基线，报告可训练参数量/专家配置，并解释 CulDPD 相对各类基线的增益来源。</w:t>
      </w:r>
    </w:p>
    <w:p>
      <w:pPr>
        <w:spacing w:after="120"/>
      </w:pPr>
      <w:r>
        <w:rPr>
          <w:rFonts w:ascii="Microsoft YaHei" w:hAnsi="Microsoft YaHei" w:eastAsia="Microsoft YaHei"/>
          <w:b/>
          <w:i w:val="0"/>
          <w:color w:val="000000"/>
          <w:sz w:val="21"/>
        </w:rPr>
        <w:t>对应审稿人原话及中文：</w:t>
      </w:r>
    </w:p>
    <w:p>
      <w:pPr>
        <w:spacing w:after="120"/>
        <w:ind w:left="317" w:hanging="317"/>
      </w:pPr>
      <w:r>
        <w:rPr>
          <w:rFonts w:ascii="Microsoft YaHei" w:hAnsi="Microsoft YaHei" w:eastAsia="Microsoft YaHei"/>
          <w:b/>
          <w:i w:val="0"/>
          <w:color w:val="000000"/>
          <w:sz w:val="21"/>
        </w:rPr>
        <w:t>15. 【3月-R2】</w:t>
      </w:r>
      <w:r>
        <w:rPr>
          <w:rFonts w:ascii="Microsoft YaHei" w:hAnsi="Microsoft YaHei" w:eastAsia="Microsoft YaHei"/>
          <w:b w:val="0"/>
          <w:i/>
          <w:color w:val="000000"/>
          <w:sz w:val="21"/>
        </w:rPr>
        <w:t xml:space="preserve"> Table 1 mixes prompt-only baselines (e.g., Role-Playing), which never see the training data, with trained methods (e.g., CulDPD) fine-tuned on the in-distribution splits. Most of the reported gap can be interpreted as an in-distribution training effect rather than evidence for the decoupling framework; CulDPD's actual margin over the strongest trained baseline (MixLoRA) is small. The authors should explicitly mark in Table 1 which baselines are trained on the in-distribution splits and which are inference-only, so that readers can identify the fair comparison at a glance.</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Table 1 将从未见过训练数据的纯提示基线（如 Role-Playing）与在分布内划分上微调的训练型方法（如 CulDPD）混在一起。报告中的大部分差距可被解释为分布内训练效应，而不是解耦框架的证据；CulDPD 相比最强训练型基线 MixLoRA 的实际优势较小。作者应在 Table 1 中明确标注哪些基线在分布内划分上训练、哪些仅用于推理，以便读者一眼识别公平比较。</w:t>
      </w:r>
    </w:p>
    <w:p>
      <w:pPr>
        <w:spacing w:after="120"/>
        <w:ind w:left="317" w:hanging="317"/>
      </w:pPr>
      <w:r>
        <w:rPr>
          <w:rFonts w:ascii="Microsoft YaHei" w:hAnsi="Microsoft YaHei" w:eastAsia="Microsoft YaHei"/>
          <w:b/>
          <w:i w:val="0"/>
          <w:color w:val="000000"/>
          <w:sz w:val="21"/>
        </w:rPr>
        <w:t>16. 【5月-R2】</w:t>
      </w:r>
      <w:r>
        <w:rPr>
          <w:rFonts w:ascii="Microsoft YaHei" w:hAnsi="Microsoft YaHei" w:eastAsia="Microsoft YaHei"/>
          <w:b w:val="0"/>
          <w:i/>
          <w:color w:val="000000"/>
          <w:sz w:val="21"/>
        </w:rPr>
        <w:t xml:space="preserve"> Missing Comparison of Trainable Parameters: Among the compared baselines, DC-Finetune, Vanilla MoE, MixLoRA, and the proposed CulDPD all fall under PEFT fine-tuning pipelines. However, no table or discussion is provided to compare the number of trainable LoRA parameters across all methods. CulDPD incorporates one shared LoRA plus multiple culture-specific expert LoRAs, which likely introduces more trainable parameters than competing baselines. The authors are required to elaborate on the trainable parameter count of each baseline; without such comparisons, it is impossible to determine whether the performance improvements stem from the decoupled architecture itself or merely from an expansion of trainable parameters.</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缺少可训练参数量比较：DC-Finetune、Vanilla MoE、MixLoRA 和 CulDPD 都属于 PEFT 微调流程，但论文未提供比较各方法可训练 LoRA 参数数量的表格或讨论。CulDPD 包含一个共享 LoRA 和多个文化特异专家 LoRA，可能比竞争基线引入更多可训练参数。作者需要说明每个基线的可训练参数量；否则无法判断性能提升来自解耦架构本身，还是仅来自可训练参数的扩张。</w:t>
      </w:r>
    </w:p>
    <w:p>
      <w:pPr>
        <w:spacing w:after="120"/>
        <w:ind w:left="317" w:hanging="317"/>
      </w:pPr>
      <w:r>
        <w:rPr>
          <w:rFonts w:ascii="Microsoft YaHei" w:hAnsi="Microsoft YaHei" w:eastAsia="Microsoft YaHei"/>
          <w:b/>
          <w:i w:val="0"/>
          <w:color w:val="000000"/>
          <w:sz w:val="21"/>
        </w:rPr>
        <w:t>17. 【5月-R3】</w:t>
      </w:r>
      <w:r>
        <w:rPr>
          <w:rFonts w:ascii="Microsoft YaHei" w:hAnsi="Microsoft YaHei" w:eastAsia="Microsoft YaHei"/>
          <w:b w:val="0"/>
          <w:i/>
          <w:color w:val="000000"/>
          <w:sz w:val="21"/>
        </w:rPr>
        <w:t xml:space="preserve"> It might be better to include a summary of each of the baselines in Table 1 and also discuss in-depth why CulDPD outperforms each of these methods.</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最好在 Table 1 中加入各基线的摘要，并深入讨论 CulDPD 为何优于这些方法。</w:t>
      </w:r>
    </w:p>
    <w:p>
      <w:pPr>
        <w:spacing w:after="120"/>
      </w:pPr>
      <w:r>
        <w:rPr>
          <w:rFonts w:ascii="Microsoft YaHei" w:hAnsi="Microsoft YaHei" w:eastAsia="Microsoft YaHei"/>
          <w:b/>
          <w:i w:val="0"/>
          <w:color w:val="000000"/>
          <w:sz w:val="21"/>
        </w:rPr>
        <w:t>回复：</w:t>
      </w:r>
      <w:r>
        <w:rPr>
          <w:rFonts w:ascii="Microsoft YaHei" w:hAnsi="Microsoft YaHei" w:eastAsia="Microsoft YaHei"/>
          <w:b w:val="0"/>
          <w:i w:val="0"/>
          <w:color w:val="000000"/>
          <w:sz w:val="21"/>
        </w:rPr>
        <w:t>将补充可训练参数量对比。CulDPD 在 Llama-3.1-8B/Qwen2.5-7B 上分别为 130.81M/134.56M，低于 MixLoRA 的 243.79M/255.47M；相对 Vanilla MoE 的额外参数主要来自 shared LoRA 与 fusion gate。后续应在主表明确标注“是否使用 ID 训练数据”，并优先讨论与训练型强基线的公平比较。</w:t>
      </w:r>
    </w:p>
    <w:p>
      <w:pPr>
        <w:pStyle w:val="Heading1"/>
        <w:spacing w:after="120"/>
      </w:pPr>
      <w:r>
        <w:rPr>
          <w:rFonts w:ascii="Microsoft YaHei" w:hAnsi="Microsoft YaHei" w:eastAsia="Microsoft YaHei"/>
          <w:color w:val="000000"/>
          <w:sz w:val="21"/>
        </w:rPr>
        <w:t>六、论文主张与“文化=国家”代理假设需要收敛</w:t>
      </w:r>
    </w:p>
    <w:p>
      <w:pPr>
        <w:spacing w:after="120"/>
      </w:pPr>
      <w:r>
        <w:rPr>
          <w:rFonts w:ascii="Microsoft YaHei" w:hAnsi="Microsoft YaHei" w:eastAsia="Microsoft YaHei"/>
          <w:b/>
          <w:color w:val="000000"/>
          <w:sz w:val="21"/>
        </w:rPr>
        <w:t>简要总结：</w:t>
      </w:r>
      <w:r>
        <w:rPr>
          <w:rFonts w:ascii="Microsoft YaHei" w:hAnsi="Microsoft YaHei" w:eastAsia="Microsoft YaHei"/>
          <w:color w:val="000000"/>
          <w:sz w:val="21"/>
        </w:rPr>
        <w:t>现有多选准确率证据只能支持基准上的文化条件化性能提升，不能直接证明更深层文化理解，也无法覆盖国家内部的多样性或刻板印象风险。</w:t>
      </w:r>
    </w:p>
    <w:p>
      <w:pPr>
        <w:spacing w:after="120"/>
      </w:pPr>
      <w:r>
        <w:rPr>
          <w:rFonts w:ascii="Microsoft YaHei" w:hAnsi="Microsoft YaHei" w:eastAsia="Microsoft YaHei"/>
          <w:b/>
          <w:i w:val="0"/>
          <w:color w:val="000000"/>
          <w:sz w:val="21"/>
        </w:rPr>
        <w:t>对应审稿人原话及中文：</w:t>
      </w:r>
    </w:p>
    <w:p>
      <w:pPr>
        <w:spacing w:after="120"/>
        <w:ind w:left="317" w:hanging="317"/>
      </w:pPr>
      <w:r>
        <w:rPr>
          <w:rFonts w:ascii="Microsoft YaHei" w:hAnsi="Microsoft YaHei" w:eastAsia="Microsoft YaHei"/>
          <w:b/>
          <w:i w:val="0"/>
          <w:color w:val="000000"/>
          <w:sz w:val="21"/>
        </w:rPr>
        <w:t>18. 【3月-R1】</w:t>
      </w:r>
      <w:r>
        <w:rPr>
          <w:rFonts w:ascii="Microsoft YaHei" w:hAnsi="Microsoft YaHei" w:eastAsia="Microsoft YaHei"/>
          <w:b w:val="0"/>
          <w:i/>
          <w:color w:val="000000"/>
          <w:sz w:val="21"/>
        </w:rPr>
        <w:t xml:space="preserve"> The paper claims that CulDPD moves from “surface alignment” to “deeper cultural understanding,” and frames cultural alignment as capturing “taboos, preferences, and customs.” But the experiments evaluate multiple-choice accuracy on four benchmark datasets, with accuracy defined as the proportion of correctly predicted cultural responses. This evidence supports the narrower claim that CulDPD improves benchmark performance under cultural/country conditioning; it does not directly test whether the model has deeper cultural understanding, handles within-country diversity, or avoids stereotyping. The authors should revise the main claims accordingly and reserve broader cultural-understanding language for future work or qualitative discussion.</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论文声称 CulDPD 从“表层对齐”走向“更深层文化理解”，并将文化对齐表述为捕获“禁忌、偏好和习俗”。但实验仅在四个基准上评估多选准确率，即正确预测文化响应的比例。这些证据只支持更狭义的结论：CulDPD 提升了文化/国家条件化下的基准性能；它并未直接测试模型是否具有更深文化理解、能否处理国家内部多样性或避免刻板印象。作者应相应收敛主要主张，并将更广泛的文化理解表述留给未来工作或定性讨论。</w:t>
      </w:r>
    </w:p>
    <w:p>
      <w:pPr>
        <w:spacing w:after="120"/>
        <w:ind w:left="317" w:hanging="317"/>
      </w:pPr>
      <w:r>
        <w:rPr>
          <w:rFonts w:ascii="Microsoft YaHei" w:hAnsi="Microsoft YaHei" w:eastAsia="Microsoft YaHei"/>
          <w:b/>
          <w:i w:val="0"/>
          <w:color w:val="000000"/>
          <w:sz w:val="21"/>
        </w:rPr>
        <w:t>19. 【3月-R2】</w:t>
      </w:r>
      <w:r>
        <w:rPr>
          <w:rFonts w:ascii="Microsoft YaHei" w:hAnsi="Microsoft YaHei" w:eastAsia="Microsoft YaHei"/>
          <w:b w:val="0"/>
          <w:i/>
          <w:color w:val="000000"/>
          <w:sz w:val="21"/>
        </w:rPr>
        <w:t xml:space="preserve"> As acknowledged in the Limitations, the paper equates culture with country. This proxy is directly embedded in CRL, which collapses within-country religious, ethnic, and regional heterogeneity under a single label.</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如 Limitations 中承认的，论文将文化等同于国家。这一代理假设被直接嵌入 CRL，将同一国家内部的宗教、族群和区域异质性压缩为单一标签。</w:t>
      </w:r>
    </w:p>
    <w:p>
      <w:pPr>
        <w:pStyle w:val="Heading1"/>
        <w:spacing w:after="120"/>
      </w:pPr>
      <w:r>
        <w:rPr>
          <w:rFonts w:ascii="Microsoft YaHei" w:hAnsi="Microsoft YaHei" w:eastAsia="Microsoft YaHei"/>
          <w:color w:val="000000"/>
          <w:sz w:val="21"/>
        </w:rPr>
        <w:t>七、评测集选择、描述与细粒度结果有待补足</w:t>
      </w:r>
    </w:p>
    <w:p>
      <w:pPr>
        <w:spacing w:after="120"/>
      </w:pPr>
      <w:r>
        <w:rPr>
          <w:rFonts w:ascii="Microsoft YaHei" w:hAnsi="Microsoft YaHei" w:eastAsia="Microsoft YaHei"/>
          <w:b/>
          <w:color w:val="000000"/>
          <w:sz w:val="21"/>
        </w:rPr>
        <w:t>简要总结：</w:t>
      </w:r>
      <w:r>
        <w:rPr>
          <w:rFonts w:ascii="Microsoft YaHei" w:hAnsi="Microsoft YaHei" w:eastAsia="Microsoft YaHei"/>
          <w:color w:val="000000"/>
          <w:sz w:val="21"/>
        </w:rPr>
        <w:t>需解释为何仅使用 CulturalBench-Easy，并补充数据集构造与覆盖范围，以及按国家/区域/语言/主题的分组表现。</w:t>
      </w:r>
    </w:p>
    <w:p>
      <w:pPr>
        <w:spacing w:after="120"/>
      </w:pPr>
      <w:r>
        <w:rPr>
          <w:rFonts w:ascii="Microsoft YaHei" w:hAnsi="Microsoft YaHei" w:eastAsia="Microsoft YaHei"/>
          <w:b/>
          <w:i w:val="0"/>
          <w:color w:val="000000"/>
          <w:sz w:val="21"/>
        </w:rPr>
        <w:t>对应审稿人原话及中文：</w:t>
      </w:r>
    </w:p>
    <w:p>
      <w:pPr>
        <w:spacing w:after="120"/>
        <w:ind w:left="317" w:hanging="317"/>
      </w:pPr>
      <w:r>
        <w:rPr>
          <w:rFonts w:ascii="Microsoft YaHei" w:hAnsi="Microsoft YaHei" w:eastAsia="Microsoft YaHei"/>
          <w:b/>
          <w:i w:val="0"/>
          <w:color w:val="000000"/>
          <w:sz w:val="21"/>
        </w:rPr>
        <w:t>20. 【5月-R1】</w:t>
      </w:r>
      <w:r>
        <w:rPr>
          <w:rFonts w:ascii="Microsoft YaHei" w:hAnsi="Microsoft YaHei" w:eastAsia="Microsoft YaHei"/>
          <w:b w:val="0"/>
          <w:i/>
          <w:color w:val="000000"/>
          <w:sz w:val="21"/>
        </w:rPr>
        <w:t xml:space="preserve"> CulturalBench contains both CulturalBench-Easy and CulturalBench-Hard variants, but the paper only uses CulturalBench-Easy. This choice requires further justification. Since the paper aims to improve cultural alignment and nuanced cultural reasoning, evaluation on the harder variant would provide stronger evidence of the method's effectiveness.</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CulturalBench 同时包含 Easy 和 Hard 两个变体，但论文只使用了 CulturalBench-Easy。这一选择需要进一步说明。鉴于论文旨在改善文化对齐和细粒度文化推理，在更难变体上的评估将为方法有效性提供更强证据。</w:t>
      </w:r>
    </w:p>
    <w:p>
      <w:pPr>
        <w:spacing w:after="120"/>
        <w:ind w:left="317" w:hanging="317"/>
      </w:pPr>
      <w:r>
        <w:rPr>
          <w:rFonts w:ascii="Microsoft YaHei" w:hAnsi="Microsoft YaHei" w:eastAsia="Microsoft YaHei"/>
          <w:b/>
          <w:i w:val="0"/>
          <w:color w:val="000000"/>
          <w:sz w:val="21"/>
        </w:rPr>
        <w:t>21. 【5月-R1】</w:t>
      </w:r>
      <w:r>
        <w:rPr>
          <w:rFonts w:ascii="Microsoft YaHei" w:hAnsi="Microsoft YaHei" w:eastAsia="Microsoft YaHei"/>
          <w:b w:val="0"/>
          <w:i/>
          <w:color w:val="000000"/>
          <w:sz w:val="21"/>
        </w:rPr>
        <w:t xml:space="preserve"> The paper should provide more detailed descriptions of the evaluation datasets, including the sample format, task type, cultural coverage, and label construction for each benchmark. In addition, it would be useful to report performance broken down by culture, region, or cultural group, rather than only aggregate accuracy.</w:t>
      </w:r>
    </w:p>
    <w:p>
      <w:pPr>
        <w:spacing w:after="120"/>
        <w:ind w:left="317" w:hanging="317"/>
      </w:pPr>
      <w:r>
        <w:rPr>
          <w:rFonts w:ascii="Microsoft YaHei" w:hAnsi="Microsoft YaHei" w:eastAsia="Microsoft YaHei"/>
          <w:b/>
          <w:i w:val="0"/>
          <w:color w:val="000000"/>
          <w:sz w:val="21"/>
        </w:rPr>
        <w:t>中文：</w:t>
      </w:r>
      <w:r>
        <w:rPr>
          <w:rFonts w:ascii="Microsoft YaHei" w:hAnsi="Microsoft YaHei" w:eastAsia="Microsoft YaHei"/>
          <w:b w:val="0"/>
          <w:i w:val="0"/>
          <w:color w:val="000000"/>
          <w:sz w:val="21"/>
        </w:rPr>
        <w:t>论文应更详细地描述评测数据集，包括每个基准的样本格式、任务类型、文化覆盖范围和标签构造方式。此外，相比只报告聚合准确率，按文化、区域或文化群体拆分报告性能会更有价值。</w:t>
      </w:r>
    </w:p>
    <w:p>
      <w:pPr>
        <w:spacing w:after="120"/>
      </w:pPr>
      <w:r>
        <w:rPr>
          <w:rFonts w:ascii="Microsoft YaHei" w:hAnsi="Microsoft YaHei" w:eastAsia="Microsoft YaHei"/>
          <w:b/>
          <w:i w:val="0"/>
          <w:color w:val="000000"/>
          <w:sz w:val="21"/>
        </w:rPr>
        <w:t>回复：</w:t>
      </w:r>
      <w:r>
        <w:rPr>
          <w:rFonts w:ascii="Microsoft YaHei" w:hAnsi="Microsoft YaHei" w:eastAsia="Microsoft YaHei"/>
          <w:b w:val="0"/>
          <w:i w:val="0"/>
          <w:color w:val="000000"/>
          <w:sz w:val="21"/>
        </w:rPr>
        <w:t>不采用 CulturalBench-Hard 的原因是其二元标签明显不均衡（“False”约占 75%），恒定预测“False”即可获得较高准确率，因而难以反映文化理解；Easy 的四选一选项更均衡。修订版计划给出分组结果：CulturalBench 按 45 个国家/地区并汇总至大洲，CultureLLM 按 9 种语言，NormAd 与 CultureAtlas 按文化主题。</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YaHei" w:hAnsi="Microsoft YaHei" w:eastAsia="Microsoft YaHei"/>
      <w:color w:val="000000"/>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crosoft YaHei" w:hAnsi="Microsoft YaHei" w:eastAsia="Microsoft YaHei"/>
      <w:color w:val="000000"/>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icrosoft YaHei" w:hAnsi="Microsoft YaHei" w:eastAsia="Microsoft Ya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Microsoft YaHei" w:hAnsi="Microsoft YaHei" w:eastAsia="Microsoft YaHei"/>
      <w:color w:val="000000"/>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Microsoft YaHei" w:hAnsi="Microsoft YaHei" w:eastAsia="Microsoft YaHei"/>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Microsoft YaHei" w:hAnsi="Microsoft YaHei" w:eastAsia="Microsoft YaHei"/>
      <w:i/>
      <w:iCs/>
      <w:color w:val="000000"/>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Microsoft YaHei" w:hAnsi="Microsoft YaHei" w:eastAsia="Microsoft YaHei"/>
      <w:color w:val="000000"/>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Microsoft YaHei" w:hAnsi="Microsoft YaHei" w:eastAsia="Microsoft YaHei"/>
      <w:i/>
      <w:iCs/>
      <w:color w:val="000000"/>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Microsoft YaHei" w:hAnsi="Microsoft YaHei" w:eastAsia="Microsoft YaHei"/>
      <w:color w:val="000000"/>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Microsoft YaHei" w:hAnsi="Microsoft YaHei" w:eastAsia="Microsoft YaHei"/>
      <w:color w:val="000000"/>
      <w:sz w:val="21"/>
    </w:rPr>
  </w:style>
  <w:style w:type="paragraph" w:styleId="BodyText">
    <w:name w:val="Body Text"/>
    <w:basedOn w:val="Normal"/>
    <w:link w:val="BodyTextChar"/>
    <w:uiPriority w:val="99"/>
    <w:unhideWhenUsed/>
    <w:rsid w:val="00AA1D8D"/>
    <w:pPr>
      <w:spacing w:after="120"/>
    </w:pPr>
    <w:rPr>
      <w:rFonts w:ascii="Microsoft YaHei" w:hAnsi="Microsoft YaHei" w:eastAsia="Microsoft YaHe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Microsoft YaHei" w:hAnsi="Microsoft YaHei" w:eastAsia="Microsoft YaHei"/>
      <w:color w:val="000000"/>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Microsoft YaHei" w:hAnsi="Microsoft YaHei" w:eastAsia="Microsoft YaHei"/>
      <w:color w:val="000000"/>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Microsoft YaHei" w:hAnsi="Microsoft YaHei" w:eastAsia="Microsoft YaHei"/>
      <w:color w:val="000000"/>
      <w:sz w:val="21"/>
    </w:rPr>
  </w:style>
  <w:style w:type="paragraph" w:styleId="List2">
    <w:name w:val="List 2"/>
    <w:basedOn w:val="Normal"/>
    <w:uiPriority w:val="99"/>
    <w:unhideWhenUsed/>
    <w:rsid w:val="00326F90"/>
    <w:pPr>
      <w:ind w:left="720" w:hanging="360"/>
      <w:contextualSpacing/>
    </w:pPr>
    <w:rPr>
      <w:rFonts w:ascii="Microsoft YaHei" w:hAnsi="Microsoft YaHei" w:eastAsia="Microsoft YaHei"/>
      <w:color w:val="000000"/>
      <w:sz w:val="21"/>
    </w:rPr>
  </w:style>
  <w:style w:type="paragraph" w:styleId="List3">
    <w:name w:val="List 3"/>
    <w:basedOn w:val="Normal"/>
    <w:uiPriority w:val="99"/>
    <w:unhideWhenUsed/>
    <w:rsid w:val="00326F90"/>
    <w:pPr>
      <w:ind w:left="1080" w:hanging="360"/>
      <w:contextualSpacing/>
    </w:pPr>
    <w:rPr>
      <w:rFonts w:ascii="Microsoft YaHei" w:hAnsi="Microsoft YaHei" w:eastAsia="Microsoft YaHei"/>
      <w:color w:val="000000"/>
      <w:sz w:val="21"/>
    </w:r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color w:val="000000"/>
      <w:sz w:val="21"/>
    </w:rPr>
  </w:style>
  <w:style w:type="paragraph" w:styleId="ListBullet2">
    <w:name w:val="List Bullet 2"/>
    <w:basedOn w:val="Normal"/>
    <w:uiPriority w:val="99"/>
    <w:unhideWhenUsed/>
    <w:rsid w:val="00326F90"/>
    <w:pPr>
      <w:numPr>
        <w:numId w:val="2"/>
      </w:numPr>
      <w:contextualSpacing/>
    </w:pPr>
    <w:rPr>
      <w:rFonts w:ascii="Microsoft YaHei" w:hAnsi="Microsoft YaHei" w:eastAsia="Microsoft YaHei"/>
      <w:color w:val="000000"/>
      <w:sz w:val="21"/>
    </w:rPr>
  </w:style>
  <w:style w:type="paragraph" w:styleId="ListBullet3">
    <w:name w:val="List Bullet 3"/>
    <w:basedOn w:val="Normal"/>
    <w:uiPriority w:val="99"/>
    <w:unhideWhenUsed/>
    <w:rsid w:val="00326F90"/>
    <w:pPr>
      <w:numPr>
        <w:numId w:val="3"/>
      </w:numPr>
      <w:contextualSpacing/>
    </w:pPr>
    <w:rPr>
      <w:rFonts w:ascii="Microsoft YaHei" w:hAnsi="Microsoft YaHei" w:eastAsia="Microsoft YaHei"/>
      <w:color w:val="000000"/>
      <w:sz w:val="21"/>
    </w:r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color w:val="000000"/>
      <w:sz w:val="21"/>
    </w:rPr>
  </w:style>
  <w:style w:type="paragraph" w:styleId="ListNumber2">
    <w:name w:val="List Number 2"/>
    <w:basedOn w:val="Normal"/>
    <w:uiPriority w:val="99"/>
    <w:unhideWhenUsed/>
    <w:rsid w:val="0029639D"/>
    <w:pPr>
      <w:numPr>
        <w:numId w:val="6"/>
      </w:numPr>
      <w:contextualSpacing/>
    </w:pPr>
    <w:rPr>
      <w:rFonts w:ascii="Microsoft YaHei" w:hAnsi="Microsoft YaHei" w:eastAsia="Microsoft YaHei"/>
      <w:color w:val="000000"/>
      <w:sz w:val="21"/>
    </w:rPr>
  </w:style>
  <w:style w:type="paragraph" w:styleId="ListNumber3">
    <w:name w:val="List Number 3"/>
    <w:basedOn w:val="Normal"/>
    <w:uiPriority w:val="99"/>
    <w:unhideWhenUsed/>
    <w:rsid w:val="0029639D"/>
    <w:pPr>
      <w:numPr>
        <w:numId w:val="7"/>
      </w:numPr>
      <w:contextualSpacing/>
    </w:pPr>
    <w:rPr>
      <w:rFonts w:ascii="Microsoft YaHei" w:hAnsi="Microsoft YaHei" w:eastAsia="Microsoft YaHei"/>
      <w:color w:val="000000"/>
      <w:sz w:val="21"/>
    </w:rPr>
  </w:style>
  <w:style w:type="paragraph" w:styleId="ListContinue">
    <w:name w:val="List Continue"/>
    <w:basedOn w:val="Normal"/>
    <w:uiPriority w:val="99"/>
    <w:unhideWhenUsed/>
    <w:rsid w:val="0029639D"/>
    <w:pPr>
      <w:spacing w:after="120"/>
      <w:ind w:left="360"/>
      <w:contextualSpacing/>
    </w:pPr>
    <w:rPr>
      <w:rFonts w:ascii="Microsoft YaHei" w:hAnsi="Microsoft YaHei" w:eastAsia="Microsoft YaHei"/>
      <w:color w:val="000000"/>
      <w:sz w:val="21"/>
    </w:rPr>
  </w:style>
  <w:style w:type="paragraph" w:styleId="ListContinue2">
    <w:name w:val="List Continue 2"/>
    <w:basedOn w:val="Normal"/>
    <w:uiPriority w:val="99"/>
    <w:unhideWhenUsed/>
    <w:rsid w:val="0029639D"/>
    <w:pPr>
      <w:spacing w:after="120"/>
      <w:ind w:left="720"/>
      <w:contextualSpacing/>
    </w:pPr>
    <w:rPr>
      <w:rFonts w:ascii="Microsoft YaHei" w:hAnsi="Microsoft YaHei" w:eastAsia="Microsoft YaHei"/>
      <w:color w:val="000000"/>
      <w:sz w:val="21"/>
    </w:rPr>
  </w:style>
  <w:style w:type="paragraph" w:styleId="ListContinue3">
    <w:name w:val="List Continue 3"/>
    <w:basedOn w:val="Normal"/>
    <w:uiPriority w:val="99"/>
    <w:unhideWhenUsed/>
    <w:rsid w:val="0029639D"/>
    <w:pPr>
      <w:spacing w:after="120"/>
      <w:ind w:left="1080"/>
      <w:contextualSpacing/>
    </w:pPr>
    <w:rPr>
      <w:rFonts w:ascii="Microsoft YaHei" w:hAnsi="Microsoft YaHei" w:eastAsia="Microsoft YaHei"/>
      <w:color w:val="000000"/>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Microsoft YaHei" w:hAnsi="Microsoft YaHei" w:eastAsia="Microsoft YaHei"/>
      <w:color w:val="000000"/>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icrosoft YaHei" w:hAnsi="Microsoft YaHei" w:eastAsia="Microsoft YaHei"/>
      <w:i/>
      <w:iCs/>
      <w:color w:val="000000"/>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Microsoft YaHei" w:hAnsi="Microsoft YaHei" w:eastAsia="Microsoft YaHei"/>
      <w:b/>
      <w:bCs/>
      <w:i/>
      <w:iCs/>
      <w:color w:val="000000"/>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Microsoft YaHei" w:hAnsi="Microsoft YaHei" w:eastAsia="Microsoft YaHei"/>
      <w:color w:val="000000"/>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