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6791F">
      <w:pPr>
        <w:rPr>
          <w:rFonts w:hint="eastAsia"/>
          <w:lang w:val="en-US" w:eastAsia="zh-CN"/>
        </w:rPr>
      </w:pPr>
      <w:r>
        <w:rPr>
          <w:rFonts w:hint="eastAsia"/>
          <w:lang w:val="en-US" w:eastAsia="zh-CN"/>
        </w:rPr>
        <w:t>Reviewer1：</w:t>
      </w:r>
    </w:p>
    <w:p w14:paraId="25BE1D5B">
      <w:pPr>
        <w:rPr>
          <w:rFonts w:hint="eastAsia"/>
          <w:lang w:val="en-US" w:eastAsia="zh-CN"/>
        </w:rPr>
      </w:pPr>
      <w:r>
        <w:rPr>
          <w:rFonts w:hint="eastAsia"/>
          <w:lang w:val="en-US" w:eastAsia="zh-CN"/>
        </w:rPr>
        <w:t>W1. The paper argues that the shared path captures cross-cultural consensus and the specific path captures culture-specific patterns, but the evidence mostly shows improved accuracy and larger representational distances. A larger Euclidean or cosine distance between pathways does not by itself show that one subspace is “shared” and the other is “specific.” The paper needs stronger diagnostics, such as probing each path separately, evaluating shared-only vs. specific-only outputs on explicitly consensus/specific subsets, or showing that masked-path representations become culture-invariant while unmasked-path representations retain culture-discriminative information.</w:t>
      </w:r>
    </w:p>
    <w:p w14:paraId="70856C59">
      <w:pPr>
        <w:rPr>
          <w:rFonts w:hint="eastAsia"/>
          <w:lang w:val="en-US" w:eastAsia="zh-CN"/>
        </w:rPr>
      </w:pPr>
    </w:p>
    <w:p w14:paraId="26D020B4">
      <w:pPr>
        <w:rPr>
          <w:rFonts w:hint="eastAsia"/>
          <w:lang w:val="en-US" w:eastAsia="zh-CN"/>
        </w:rPr>
      </w:pPr>
      <w:r>
        <w:rPr>
          <w:rFonts w:hint="eastAsia"/>
          <w:lang w:val="en-US" w:eastAsia="zh-CN"/>
        </w:rPr>
        <w:t>W2. Cultural Sensitivity Masking replaces explicit cultural identifiers with [MASK], but the examples show that this can mask answer-relevant option text as well, e.g., “traditional Moroccan teapot,” “American fridge,” and “Swedish-style minimalist coffee table” all become partially masked. This makes it unclear whether the model is learning a clean shared/specific decomposition or simply learning from an artificially corrupted input view. The paper should quantify how often masking affects question stems versus options, whether correct-answer cues are masked disproportionately, and whether gains persist under more controlled masking.</w:t>
      </w:r>
    </w:p>
    <w:p w14:paraId="2749DAFE">
      <w:pPr>
        <w:rPr>
          <w:rFonts w:hint="eastAsia"/>
          <w:lang w:val="en-US" w:eastAsia="zh-CN"/>
        </w:rPr>
      </w:pPr>
    </w:p>
    <w:p w14:paraId="4C32E4B8">
      <w:pPr>
        <w:rPr>
          <w:rFonts w:hint="eastAsia"/>
          <w:lang w:val="en-US" w:eastAsia="zh-CN"/>
        </w:rPr>
      </w:pPr>
      <w:r>
        <w:rPr>
          <w:rFonts w:hint="eastAsia"/>
          <w:lang w:val="en-US" w:eastAsia="zh-CN"/>
        </w:rPr>
        <w:t>W3. The main tables report single accuracy values, and Appendix D states that experiments use a fixed seed of 42. The authors should add uncertainty estimates: run trainable methods with at least 3 random seeds and report mean ± standard deviation, and use paired bootstrap confidence intervals or paired significance tests over test examples for CulDPD vs. MoE/MixLoRA. This is especially important for small OOD margins.</w:t>
      </w:r>
    </w:p>
    <w:p w14:paraId="6C21FE8B">
      <w:pPr>
        <w:rPr>
          <w:rFonts w:hint="eastAsia"/>
          <w:lang w:val="en-US" w:eastAsia="zh-CN"/>
        </w:rPr>
      </w:pPr>
    </w:p>
    <w:p w14:paraId="38FEF146">
      <w:pPr>
        <w:rPr>
          <w:rFonts w:hint="eastAsia"/>
          <w:lang w:val="en-US" w:eastAsia="zh-CN"/>
        </w:rPr>
      </w:pPr>
      <w:r>
        <w:rPr>
          <w:rFonts w:hint="eastAsia"/>
          <w:lang w:val="en-US" w:eastAsia="zh-CN"/>
        </w:rPr>
        <w:t>W4. The paper claims that CulDPD moves from “surface alignment” to “deeper cultural understanding,” and frames cultural alignment as capturing “taboos, preferences, and customs.” But the experiments evaluate multiple-choice accuracy on four benchmark datasets, with accuracy defined as the proportion of correctly predicted cultural responses. This evidence supports the narrower claim that CulDPD improves benchmark performance under cultural/country conditioning; it does not directly test whether the model has deeper cultural understanding, handles within-country diversity, or avoids stereotyping. The authors should revise the main claims accordingly and reserve broader cultural-understanding language for future work or qualitative discussion.</w:t>
      </w:r>
    </w:p>
    <w:p w14:paraId="21184E09">
      <w:pPr>
        <w:rPr>
          <w:rFonts w:hint="eastAsia"/>
          <w:lang w:val="en-US" w:eastAsia="zh-CN"/>
        </w:rPr>
      </w:pPr>
    </w:p>
    <w:p w14:paraId="24C04529">
      <w:pPr>
        <w:rPr>
          <w:rFonts w:hint="eastAsia"/>
          <w:lang w:val="en-US" w:eastAsia="zh-CN"/>
        </w:rPr>
      </w:pPr>
    </w:p>
    <w:p w14:paraId="75B47DEA">
      <w:pPr>
        <w:rPr>
          <w:rFonts w:hint="eastAsia"/>
          <w:lang w:val="en-US" w:eastAsia="zh-CN"/>
        </w:rPr>
      </w:pPr>
      <w:r>
        <w:rPr>
          <w:rFonts w:hint="eastAsia"/>
          <w:lang w:val="en-US" w:eastAsia="zh-CN"/>
        </w:rPr>
        <w:t>Reviewer2：</w:t>
      </w:r>
    </w:p>
    <w:p w14:paraId="024746F2">
      <w:pPr>
        <w:rPr>
          <w:rFonts w:hint="eastAsia"/>
          <w:lang w:val="en-US" w:eastAsia="zh-CN"/>
        </w:rPr>
      </w:pPr>
      <w:r>
        <w:rPr>
          <w:rFonts w:hint="eastAsia"/>
          <w:lang w:val="en-US" w:eastAsia="zh-CN"/>
        </w:rPr>
        <w:t>Table 1 mixes prompt-only baselines (e.g., Role-Playing), which never see the training data, with trained methods (e.g., CulDPD) fine-tuned on the in-distribution splits. Most of the reported gap can be interpreted as an in-distribution training effect rather than evidence for the decoupling framework; CulDPD's actual margin over the strongest trained baseline (MixLoRA) is small. The authors should explicitly mark in Table 1 which baselines are trained on the in-distribution splits and which are inference-only, so that readers can identify the fair comparison at a glance.</w:t>
      </w:r>
    </w:p>
    <w:p w14:paraId="1BD57582">
      <w:pPr>
        <w:rPr>
          <w:rFonts w:hint="eastAsia"/>
          <w:lang w:val="en-US" w:eastAsia="zh-CN"/>
        </w:rPr>
      </w:pPr>
      <w:r>
        <w:rPr>
          <w:rFonts w:hint="eastAsia"/>
          <w:lang w:val="en-US" w:eastAsia="zh-CN"/>
        </w:rPr>
        <w:t>On the out-of-distribution benchmarks (NormAd, CultureAtlas), CulDPD's margin over the strongest trained baseline (MixLoRA) is marginal.</w:t>
      </w:r>
    </w:p>
    <w:p w14:paraId="46646817">
      <w:pPr>
        <w:rPr>
          <w:rFonts w:hint="eastAsia"/>
          <w:lang w:val="en-US" w:eastAsia="zh-CN"/>
        </w:rPr>
      </w:pPr>
      <w:r>
        <w:rPr>
          <w:rFonts w:hint="eastAsia"/>
          <w:lang w:val="en-US" w:eastAsia="zh-CN"/>
        </w:rPr>
        <w:t>As acknowledged in the Limitations, the paper equates culture with country. This proxy is directly embedded in CRL, which collapses within-country religious, ethnic, and regional heterogeneity under a single label.</w:t>
      </w:r>
    </w:p>
    <w:p w14:paraId="50409D84">
      <w:pPr>
        <w:rPr>
          <w:rFonts w:hint="eastAsia"/>
          <w:lang w:val="en-US" w:eastAsia="zh-CN"/>
        </w:rPr>
      </w:pPr>
    </w:p>
    <w:p w14:paraId="067CB415">
      <w:pPr>
        <w:rPr>
          <w:rFonts w:hint="eastAsia"/>
          <w:lang w:val="en-US" w:eastAsia="zh-CN"/>
        </w:rPr>
      </w:pPr>
    </w:p>
    <w:p w14:paraId="314D2EB3">
      <w:pPr>
        <w:rPr>
          <w:rFonts w:hint="eastAsia"/>
          <w:lang w:val="en-US" w:eastAsia="zh-CN"/>
        </w:rPr>
      </w:pPr>
      <w:r>
        <w:rPr>
          <w:rFonts w:hint="eastAsia"/>
          <w:lang w:val="en-US" w:eastAsia="zh-CN"/>
        </w:rPr>
        <w:t>Reviewer3：</w:t>
      </w:r>
    </w:p>
    <w:p w14:paraId="081BB336">
      <w:pPr>
        <w:rPr>
          <w:rFonts w:hint="default"/>
          <w:lang w:val="en-US" w:eastAsia="zh-CN"/>
        </w:rPr>
      </w:pPr>
      <w:r>
        <w:rPr>
          <w:rFonts w:hint="default"/>
          <w:lang w:val="en-US" w:eastAsia="zh-CN"/>
        </w:rPr>
        <w:t>The masking lexicon holds up the whole framework, but we know almost nothing about it. The paper gives no total word count, no annotator agreement, no error rates. Table 5 shows percentages but not raw numbers. If the lexicon is bad, the two-path split falls apart.</w:t>
      </w:r>
    </w:p>
    <w:p w14:paraId="2B213273">
      <w:pPr>
        <w:rPr>
          <w:rFonts w:hint="default"/>
          <w:lang w:val="en-US" w:eastAsia="zh-CN"/>
        </w:rPr>
      </w:pPr>
      <w:r>
        <w:rPr>
          <w:rFonts w:hint="default"/>
          <w:lang w:val="en-US" w:eastAsia="zh-CN"/>
        </w:rPr>
        <w:t>Suggestion: give full details (size, which LLM expanded it, how many annotators). Then degrade it by 10/20/30% and show what happens.</w:t>
      </w:r>
    </w:p>
    <w:p w14:paraId="0B927F08">
      <w:pPr>
        <w:rPr>
          <w:rFonts w:hint="default"/>
          <w:lang w:val="en-US" w:eastAsia="zh-CN"/>
        </w:rPr>
      </w:pPr>
    </w:p>
    <w:p w14:paraId="44365AA3">
      <w:pPr>
        <w:rPr>
          <w:rFonts w:hint="default"/>
          <w:lang w:val="en-US" w:eastAsia="zh-CN"/>
        </w:rPr>
      </w:pPr>
      <w:r>
        <w:rPr>
          <w:rFonts w:hint="default"/>
          <w:lang w:val="en-US" w:eastAsia="zh-CN"/>
        </w:rPr>
        <w:t>The OOD gains are too small to mean anything. The authors ran one seed (42). On NormAd, CulDPD gets 64.64 vs 63.88 for Vanilla MoE on Llama, less than 1. But the paper still calls this "strong and stable".</w:t>
      </w:r>
    </w:p>
    <w:p w14:paraId="018339DD">
      <w:pPr>
        <w:rPr>
          <w:rFonts w:hint="default"/>
          <w:lang w:val="en-US" w:eastAsia="zh-CN"/>
        </w:rPr>
      </w:pPr>
      <w:r>
        <w:rPr>
          <w:rFonts w:hint="default"/>
          <w:lang w:val="en-US" w:eastAsia="zh-CN"/>
        </w:rPr>
        <w:t>Suggestion: run 3+ seeds, report mean std. Double check the OOD claims.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4C2ECA"/>
    <w:rsid w:val="5B5F0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2026-08-23T06:14:19Z</dcterms:created>
  <dc:creator>18253</dc:creator>
  <cp:lastModifiedBy>lxwang</cp:lastModifiedBy>
  <dcterms:modified xsi:type="dcterms:W3CDTF">2026-08-23T06:15:32Z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eyJoZGlkIjoiNzNmMTRmMmJmZjNkODA1OGQ4Y2JlNTQ1OTI4YzgyYzciLCJ1c2VySWQiOiI0MzE3ODM1ODAifQ==</vt:lpwstr>
  </property>
  <property fmtid="{D5CDD505-2E9C-101B-9397-08002B2CF9AE}" pid="4" name="ICV">
    <vt:lpwstr>04D44FB389014F3E93E17A5D826C2D8E_12</vt:lpwstr>
  </property>
</Properties>
</file>