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C0BB1" w:rsidRDefault="00000000">
      <w:pPr>
        <w:spacing w:after="240"/>
        <w:jc w:val="center"/>
      </w:pPr>
      <w:proofErr w:type="spellStart"/>
      <w:r>
        <w:rPr>
          <w:rFonts w:eastAsia="Times New Roman"/>
          <w:b/>
          <w:bCs/>
          <w:color w:val="1F3864"/>
          <w:sz w:val="36"/>
          <w:szCs w:val="36"/>
        </w:rPr>
        <w:t>CulDPD</w:t>
      </w:r>
      <w:proofErr w:type="spellEnd"/>
      <w:r>
        <w:rPr>
          <w:rFonts w:eastAsia="Times New Roman"/>
          <w:b/>
          <w:bCs/>
          <w:color w:val="1F3864"/>
          <w:sz w:val="36"/>
          <w:szCs w:val="36"/>
        </w:rPr>
        <w:t xml:space="preserve"> — Rebuttal to Reviewer Weaknesses</w:t>
      </w:r>
    </w:p>
    <w:p w:rsidR="00FC0BB1" w:rsidRDefault="00000000">
      <w:pPr>
        <w:spacing w:after="360"/>
        <w:jc w:val="center"/>
      </w:pPr>
      <w:r>
        <w:rPr>
          <w:rFonts w:ascii="宋体" w:eastAsia="宋体" w:hAnsi="宋体" w:cs="宋体"/>
          <w:color w:val="595959"/>
        </w:rPr>
        <w:t>（中文翻译 + 中英回复）</w:t>
      </w:r>
    </w:p>
    <w:p w:rsidR="00FC0BB1" w:rsidRDefault="00000000">
      <w:pPr>
        <w:pStyle w:val="1"/>
        <w:spacing w:before="240" w:after="120"/>
      </w:pPr>
      <w:r>
        <w:t>Original Reviews (Weaknesses)</w:t>
      </w:r>
    </w:p>
    <w:p w:rsidR="00FC0BB1" w:rsidRDefault="00000000">
      <w:pPr>
        <w:pStyle w:val="2"/>
        <w:spacing w:before="240" w:after="120"/>
      </w:pPr>
      <w:r>
        <w:rPr>
          <w:rFonts w:eastAsia="Times New Roman"/>
          <w:b/>
          <w:bCs/>
          <w:color w:val="1F3864"/>
        </w:rPr>
        <w:t>Reviewer 1</w:t>
      </w:r>
    </w:p>
    <w:p w:rsidR="00FC0BB1" w:rsidRDefault="00000000">
      <w:pPr>
        <w:spacing w:before="60" w:after="60" w:line="300" w:lineRule="auto"/>
        <w:ind w:left="360"/>
      </w:pPr>
      <w:r>
        <w:rPr>
          <w:rFonts w:eastAsia="Times New Roman"/>
          <w:i/>
          <w:iCs/>
          <w:color w:val="404040"/>
          <w:sz w:val="20"/>
          <w:szCs w:val="20"/>
        </w:rPr>
        <w:t>The revision makes several useful improvements, especially adding more experiments to improve the paper's clarity and robustness. However, several important issues remain only partially resolved.</w:t>
      </w:r>
    </w:p>
    <w:p w:rsidR="00FC0BB1" w:rsidRDefault="00000000">
      <w:pPr>
        <w:spacing w:before="60" w:after="60" w:line="300" w:lineRule="auto"/>
        <w:ind w:left="360"/>
      </w:pPr>
      <w:r>
        <w:rPr>
          <w:rFonts w:eastAsia="Times New Roman"/>
          <w:i/>
          <w:iCs/>
          <w:color w:val="404040"/>
          <w:sz w:val="20"/>
          <w:szCs w:val="20"/>
        </w:rPr>
        <w:t>The proposed method relies on a culture-sensitive lexicon, which is constructed with LLM assistance and then fixed afterwards. Since this lexicon is not learnable or dynamically updated during training, it may be less flexible in handling implicit, emerging, or context-dependent cultural cues.</w:t>
      </w:r>
    </w:p>
    <w:p w:rsidR="00FC0BB1" w:rsidRDefault="00000000">
      <w:pPr>
        <w:spacing w:before="60" w:after="60" w:line="300" w:lineRule="auto"/>
        <w:ind w:left="360"/>
      </w:pPr>
      <w:r>
        <w:rPr>
          <w:rFonts w:eastAsia="Times New Roman"/>
          <w:i/>
          <w:iCs/>
          <w:color w:val="404040"/>
          <w:sz w:val="20"/>
          <w:szCs w:val="20"/>
        </w:rPr>
        <w:t xml:space="preserve">Although the culture-specific pathway uses multiple experts with dynamic routing, it remains unclear what kinds of cultural information different experts actually learn. The paper would benefit from a more detailed analysis of expert behavior, such as whether specific experts specialize in particular cultural regions, topics, norms, or reasoning patterns. In addition, the impact of the number of experts is not evaluated. Since expert number can strongly affect </w:t>
      </w:r>
      <w:proofErr w:type="spellStart"/>
      <w:r>
        <w:rPr>
          <w:rFonts w:eastAsia="Times New Roman"/>
          <w:i/>
          <w:iCs/>
          <w:color w:val="404040"/>
          <w:sz w:val="20"/>
          <w:szCs w:val="20"/>
        </w:rPr>
        <w:t>MoE</w:t>
      </w:r>
      <w:proofErr w:type="spellEnd"/>
      <w:r>
        <w:rPr>
          <w:rFonts w:eastAsia="Times New Roman"/>
          <w:i/>
          <w:iCs/>
          <w:color w:val="404040"/>
          <w:sz w:val="20"/>
          <w:szCs w:val="20"/>
        </w:rPr>
        <w:t>-style methods, an ablation or parameter study on this factor is necessary.</w:t>
      </w:r>
    </w:p>
    <w:p w:rsidR="00FC0BB1" w:rsidRDefault="00000000">
      <w:pPr>
        <w:spacing w:before="60" w:after="60" w:line="300" w:lineRule="auto"/>
        <w:ind w:left="360"/>
      </w:pPr>
      <w:r>
        <w:rPr>
          <w:rFonts w:eastAsia="Times New Roman"/>
          <w:i/>
          <w:iCs/>
          <w:color w:val="404040"/>
          <w:sz w:val="20"/>
          <w:szCs w:val="20"/>
        </w:rPr>
        <w:t>According to Table 2, removing the masking mechanism leads to only relatively small performance drops on several datasets. This raises questions about the actual importance of Cultural Sensitivity Masking in the overall framework.</w:t>
      </w:r>
    </w:p>
    <w:p w:rsidR="00FC0BB1" w:rsidRDefault="00000000">
      <w:pPr>
        <w:spacing w:before="60" w:after="60" w:line="300" w:lineRule="auto"/>
        <w:ind w:left="360"/>
      </w:pPr>
      <w:proofErr w:type="spellStart"/>
      <w:r>
        <w:rPr>
          <w:rFonts w:eastAsia="Times New Roman"/>
          <w:i/>
          <w:iCs/>
          <w:color w:val="404040"/>
          <w:sz w:val="20"/>
          <w:szCs w:val="20"/>
        </w:rPr>
        <w:t>CulturalBench</w:t>
      </w:r>
      <w:proofErr w:type="spellEnd"/>
      <w:r>
        <w:rPr>
          <w:rFonts w:eastAsia="Times New Roman"/>
          <w:i/>
          <w:iCs/>
          <w:color w:val="404040"/>
          <w:sz w:val="20"/>
          <w:szCs w:val="20"/>
        </w:rPr>
        <w:t xml:space="preserve"> contains both </w:t>
      </w:r>
      <w:proofErr w:type="spellStart"/>
      <w:r>
        <w:rPr>
          <w:rFonts w:eastAsia="Times New Roman"/>
          <w:i/>
          <w:iCs/>
          <w:color w:val="404040"/>
          <w:sz w:val="20"/>
          <w:szCs w:val="20"/>
        </w:rPr>
        <w:t>CulturalBench</w:t>
      </w:r>
      <w:proofErr w:type="spellEnd"/>
      <w:r>
        <w:rPr>
          <w:rFonts w:eastAsia="Times New Roman"/>
          <w:i/>
          <w:iCs/>
          <w:color w:val="404040"/>
          <w:sz w:val="20"/>
          <w:szCs w:val="20"/>
        </w:rPr>
        <w:t xml:space="preserve">-Easy and </w:t>
      </w:r>
      <w:proofErr w:type="spellStart"/>
      <w:r>
        <w:rPr>
          <w:rFonts w:eastAsia="Times New Roman"/>
          <w:i/>
          <w:iCs/>
          <w:color w:val="404040"/>
          <w:sz w:val="20"/>
          <w:szCs w:val="20"/>
        </w:rPr>
        <w:t>CulturalBench</w:t>
      </w:r>
      <w:proofErr w:type="spellEnd"/>
      <w:r>
        <w:rPr>
          <w:rFonts w:eastAsia="Times New Roman"/>
          <w:i/>
          <w:iCs/>
          <w:color w:val="404040"/>
          <w:sz w:val="20"/>
          <w:szCs w:val="20"/>
        </w:rPr>
        <w:t xml:space="preserve">-Hard variants, but the paper only uses </w:t>
      </w:r>
      <w:proofErr w:type="spellStart"/>
      <w:r>
        <w:rPr>
          <w:rFonts w:eastAsia="Times New Roman"/>
          <w:i/>
          <w:iCs/>
          <w:color w:val="404040"/>
          <w:sz w:val="20"/>
          <w:szCs w:val="20"/>
        </w:rPr>
        <w:t>CulturalBench</w:t>
      </w:r>
      <w:proofErr w:type="spellEnd"/>
      <w:r>
        <w:rPr>
          <w:rFonts w:eastAsia="Times New Roman"/>
          <w:i/>
          <w:iCs/>
          <w:color w:val="404040"/>
          <w:sz w:val="20"/>
          <w:szCs w:val="20"/>
        </w:rPr>
        <w:t>-Easy. This choice requires further justification. Since the paper aims to improve cultural alignment and nuanced cultural reasoning, evaluation on the harder variant would provide stronger evidence of the method's effectiveness.</w:t>
      </w:r>
    </w:p>
    <w:p w:rsidR="00FC0BB1" w:rsidRDefault="00000000">
      <w:pPr>
        <w:spacing w:before="60" w:after="60" w:line="300" w:lineRule="auto"/>
        <w:ind w:left="360"/>
      </w:pPr>
      <w:r>
        <w:rPr>
          <w:rFonts w:eastAsia="Times New Roman"/>
          <w:i/>
          <w:iCs/>
          <w:color w:val="404040"/>
          <w:sz w:val="20"/>
          <w:szCs w:val="20"/>
        </w:rPr>
        <w:t>The paper should provide more detailed descriptions of the evaluation datasets, including the sample format, task type, cultural coverage, and label construction for each benchmark. In addition, it would be useful to report performance broken down by culture, region, or cultural group, rather than only aggregate accuracy.</w:t>
      </w:r>
    </w:p>
    <w:p w:rsidR="00FC0BB1" w:rsidRDefault="00000000">
      <w:pPr>
        <w:spacing w:before="60" w:after="60" w:line="300" w:lineRule="auto"/>
        <w:ind w:left="360"/>
      </w:pPr>
      <w:r>
        <w:rPr>
          <w:rFonts w:eastAsia="Times New Roman"/>
          <w:i/>
          <w:iCs/>
          <w:color w:val="404040"/>
          <w:sz w:val="20"/>
          <w:szCs w:val="20"/>
        </w:rPr>
        <w:t>While the overall performance improvements are promising, the paper does not provide sufficiently transparent evidence that the proposed method works for the reasons claimed. In particular, it remains unclear whether cross-cultural consensus and culture-specific patterns are truly captured by different pathways. The current analysis mainly relies on aggregate performance and representation-distance visualizations, but more direct evidence is needed, such as pathway-specific evaluations, counterfactual cultural cue replacement, or tests separating consensus-oriented questions from culture-specific questions.</w:t>
      </w:r>
    </w:p>
    <w:p w:rsidR="00FC0BB1" w:rsidRDefault="00000000">
      <w:pPr>
        <w:pStyle w:val="2"/>
        <w:spacing w:before="240" w:after="120"/>
      </w:pPr>
      <w:r>
        <w:rPr>
          <w:rFonts w:eastAsia="Times New Roman"/>
          <w:b/>
          <w:bCs/>
          <w:color w:val="1F3864"/>
        </w:rPr>
        <w:t>Reviewer 2</w:t>
      </w:r>
    </w:p>
    <w:p w:rsidR="00FC0BB1" w:rsidRDefault="00000000">
      <w:pPr>
        <w:spacing w:before="60" w:after="60" w:line="300" w:lineRule="auto"/>
        <w:ind w:left="360"/>
      </w:pPr>
      <w:r>
        <w:rPr>
          <w:rFonts w:eastAsia="Times New Roman"/>
          <w:i/>
          <w:iCs/>
          <w:color w:val="404040"/>
          <w:sz w:val="20"/>
          <w:szCs w:val="20"/>
        </w:rPr>
        <w:t xml:space="preserve">Heavy Dependency on Explicit Annotations: The masking mechanism heavily relies on manually annotated prior cultural knowledge and exhibits poor adaptability under weak supervision scenarios. Masking requires explicit, identifiable cultural markers such as geographic terms, religious concepts, festivals, and customs within input texts. If cultural cues are implicit, without clear named entities, or paired with incomplete/noisy annotations, the masking strategy will degrade drastically. Consequently, the dual-path decoupling performance may deteriorate severely, reducing the framework to a standard </w:t>
      </w:r>
      <w:proofErr w:type="spellStart"/>
      <w:r>
        <w:rPr>
          <w:rFonts w:eastAsia="Times New Roman"/>
          <w:i/>
          <w:iCs/>
          <w:color w:val="404040"/>
          <w:sz w:val="20"/>
          <w:szCs w:val="20"/>
        </w:rPr>
        <w:t>MoE-LoRA</w:t>
      </w:r>
      <w:proofErr w:type="spellEnd"/>
      <w:r>
        <w:rPr>
          <w:rFonts w:eastAsia="Times New Roman"/>
          <w:i/>
          <w:iCs/>
          <w:color w:val="404040"/>
          <w:sz w:val="20"/>
          <w:szCs w:val="20"/>
        </w:rPr>
        <w:t xml:space="preserve"> baseline.</w:t>
      </w:r>
    </w:p>
    <w:p w:rsidR="00FC0BB1" w:rsidRDefault="00000000">
      <w:pPr>
        <w:spacing w:before="60" w:after="60" w:line="300" w:lineRule="auto"/>
        <w:ind w:left="360"/>
      </w:pPr>
      <w:r>
        <w:rPr>
          <w:rFonts w:eastAsia="Times New Roman"/>
          <w:i/>
          <w:iCs/>
          <w:color w:val="404040"/>
          <w:sz w:val="20"/>
          <w:szCs w:val="20"/>
        </w:rPr>
        <w:t xml:space="preserve">Missing Comparison of Trainable Parameters: Among the compared baselines, DC-Finetune, Vanilla </w:t>
      </w:r>
      <w:proofErr w:type="spellStart"/>
      <w:r>
        <w:rPr>
          <w:rFonts w:eastAsia="Times New Roman"/>
          <w:i/>
          <w:iCs/>
          <w:color w:val="404040"/>
          <w:sz w:val="20"/>
          <w:szCs w:val="20"/>
        </w:rPr>
        <w:t>MoE</w:t>
      </w:r>
      <w:proofErr w:type="spellEnd"/>
      <w:r>
        <w:rPr>
          <w:rFonts w:eastAsia="Times New Roman"/>
          <w:i/>
          <w:iCs/>
          <w:color w:val="404040"/>
          <w:sz w:val="20"/>
          <w:szCs w:val="20"/>
        </w:rPr>
        <w:t xml:space="preserve">, </w:t>
      </w:r>
      <w:proofErr w:type="spellStart"/>
      <w:r>
        <w:rPr>
          <w:rFonts w:eastAsia="Times New Roman"/>
          <w:i/>
          <w:iCs/>
          <w:color w:val="404040"/>
          <w:sz w:val="20"/>
          <w:szCs w:val="20"/>
        </w:rPr>
        <w:t>MixLoRA</w:t>
      </w:r>
      <w:proofErr w:type="spellEnd"/>
      <w:r>
        <w:rPr>
          <w:rFonts w:eastAsia="Times New Roman"/>
          <w:i/>
          <w:iCs/>
          <w:color w:val="404040"/>
          <w:sz w:val="20"/>
          <w:szCs w:val="20"/>
        </w:rPr>
        <w:t xml:space="preserve">, and the proposed </w:t>
      </w:r>
      <w:proofErr w:type="spellStart"/>
      <w:r>
        <w:rPr>
          <w:rFonts w:eastAsia="Times New Roman"/>
          <w:i/>
          <w:iCs/>
          <w:color w:val="404040"/>
          <w:sz w:val="20"/>
          <w:szCs w:val="20"/>
        </w:rPr>
        <w:t>CulDPD</w:t>
      </w:r>
      <w:proofErr w:type="spellEnd"/>
      <w:r>
        <w:rPr>
          <w:rFonts w:eastAsia="Times New Roman"/>
          <w:i/>
          <w:iCs/>
          <w:color w:val="404040"/>
          <w:sz w:val="20"/>
          <w:szCs w:val="20"/>
        </w:rPr>
        <w:t xml:space="preserve"> all fall under PEFT fine-tuning pipelines. However, no table or discussion is provided to compare the number of trainable </w:t>
      </w:r>
      <w:proofErr w:type="spellStart"/>
      <w:r>
        <w:rPr>
          <w:rFonts w:eastAsia="Times New Roman"/>
          <w:i/>
          <w:iCs/>
          <w:color w:val="404040"/>
          <w:sz w:val="20"/>
          <w:szCs w:val="20"/>
        </w:rPr>
        <w:t>LoRA</w:t>
      </w:r>
      <w:proofErr w:type="spellEnd"/>
      <w:r>
        <w:rPr>
          <w:rFonts w:eastAsia="Times New Roman"/>
          <w:i/>
          <w:iCs/>
          <w:color w:val="404040"/>
          <w:sz w:val="20"/>
          <w:szCs w:val="20"/>
        </w:rPr>
        <w:t xml:space="preserve"> parameters across all methods. </w:t>
      </w:r>
      <w:proofErr w:type="spellStart"/>
      <w:r>
        <w:rPr>
          <w:rFonts w:eastAsia="Times New Roman"/>
          <w:i/>
          <w:iCs/>
          <w:color w:val="404040"/>
          <w:sz w:val="20"/>
          <w:szCs w:val="20"/>
        </w:rPr>
        <w:t>CulDPD</w:t>
      </w:r>
      <w:proofErr w:type="spellEnd"/>
      <w:r>
        <w:rPr>
          <w:rFonts w:eastAsia="Times New Roman"/>
          <w:i/>
          <w:iCs/>
          <w:color w:val="404040"/>
          <w:sz w:val="20"/>
          <w:szCs w:val="20"/>
        </w:rPr>
        <w:t xml:space="preserve"> incorporates one shared </w:t>
      </w:r>
      <w:proofErr w:type="spellStart"/>
      <w:r>
        <w:rPr>
          <w:rFonts w:eastAsia="Times New Roman"/>
          <w:i/>
          <w:iCs/>
          <w:color w:val="404040"/>
          <w:sz w:val="20"/>
          <w:szCs w:val="20"/>
        </w:rPr>
        <w:t>LoRA</w:t>
      </w:r>
      <w:proofErr w:type="spellEnd"/>
      <w:r>
        <w:rPr>
          <w:rFonts w:eastAsia="Times New Roman"/>
          <w:i/>
          <w:iCs/>
          <w:color w:val="404040"/>
          <w:sz w:val="20"/>
          <w:szCs w:val="20"/>
        </w:rPr>
        <w:t xml:space="preserve"> plus multiple culture-specific expert </w:t>
      </w:r>
      <w:proofErr w:type="spellStart"/>
      <w:r>
        <w:rPr>
          <w:rFonts w:eastAsia="Times New Roman"/>
          <w:i/>
          <w:iCs/>
          <w:color w:val="404040"/>
          <w:sz w:val="20"/>
          <w:szCs w:val="20"/>
        </w:rPr>
        <w:t>LoRAs</w:t>
      </w:r>
      <w:proofErr w:type="spellEnd"/>
      <w:r>
        <w:rPr>
          <w:rFonts w:eastAsia="Times New Roman"/>
          <w:i/>
          <w:iCs/>
          <w:color w:val="404040"/>
          <w:sz w:val="20"/>
          <w:szCs w:val="20"/>
        </w:rPr>
        <w:t xml:space="preserve">, which likely introduces more trainable parameters than competing baselines. The authors are required to elaborate on the trainable parameter count of each baseline; without such comparisons, it is impossible to determine whether the performance improvements stem from the </w:t>
      </w:r>
      <w:r>
        <w:rPr>
          <w:rFonts w:eastAsia="Times New Roman"/>
          <w:i/>
          <w:iCs/>
          <w:color w:val="404040"/>
          <w:sz w:val="20"/>
          <w:szCs w:val="20"/>
        </w:rPr>
        <w:lastRenderedPageBreak/>
        <w:t>decoupled architecture itself or merely from an expansion of trainable parameters.</w:t>
      </w:r>
    </w:p>
    <w:p w:rsidR="00FC0BB1" w:rsidRDefault="00000000">
      <w:pPr>
        <w:spacing w:before="60" w:after="60" w:line="300" w:lineRule="auto"/>
        <w:ind w:left="360"/>
      </w:pPr>
      <w:r>
        <w:rPr>
          <w:rFonts w:eastAsia="Times New Roman"/>
          <w:i/>
          <w:iCs/>
          <w:color w:val="404040"/>
          <w:sz w:val="20"/>
          <w:szCs w:val="20"/>
        </w:rPr>
        <w:t>Insufficient Expert Analysis: Figure 3 only visualizes the Euclidean distance heatmap of routing weights for samples grouped by continents, which merely proves that CRL tightens the clustering of samples from identical cultural backgrounds. The figure fails to intuitively illustrate the degree of expert differentiation and expert load balancing. We recommend plotting the activation magnitude or activation ratio of each expert at layers close to the output, grouped by task categories or clustering labels, to better support the claimed mechanism.</w:t>
      </w:r>
    </w:p>
    <w:p w:rsidR="00FC0BB1" w:rsidRDefault="00000000">
      <w:pPr>
        <w:pStyle w:val="2"/>
        <w:spacing w:before="240" w:after="120"/>
      </w:pPr>
      <w:r>
        <w:rPr>
          <w:rFonts w:eastAsia="Times New Roman"/>
          <w:b/>
          <w:bCs/>
          <w:color w:val="1F3864"/>
        </w:rPr>
        <w:t>Reviewer 3</w:t>
      </w:r>
    </w:p>
    <w:p w:rsidR="00FC0BB1" w:rsidRDefault="00000000">
      <w:pPr>
        <w:spacing w:before="60" w:after="60" w:line="300" w:lineRule="auto"/>
        <w:ind w:left="360"/>
      </w:pPr>
      <w:r>
        <w:rPr>
          <w:rFonts w:eastAsia="Times New Roman"/>
          <w:i/>
          <w:iCs/>
          <w:color w:val="404040"/>
          <w:sz w:val="20"/>
          <w:szCs w:val="20"/>
        </w:rPr>
        <w:t>While the representation analysis demonstrates increased geometric separation between culture-shared and culture-specific representations, it does not directly verify that the two pathways capture cross-cultural consensus and culture-specific knowledge, respectively. Additional quantitative analyses, such as pathway-specific evaluation or probing experiments, would provide stronger evidence for semantic disentanglement.</w:t>
      </w:r>
    </w:p>
    <w:p w:rsidR="00FC0BB1" w:rsidRDefault="00000000">
      <w:pPr>
        <w:spacing w:before="60" w:after="60" w:line="300" w:lineRule="auto"/>
        <w:ind w:left="360"/>
      </w:pPr>
      <w:r>
        <w:rPr>
          <w:rFonts w:eastAsia="Times New Roman"/>
          <w:i/>
          <w:iCs/>
          <w:color w:val="404040"/>
          <w:sz w:val="20"/>
          <w:szCs w:val="20"/>
        </w:rPr>
        <w:t>It seems like the experts are crucial components of the proposed architecture, but the paper is missing the effect of the # of these experts and their scalability.</w:t>
      </w:r>
    </w:p>
    <w:p w:rsidR="00FC0BB1" w:rsidRDefault="00000000">
      <w:pPr>
        <w:spacing w:before="60" w:after="60" w:line="300" w:lineRule="auto"/>
        <w:ind w:left="360"/>
      </w:pPr>
      <w:r>
        <w:rPr>
          <w:rFonts w:eastAsia="Times New Roman"/>
          <w:i/>
          <w:iCs/>
          <w:color w:val="404040"/>
          <w:sz w:val="20"/>
          <w:szCs w:val="20"/>
        </w:rPr>
        <w:t xml:space="preserve">It might be better to include a summary of each of the baselines in Table 1 and also discuss in-depth why </w:t>
      </w:r>
      <w:proofErr w:type="spellStart"/>
      <w:r>
        <w:rPr>
          <w:rFonts w:eastAsia="Times New Roman"/>
          <w:i/>
          <w:iCs/>
          <w:color w:val="404040"/>
          <w:sz w:val="20"/>
          <w:szCs w:val="20"/>
        </w:rPr>
        <w:t>CulDPD</w:t>
      </w:r>
      <w:proofErr w:type="spellEnd"/>
      <w:r>
        <w:rPr>
          <w:rFonts w:eastAsia="Times New Roman"/>
          <w:i/>
          <w:iCs/>
          <w:color w:val="404040"/>
          <w:sz w:val="20"/>
          <w:szCs w:val="20"/>
        </w:rPr>
        <w:t xml:space="preserve"> outperforms each of these methods.</w:t>
      </w:r>
    </w:p>
    <w:p w:rsidR="00FC0BB1" w:rsidRDefault="00000000">
      <w:pPr>
        <w:pStyle w:val="1"/>
        <w:spacing w:before="240" w:after="120"/>
      </w:pPr>
      <w:r>
        <w:t>Reviewer 1 — Weaknesses &amp; Responses</w:t>
      </w:r>
    </w:p>
    <w:p w:rsidR="00FC0BB1" w:rsidRDefault="00000000">
      <w:pPr>
        <w:spacing w:before="200" w:after="100"/>
      </w:pPr>
      <w:r>
        <w:rPr>
          <w:rFonts w:ascii="宋体" w:eastAsia="宋体" w:hAnsi="宋体" w:cs="宋体"/>
          <w:b/>
          <w:bCs/>
          <w:color w:val="1F3864"/>
          <w:sz w:val="24"/>
          <w:szCs w:val="24"/>
        </w:rPr>
        <w:t>Weakness 1（R1-W1）：固定文化敏感词典的灵活性不足</w:t>
      </w:r>
    </w:p>
    <w:p w:rsidR="00FC0BB1" w:rsidRDefault="00000000">
      <w:pPr>
        <w:spacing w:before="160" w:after="60"/>
      </w:pPr>
      <w:r>
        <w:rPr>
          <w:rFonts w:ascii="宋体" w:eastAsia="宋体" w:hAnsi="宋体" w:cs="宋体"/>
          <w:b/>
          <w:bCs/>
          <w:color w:val="C00000"/>
        </w:rPr>
        <w:t>【原文 / Original】</w:t>
      </w:r>
    </w:p>
    <w:p w:rsidR="00FC0BB1" w:rsidRDefault="00000000">
      <w:pPr>
        <w:spacing w:before="60" w:after="60" w:line="300" w:lineRule="auto"/>
        <w:ind w:left="360"/>
      </w:pPr>
      <w:r>
        <w:rPr>
          <w:rFonts w:eastAsia="Times New Roman"/>
          <w:i/>
          <w:iCs/>
          <w:color w:val="404040"/>
          <w:sz w:val="20"/>
          <w:szCs w:val="20"/>
        </w:rPr>
        <w:t>The proposed method relies on a culture-sensitive lexicon, which is constructed with LLM assistance and then fixed afterwards. Since this lexicon is not learnable or dynamically updated during training, it may be less flexible in handling implicit, emerging, or context-dependent cultural cues.</w:t>
      </w:r>
    </w:p>
    <w:p w:rsidR="00FC0BB1" w:rsidRDefault="00000000">
      <w:pPr>
        <w:spacing w:before="160" w:after="60"/>
      </w:pPr>
      <w:r>
        <w:rPr>
          <w:rFonts w:ascii="宋体" w:eastAsia="宋体" w:hAnsi="宋体" w:cs="宋体"/>
          <w:b/>
          <w:bCs/>
          <w:color w:val="C00000"/>
        </w:rPr>
        <w:t>【中文翻译】</w:t>
      </w:r>
    </w:p>
    <w:p w:rsidR="00FC0BB1" w:rsidRDefault="00000000">
      <w:pPr>
        <w:spacing w:before="60" w:after="60" w:line="340" w:lineRule="auto"/>
      </w:pPr>
      <w:r>
        <w:rPr>
          <w:rFonts w:ascii="宋体" w:eastAsia="宋体" w:hAnsi="宋体" w:cs="宋体"/>
        </w:rPr>
        <w:t>所提方法依赖一个文化敏感词典，该词典由 LLM 辅助构建并在之后保持固定。由于该词典在训练过程中既不可学习也不动态更新，它在处理隐式、新兴或上下文相关的文化线索时可能灵活性不足。</w:t>
      </w:r>
    </w:p>
    <w:p w:rsidR="00FC0BB1" w:rsidRDefault="00000000">
      <w:pPr>
        <w:spacing w:before="160" w:after="60"/>
      </w:pPr>
      <w:r>
        <w:rPr>
          <w:rFonts w:ascii="宋体" w:eastAsia="宋体" w:hAnsi="宋体" w:cs="宋体"/>
          <w:b/>
          <w:bCs/>
          <w:color w:val="C00000"/>
        </w:rPr>
        <w:t>【中文回复】</w:t>
      </w:r>
    </w:p>
    <w:p w:rsidR="00FC0BB1" w:rsidRDefault="00000000">
      <w:pPr>
        <w:spacing w:before="60" w:after="60" w:line="340" w:lineRule="auto"/>
      </w:pPr>
      <w:r>
        <w:rPr>
          <w:rFonts w:ascii="宋体" w:eastAsia="宋体" w:hAnsi="宋体" w:cs="宋体"/>
        </w:rPr>
        <w:t xml:space="preserve">感谢审稿人的指出。我们承认固定词典是一个限制，但需要强调的是，在 </w:t>
      </w:r>
      <w:proofErr w:type="spellStart"/>
      <w:r>
        <w:rPr>
          <w:rFonts w:ascii="宋体" w:eastAsia="宋体" w:hAnsi="宋体" w:cs="宋体"/>
        </w:rPr>
        <w:t>CulDPD</w:t>
      </w:r>
      <w:proofErr w:type="spellEnd"/>
      <w:r>
        <w:rPr>
          <w:rFonts w:ascii="宋体" w:eastAsia="宋体" w:hAnsi="宋体" w:cs="宋体"/>
        </w:rPr>
        <w:t xml:space="preserve"> 中词典仅用于构造「视图扰动」这一输入侧先验，而非作为模型唯一的文化表征来源。具体地：(1) 词典只负责把显式文化标识替换为 [MASK]，最终的文化判别由 </w:t>
      </w:r>
      <w:proofErr w:type="spellStart"/>
      <w:r>
        <w:rPr>
          <w:rFonts w:ascii="宋体" w:eastAsia="宋体" w:hAnsi="宋体" w:cs="宋体"/>
        </w:rPr>
        <w:t>LoRA</w:t>
      </w:r>
      <w:proofErr w:type="spellEnd"/>
      <w:r>
        <w:rPr>
          <w:rFonts w:ascii="宋体" w:eastAsia="宋体" w:hAnsi="宋体" w:cs="宋体"/>
        </w:rPr>
        <w:t xml:space="preserve"> 专家和动态路由在表示空间中学习；(2) 我们已在论文附录 B.5 进行了词典鲁棒性实验（Table 5），随机删除 10%/20%/30% 词典条目，四个基准上的性能下降均小于 1.5%，表明模型并不依赖完美词典；(3) 正如论文 B.1 所述，masking 机制与文化分类体系正交，只要目标文化属性可通过词典或上下文标记操作化即可扩展。</w:t>
      </w:r>
    </w:p>
    <w:p w:rsidR="00FC0BB1" w:rsidRDefault="00000000">
      <w:pPr>
        <w:spacing w:before="60" w:after="60" w:line="340" w:lineRule="auto"/>
      </w:pPr>
      <w:r>
        <w:rPr>
          <w:rFonts w:ascii="宋体" w:eastAsia="宋体" w:hAnsi="宋体" w:cs="宋体"/>
        </w:rPr>
        <w:t>针对审稿人关心的「隐式 / 新兴文化线索」场景，我们指出：论文 Table 2 已给出显式 masking 与「无 masking 但保留双路径结构」的消融对比，w/o mask 仅带来小幅下降（</w:t>
      </w:r>
      <w:proofErr w:type="spellStart"/>
      <w:r>
        <w:rPr>
          <w:rFonts w:ascii="宋体" w:eastAsia="宋体" w:hAnsi="宋体" w:cs="宋体"/>
        </w:rPr>
        <w:t>CulturalBench</w:t>
      </w:r>
      <w:proofErr w:type="spellEnd"/>
      <w:r>
        <w:rPr>
          <w:rFonts w:ascii="宋体" w:eastAsia="宋体" w:hAnsi="宋体" w:cs="宋体"/>
        </w:rPr>
        <w:t xml:space="preserve"> 82.46→81.15；</w:t>
      </w:r>
      <w:proofErr w:type="spellStart"/>
      <w:r>
        <w:rPr>
          <w:rFonts w:ascii="宋体" w:eastAsia="宋体" w:hAnsi="宋体" w:cs="宋体"/>
        </w:rPr>
        <w:t>CultureLLM</w:t>
      </w:r>
      <w:proofErr w:type="spellEnd"/>
      <w:r>
        <w:rPr>
          <w:rFonts w:ascii="宋体" w:eastAsia="宋体" w:hAnsi="宋体" w:cs="宋体"/>
        </w:rPr>
        <w:t xml:space="preserve"> 91.43→91.11），并未塌缩至 Vanilla </w:t>
      </w:r>
      <w:proofErr w:type="spellStart"/>
      <w:r>
        <w:rPr>
          <w:rFonts w:ascii="宋体" w:eastAsia="宋体" w:hAnsi="宋体" w:cs="宋体"/>
        </w:rPr>
        <w:t>MoE</w:t>
      </w:r>
      <w:proofErr w:type="spellEnd"/>
      <w:r>
        <w:rPr>
          <w:rFonts w:ascii="宋体" w:eastAsia="宋体" w:hAnsi="宋体" w:cs="宋体"/>
        </w:rPr>
        <w:t xml:space="preserve"> 基线，说明 masking 与双路径结构的贡献已被分离。我们将在 future work 中讨论将词典升级为可学习 soft-mask 的可能扩展方向。</w:t>
      </w:r>
    </w:p>
    <w:p w:rsidR="00FC0BB1" w:rsidRDefault="00000000">
      <w:pPr>
        <w:spacing w:before="160" w:after="60"/>
      </w:pPr>
      <w:r>
        <w:rPr>
          <w:rFonts w:ascii="宋体" w:eastAsia="宋体" w:hAnsi="宋体" w:cs="宋体"/>
          <w:b/>
          <w:bCs/>
          <w:color w:val="C00000"/>
        </w:rPr>
        <w:lastRenderedPageBreak/>
        <w:t>【English Response】</w:t>
      </w:r>
    </w:p>
    <w:p w:rsidR="00FC0BB1" w:rsidRDefault="00000000">
      <w:pPr>
        <w:spacing w:before="60" w:after="60" w:line="300" w:lineRule="auto"/>
      </w:pPr>
      <w:r>
        <w:rPr>
          <w:rFonts w:eastAsia="Times New Roman"/>
        </w:rPr>
        <w:t xml:space="preserve">We thank the reviewer for this comment. We acknowledge the fixed lexicon as a limitation, but stress that in </w:t>
      </w:r>
      <w:proofErr w:type="spellStart"/>
      <w:r>
        <w:rPr>
          <w:rFonts w:eastAsia="Times New Roman"/>
        </w:rPr>
        <w:t>CulDPD</w:t>
      </w:r>
      <w:proofErr w:type="spellEnd"/>
      <w:r>
        <w:rPr>
          <w:rFonts w:eastAsia="Times New Roman"/>
        </w:rPr>
        <w:t xml:space="preserve"> the lexicon is only used to construct an input-side "view perturbation" prior rather than serving as the sole cultural representation. Specifically: (1) the lexicon only replaces explicit cultural identifiers with [MASK], while the final cultural discrimination is learned in the representation space by the </w:t>
      </w:r>
      <w:proofErr w:type="spellStart"/>
      <w:r>
        <w:rPr>
          <w:rFonts w:eastAsia="Times New Roman"/>
        </w:rPr>
        <w:t>LoRA</w:t>
      </w:r>
      <w:proofErr w:type="spellEnd"/>
      <w:r>
        <w:rPr>
          <w:rFonts w:eastAsia="Times New Roman"/>
        </w:rPr>
        <w:t xml:space="preserve"> experts and the dynamic router; (2) we already provided a lexicon-robustness study in Appendix B.5 (Table 5): randomly removing 10%/20%/30% of the lexicon entries causes less than 1.5% degradation on all four benchmarks, indicating the model does not rely on a perfect lexicon; (3) as discussed in Appendix B.1, the masking mechanism is orthogonal to any specific cultural taxonomy and can be extended as long as the target cultural attribute can be </w:t>
      </w:r>
      <w:proofErr w:type="spellStart"/>
      <w:r>
        <w:rPr>
          <w:rFonts w:eastAsia="Times New Roman"/>
        </w:rPr>
        <w:t>operationalised</w:t>
      </w:r>
      <w:proofErr w:type="spellEnd"/>
      <w:r>
        <w:rPr>
          <w:rFonts w:eastAsia="Times New Roman"/>
        </w:rPr>
        <w:t xml:space="preserve"> by identifiable lexical or contextual markers.</w:t>
      </w:r>
    </w:p>
    <w:p w:rsidR="00FC0BB1" w:rsidRDefault="00000000">
      <w:pPr>
        <w:spacing w:before="60" w:after="60" w:line="300" w:lineRule="auto"/>
      </w:pPr>
      <w:r>
        <w:rPr>
          <w:rFonts w:eastAsia="Times New Roman"/>
        </w:rPr>
        <w:t>Regarding the reviewer's concern about implicit / emerging cultural cues, we note that Table 2 of the paper already provides the ablation comparing explicit masking with "no-masking but dual-path structure retained": w/o mask causes only a small drop (</w:t>
      </w:r>
      <w:proofErr w:type="spellStart"/>
      <w:r>
        <w:rPr>
          <w:rFonts w:eastAsia="Times New Roman"/>
        </w:rPr>
        <w:t>CulturalBench</w:t>
      </w:r>
      <w:proofErr w:type="spellEnd"/>
      <w:r>
        <w:rPr>
          <w:rFonts w:eastAsia="Times New Roman"/>
        </w:rPr>
        <w:t xml:space="preserve"> 82.46→81.15; </w:t>
      </w:r>
      <w:proofErr w:type="spellStart"/>
      <w:r>
        <w:rPr>
          <w:rFonts w:eastAsia="Times New Roman"/>
        </w:rPr>
        <w:t>CultureLLM</w:t>
      </w:r>
      <w:proofErr w:type="spellEnd"/>
      <w:r>
        <w:rPr>
          <w:rFonts w:eastAsia="Times New Roman"/>
        </w:rPr>
        <w:t xml:space="preserve"> 91.43→91.11), far from collapsing to the Vanilla </w:t>
      </w:r>
      <w:proofErr w:type="spellStart"/>
      <w:r>
        <w:rPr>
          <w:rFonts w:eastAsia="Times New Roman"/>
        </w:rPr>
        <w:t>MoE</w:t>
      </w:r>
      <w:proofErr w:type="spellEnd"/>
      <w:r>
        <w:rPr>
          <w:rFonts w:eastAsia="Times New Roman"/>
        </w:rPr>
        <w:t xml:space="preserve"> baseline, which already disentangles the contributions of masking and the dual-path structure. We will discuss extending the lexicon to a learnable soft-mask as future work.</w:t>
      </w:r>
    </w:p>
    <w:p w:rsidR="00FC0BB1" w:rsidRDefault="00000000">
      <w:pPr>
        <w:spacing w:before="200" w:after="100"/>
      </w:pPr>
      <w:r>
        <w:rPr>
          <w:rFonts w:ascii="宋体" w:eastAsia="宋体" w:hAnsi="宋体" w:cs="宋体"/>
          <w:b/>
          <w:bCs/>
          <w:color w:val="1F3864"/>
          <w:sz w:val="24"/>
          <w:szCs w:val="24"/>
        </w:rPr>
        <w:t>Weakness 2（R1-W2）：专家行为分析不足 + 专家数量消融缺失</w:t>
      </w:r>
    </w:p>
    <w:p w:rsidR="00FC0BB1" w:rsidRDefault="00000000">
      <w:pPr>
        <w:spacing w:before="160" w:after="60"/>
      </w:pPr>
      <w:r>
        <w:rPr>
          <w:rFonts w:ascii="宋体" w:eastAsia="宋体" w:hAnsi="宋体" w:cs="宋体"/>
          <w:b/>
          <w:bCs/>
          <w:color w:val="C00000"/>
        </w:rPr>
        <w:t>【原文 / Original】</w:t>
      </w:r>
    </w:p>
    <w:p w:rsidR="00FC0BB1" w:rsidRDefault="00000000">
      <w:pPr>
        <w:spacing w:before="60" w:after="60" w:line="300" w:lineRule="auto"/>
        <w:ind w:left="360"/>
      </w:pPr>
      <w:r>
        <w:rPr>
          <w:rFonts w:eastAsia="Times New Roman"/>
          <w:i/>
          <w:iCs/>
          <w:color w:val="404040"/>
          <w:sz w:val="20"/>
          <w:szCs w:val="20"/>
        </w:rPr>
        <w:t xml:space="preserve">Although the culture-specific pathway uses multiple experts with dynamic routing, it remains unclear what kinds of cultural information different experts actually learn. The paper would benefit from a more detailed analysis of expert behavior, such as whether specific experts specialize in particular cultural regions, topics, norms, or reasoning patterns. In addition, the impact of the number of experts is not evaluated. Since expert number can strongly affect </w:t>
      </w:r>
      <w:proofErr w:type="spellStart"/>
      <w:r>
        <w:rPr>
          <w:rFonts w:eastAsia="Times New Roman"/>
          <w:i/>
          <w:iCs/>
          <w:color w:val="404040"/>
          <w:sz w:val="20"/>
          <w:szCs w:val="20"/>
        </w:rPr>
        <w:t>MoE</w:t>
      </w:r>
      <w:proofErr w:type="spellEnd"/>
      <w:r>
        <w:rPr>
          <w:rFonts w:eastAsia="Times New Roman"/>
          <w:i/>
          <w:iCs/>
          <w:color w:val="404040"/>
          <w:sz w:val="20"/>
          <w:szCs w:val="20"/>
        </w:rPr>
        <w:t>-style methods, an ablation or parameter study on this factor is necessary.</w:t>
      </w:r>
    </w:p>
    <w:p w:rsidR="00FC0BB1" w:rsidRDefault="00000000">
      <w:pPr>
        <w:spacing w:before="160" w:after="60"/>
      </w:pPr>
      <w:r>
        <w:rPr>
          <w:rFonts w:ascii="宋体" w:eastAsia="宋体" w:hAnsi="宋体" w:cs="宋体"/>
          <w:b/>
          <w:bCs/>
          <w:color w:val="C00000"/>
        </w:rPr>
        <w:t>【中文翻译】</w:t>
      </w:r>
    </w:p>
    <w:p w:rsidR="00FC0BB1" w:rsidRDefault="00000000">
      <w:pPr>
        <w:spacing w:before="60" w:after="60" w:line="340" w:lineRule="auto"/>
      </w:pPr>
      <w:r>
        <w:rPr>
          <w:rFonts w:ascii="宋体" w:eastAsia="宋体" w:hAnsi="宋体" w:cs="宋体"/>
        </w:rPr>
        <w:t xml:space="preserve">尽管文化特定路径使用了多专家动态路由，但不同专家究竟学到了哪些文化信息仍不清楚。论文需要更详细的专家行为分析，例如特定专家是否专门处理特定文化区域、主题、规范或推理模式。此外，专家数量的影响未做评估。由于专家数量对 </w:t>
      </w:r>
      <w:proofErr w:type="spellStart"/>
      <w:r>
        <w:rPr>
          <w:rFonts w:ascii="宋体" w:eastAsia="宋体" w:hAnsi="宋体" w:cs="宋体"/>
        </w:rPr>
        <w:t>MoE</w:t>
      </w:r>
      <w:proofErr w:type="spellEnd"/>
      <w:r>
        <w:rPr>
          <w:rFonts w:ascii="宋体" w:eastAsia="宋体" w:hAnsi="宋体" w:cs="宋体"/>
        </w:rPr>
        <w:t xml:space="preserve"> 类方法影响显著，对该因素进行消融或参数研究是必要的。</w:t>
      </w:r>
    </w:p>
    <w:p w:rsidR="00FC0BB1" w:rsidRDefault="00000000">
      <w:pPr>
        <w:spacing w:before="160" w:after="60"/>
      </w:pPr>
      <w:r>
        <w:rPr>
          <w:rFonts w:ascii="宋体" w:eastAsia="宋体" w:hAnsi="宋体" w:cs="宋体"/>
          <w:b/>
          <w:bCs/>
          <w:color w:val="C00000"/>
        </w:rPr>
        <w:t>【中文回复】</w:t>
      </w:r>
    </w:p>
    <w:p w:rsidR="00FC0BB1" w:rsidRDefault="00000000">
      <w:pPr>
        <w:spacing w:before="60" w:after="60" w:line="340" w:lineRule="auto"/>
      </w:pPr>
      <w:r>
        <w:rPr>
          <w:rFonts w:ascii="宋体" w:eastAsia="宋体" w:hAnsi="宋体" w:cs="宋体"/>
        </w:rPr>
        <w:t>感谢审稿人提出此建议。我们已补做两类分析。</w:t>
      </w:r>
    </w:p>
    <w:p w:rsidR="00FC0BB1" w:rsidRDefault="00000000">
      <w:pPr>
        <w:spacing w:before="60" w:after="60" w:line="340" w:lineRule="auto"/>
      </w:pPr>
      <w:r>
        <w:rPr>
          <w:rFonts w:ascii="宋体" w:eastAsia="宋体" w:hAnsi="宋体" w:cs="宋体"/>
        </w:rPr>
        <w:t xml:space="preserve">(1) 专家行为分析——专家 × 文化区域激活热图：在 </w:t>
      </w:r>
      <w:proofErr w:type="spellStart"/>
      <w:r>
        <w:rPr>
          <w:rFonts w:ascii="宋体" w:eastAsia="宋体" w:hAnsi="宋体" w:cs="宋体"/>
        </w:rPr>
        <w:t>CulturalBench</w:t>
      </w:r>
      <w:proofErr w:type="spellEnd"/>
      <w:r>
        <w:rPr>
          <w:rFonts w:ascii="宋体" w:eastAsia="宋体" w:hAnsi="宋体" w:cs="宋体"/>
        </w:rPr>
        <w:t xml:space="preserve">-Easy 上对训好的 </w:t>
      </w:r>
      <w:proofErr w:type="spellStart"/>
      <w:r>
        <w:rPr>
          <w:rFonts w:ascii="宋体" w:eastAsia="宋体" w:hAnsi="宋体" w:cs="宋体"/>
        </w:rPr>
        <w:t>CulDPD</w:t>
      </w:r>
      <w:proofErr w:type="spellEnd"/>
      <w:r>
        <w:rPr>
          <w:rFonts w:ascii="宋体" w:eastAsia="宋体" w:hAnsi="宋体" w:cs="宋体"/>
        </w:rPr>
        <w:t xml:space="preserve"> 推理，提取 culture-specific 路径的路由权重，统计每个专家在每个大洲样本上的激活比例 </w:t>
      </w:r>
      <w:proofErr w:type="spellStart"/>
      <w:r>
        <w:rPr>
          <w:rFonts w:ascii="宋体" w:eastAsia="宋体" w:hAnsi="宋体" w:cs="宋体"/>
        </w:rPr>
        <w:t>ActivationRatio</w:t>
      </w:r>
      <w:proofErr w:type="spellEnd"/>
      <w:r>
        <w:rPr>
          <w:rFonts w:ascii="宋体" w:eastAsia="宋体" w:hAnsi="宋体" w:cs="宋体"/>
        </w:rPr>
        <w:t xml:space="preserve"> = 该专家进入 top-k 的样本数 / 该大洲总样本数。指标 ∈ [0,1]，越高表示该专家越偏好该文化区域。我们在 Llama-3.1-8B 骨干上统计，并以去掉 CRL 的消融模型作为对照。默认 4 个专家、top-2 路由，每列激活比例之和约为 2.0。</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8"/>
        <w:gridCol w:w="734"/>
        <w:gridCol w:w="912"/>
        <w:gridCol w:w="1117"/>
        <w:gridCol w:w="1094"/>
        <w:gridCol w:w="851"/>
        <w:gridCol w:w="958"/>
      </w:tblGrid>
      <w:tr w:rsidR="00FC0BB1">
        <w:tblPrEx>
          <w:tblCellMar>
            <w:top w:w="0" w:type="dxa"/>
            <w:bottom w:w="0" w:type="dxa"/>
          </w:tblCellMar>
        </w:tblPrEx>
        <w:tc>
          <w:tcPr>
            <w:tcW w:w="10500" w:type="dxa"/>
            <w:tcBorders>
              <w:top w:val="single" w:sz="1" w:space="0" w:color="AAAAAA"/>
              <w:left w:val="single" w:sz="1" w:space="0" w:color="AAAAAA"/>
              <w:bottom w:val="single" w:sz="1" w:space="0" w:color="AAAAAA"/>
              <w:right w:val="single" w:sz="1" w:space="0" w:color="AAAAAA"/>
            </w:tcBorders>
            <w:shd w:val="clear" w:color="auto" w:fill="F2F2F2"/>
          </w:tcPr>
          <w:p w:rsidR="00FC0BB1" w:rsidRDefault="00000000">
            <w:r>
              <w:rPr>
                <w:rFonts w:eastAsia="Times New Roman"/>
                <w:b/>
                <w:bCs/>
                <w:color w:val="1F3864"/>
                <w:sz w:val="20"/>
                <w:szCs w:val="20"/>
              </w:rPr>
              <w:t>Expert × Region Activation Ratio — Llama-3.1-8B backbone</w:t>
            </w:r>
          </w:p>
        </w:tc>
        <w:tc>
          <w:tcPr>
            <w:tcW w:w="0" w:type="dxa"/>
            <w:tcBorders>
              <w:top w:val="single" w:sz="1" w:space="0" w:color="AAAAAA"/>
              <w:left w:val="single" w:sz="1" w:space="0" w:color="AAAAAA"/>
              <w:bottom w:val="single" w:sz="1" w:space="0" w:color="AAAAAA"/>
              <w:right w:val="single" w:sz="1" w:space="0" w:color="AAAAAA"/>
            </w:tcBorders>
          </w:tcPr>
          <w:p w:rsidR="00FC0BB1" w:rsidRDefault="00FC0BB1"/>
        </w:tc>
        <w:tc>
          <w:tcPr>
            <w:tcW w:w="0" w:type="dxa"/>
            <w:tcBorders>
              <w:top w:val="single" w:sz="1" w:space="0" w:color="AAAAAA"/>
              <w:left w:val="single" w:sz="1" w:space="0" w:color="AAAAAA"/>
              <w:bottom w:val="single" w:sz="1" w:space="0" w:color="AAAAAA"/>
              <w:right w:val="single" w:sz="1" w:space="0" w:color="AAAAAA"/>
            </w:tcBorders>
          </w:tcPr>
          <w:p w:rsidR="00FC0BB1" w:rsidRDefault="00FC0BB1"/>
        </w:tc>
        <w:tc>
          <w:tcPr>
            <w:tcW w:w="0" w:type="dxa"/>
            <w:tcBorders>
              <w:top w:val="single" w:sz="1" w:space="0" w:color="AAAAAA"/>
              <w:left w:val="single" w:sz="1" w:space="0" w:color="AAAAAA"/>
              <w:bottom w:val="single" w:sz="1" w:space="0" w:color="AAAAAA"/>
              <w:right w:val="single" w:sz="1" w:space="0" w:color="AAAAAA"/>
            </w:tcBorders>
          </w:tcPr>
          <w:p w:rsidR="00FC0BB1" w:rsidRDefault="00FC0BB1"/>
        </w:tc>
        <w:tc>
          <w:tcPr>
            <w:tcW w:w="0" w:type="dxa"/>
            <w:tcBorders>
              <w:top w:val="single" w:sz="1" w:space="0" w:color="AAAAAA"/>
              <w:left w:val="single" w:sz="1" w:space="0" w:color="AAAAAA"/>
              <w:bottom w:val="single" w:sz="1" w:space="0" w:color="AAAAAA"/>
              <w:right w:val="single" w:sz="1" w:space="0" w:color="AAAAAA"/>
            </w:tcBorders>
          </w:tcPr>
          <w:p w:rsidR="00FC0BB1" w:rsidRDefault="00FC0BB1"/>
        </w:tc>
        <w:tc>
          <w:tcPr>
            <w:tcW w:w="0" w:type="dxa"/>
            <w:tcBorders>
              <w:top w:val="single" w:sz="1" w:space="0" w:color="AAAAAA"/>
              <w:left w:val="single" w:sz="1" w:space="0" w:color="AAAAAA"/>
              <w:bottom w:val="single" w:sz="1" w:space="0" w:color="AAAAAA"/>
              <w:right w:val="single" w:sz="1" w:space="0" w:color="AAAAAA"/>
            </w:tcBorders>
          </w:tcPr>
          <w:p w:rsidR="00FC0BB1" w:rsidRDefault="00FC0BB1"/>
        </w:tc>
        <w:tc>
          <w:tcPr>
            <w:tcW w:w="0" w:type="dxa"/>
            <w:tcBorders>
              <w:top w:val="single" w:sz="1" w:space="0" w:color="AAAAAA"/>
              <w:left w:val="single" w:sz="1" w:space="0" w:color="AAAAAA"/>
              <w:bottom w:val="single" w:sz="1" w:space="0" w:color="AAAAAA"/>
              <w:right w:val="single" w:sz="1" w:space="0" w:color="AAAAAA"/>
            </w:tcBorders>
          </w:tcPr>
          <w:p w:rsidR="00FC0BB1" w:rsidRDefault="00FC0BB1"/>
        </w:tc>
      </w:tr>
      <w:tr w:rsidR="00FC0BB1">
        <w:tblPrEx>
          <w:tblCellMar>
            <w:top w:w="0" w:type="dxa"/>
            <w:bottom w:w="0" w:type="dxa"/>
          </w:tblCellMar>
        </w:tblPrEx>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D5E8F0"/>
            <w:vAlign w:val="center"/>
          </w:tcPr>
          <w:p w:rsidR="00FC0BB1" w:rsidRDefault="00000000">
            <w:pPr>
              <w:jc w:val="center"/>
            </w:pPr>
            <w:r>
              <w:rPr>
                <w:rFonts w:eastAsia="Times New Roman"/>
                <w:b/>
                <w:bCs/>
                <w:sz w:val="20"/>
                <w:szCs w:val="20"/>
              </w:rPr>
              <w:t>Expert</w:t>
            </w:r>
          </w:p>
        </w:tc>
        <w:tc>
          <w:tcPr>
            <w:tcW w:w="1500" w:type="dxa"/>
            <w:tcBorders>
              <w:top w:val="single" w:sz="1" w:space="0" w:color="AAAAAA"/>
              <w:left w:val="single" w:sz="1" w:space="0" w:color="AAAAAA"/>
              <w:bottom w:val="single" w:sz="1" w:space="0" w:color="AAAAAA"/>
              <w:right w:val="single" w:sz="1" w:space="0" w:color="AAAAAA"/>
            </w:tcBorders>
            <w:shd w:val="clear" w:color="auto" w:fill="D5E8F0"/>
            <w:vAlign w:val="center"/>
          </w:tcPr>
          <w:p w:rsidR="00FC0BB1" w:rsidRDefault="00000000">
            <w:pPr>
              <w:jc w:val="center"/>
            </w:pPr>
            <w:r>
              <w:rPr>
                <w:rFonts w:eastAsia="Times New Roman"/>
                <w:b/>
                <w:bCs/>
                <w:sz w:val="20"/>
                <w:szCs w:val="20"/>
              </w:rPr>
              <w:t>Asia</w:t>
            </w:r>
          </w:p>
        </w:tc>
        <w:tc>
          <w:tcPr>
            <w:tcW w:w="1500" w:type="dxa"/>
            <w:tcBorders>
              <w:top w:val="single" w:sz="1" w:space="0" w:color="AAAAAA"/>
              <w:left w:val="single" w:sz="1" w:space="0" w:color="AAAAAA"/>
              <w:bottom w:val="single" w:sz="1" w:space="0" w:color="AAAAAA"/>
              <w:right w:val="single" w:sz="1" w:space="0" w:color="AAAAAA"/>
            </w:tcBorders>
            <w:shd w:val="clear" w:color="auto" w:fill="D5E8F0"/>
            <w:vAlign w:val="center"/>
          </w:tcPr>
          <w:p w:rsidR="00FC0BB1" w:rsidRDefault="00000000">
            <w:pPr>
              <w:jc w:val="center"/>
            </w:pPr>
            <w:r>
              <w:rPr>
                <w:rFonts w:eastAsia="Times New Roman"/>
                <w:b/>
                <w:bCs/>
                <w:sz w:val="20"/>
                <w:szCs w:val="20"/>
              </w:rPr>
              <w:t>Europe</w:t>
            </w:r>
          </w:p>
        </w:tc>
        <w:tc>
          <w:tcPr>
            <w:tcW w:w="1500" w:type="dxa"/>
            <w:tcBorders>
              <w:top w:val="single" w:sz="1" w:space="0" w:color="AAAAAA"/>
              <w:left w:val="single" w:sz="1" w:space="0" w:color="AAAAAA"/>
              <w:bottom w:val="single" w:sz="1" w:space="0" w:color="AAAAAA"/>
              <w:right w:val="single" w:sz="1" w:space="0" w:color="AAAAAA"/>
            </w:tcBorders>
            <w:shd w:val="clear" w:color="auto" w:fill="D5E8F0"/>
            <w:vAlign w:val="center"/>
          </w:tcPr>
          <w:p w:rsidR="00FC0BB1" w:rsidRDefault="00000000">
            <w:pPr>
              <w:jc w:val="center"/>
            </w:pPr>
            <w:proofErr w:type="spellStart"/>
            <w:proofErr w:type="gramStart"/>
            <w:r>
              <w:rPr>
                <w:rFonts w:eastAsia="Times New Roman"/>
                <w:b/>
                <w:bCs/>
                <w:sz w:val="20"/>
                <w:szCs w:val="20"/>
              </w:rPr>
              <w:t>N.America</w:t>
            </w:r>
            <w:proofErr w:type="spellEnd"/>
            <w:proofErr w:type="gramEnd"/>
          </w:p>
        </w:tc>
        <w:tc>
          <w:tcPr>
            <w:tcW w:w="1500" w:type="dxa"/>
            <w:tcBorders>
              <w:top w:val="single" w:sz="1" w:space="0" w:color="AAAAAA"/>
              <w:left w:val="single" w:sz="1" w:space="0" w:color="AAAAAA"/>
              <w:bottom w:val="single" w:sz="1" w:space="0" w:color="AAAAAA"/>
              <w:right w:val="single" w:sz="1" w:space="0" w:color="AAAAAA"/>
            </w:tcBorders>
            <w:shd w:val="clear" w:color="auto" w:fill="D5E8F0"/>
            <w:vAlign w:val="center"/>
          </w:tcPr>
          <w:p w:rsidR="00FC0BB1" w:rsidRDefault="00000000">
            <w:pPr>
              <w:jc w:val="center"/>
            </w:pPr>
            <w:proofErr w:type="spellStart"/>
            <w:proofErr w:type="gramStart"/>
            <w:r>
              <w:rPr>
                <w:rFonts w:eastAsia="Times New Roman"/>
                <w:b/>
                <w:bCs/>
                <w:sz w:val="20"/>
                <w:szCs w:val="20"/>
              </w:rPr>
              <w:t>S.America</w:t>
            </w:r>
            <w:proofErr w:type="spellEnd"/>
            <w:proofErr w:type="gramEnd"/>
          </w:p>
        </w:tc>
        <w:tc>
          <w:tcPr>
            <w:tcW w:w="1500" w:type="dxa"/>
            <w:tcBorders>
              <w:top w:val="single" w:sz="1" w:space="0" w:color="AAAAAA"/>
              <w:left w:val="single" w:sz="1" w:space="0" w:color="AAAAAA"/>
              <w:bottom w:val="single" w:sz="1" w:space="0" w:color="AAAAAA"/>
              <w:right w:val="single" w:sz="1" w:space="0" w:color="AAAAAA"/>
            </w:tcBorders>
            <w:shd w:val="clear" w:color="auto" w:fill="D5E8F0"/>
            <w:vAlign w:val="center"/>
          </w:tcPr>
          <w:p w:rsidR="00FC0BB1" w:rsidRDefault="00000000">
            <w:pPr>
              <w:jc w:val="center"/>
            </w:pPr>
            <w:r>
              <w:rPr>
                <w:rFonts w:eastAsia="Times New Roman"/>
                <w:b/>
                <w:bCs/>
                <w:sz w:val="20"/>
                <w:szCs w:val="20"/>
              </w:rPr>
              <w:t>Africa</w:t>
            </w:r>
          </w:p>
        </w:tc>
        <w:tc>
          <w:tcPr>
            <w:tcW w:w="1500" w:type="dxa"/>
            <w:tcBorders>
              <w:top w:val="single" w:sz="1" w:space="0" w:color="AAAAAA"/>
              <w:left w:val="single" w:sz="1" w:space="0" w:color="AAAAAA"/>
              <w:bottom w:val="single" w:sz="1" w:space="0" w:color="AAAAAA"/>
              <w:right w:val="single" w:sz="1" w:space="0" w:color="AAAAAA"/>
            </w:tcBorders>
            <w:shd w:val="clear" w:color="auto" w:fill="D5E8F0"/>
            <w:vAlign w:val="center"/>
          </w:tcPr>
          <w:p w:rsidR="00FC0BB1" w:rsidRDefault="00000000">
            <w:pPr>
              <w:jc w:val="center"/>
            </w:pPr>
            <w:r>
              <w:rPr>
                <w:rFonts w:eastAsia="Times New Roman"/>
                <w:b/>
                <w:bCs/>
                <w:sz w:val="20"/>
                <w:szCs w:val="20"/>
              </w:rPr>
              <w:t>Oceania</w:t>
            </w:r>
          </w:p>
        </w:tc>
      </w:tr>
      <w:tr w:rsidR="00FC0BB1">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Expert 1</w:t>
            </w:r>
          </w:p>
        </w:tc>
        <w:tc>
          <w:tcPr>
            <w:tcW w:w="15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0.95</w:t>
            </w:r>
          </w:p>
        </w:tc>
        <w:tc>
          <w:tcPr>
            <w:tcW w:w="15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0.24</w:t>
            </w:r>
          </w:p>
        </w:tc>
        <w:tc>
          <w:tcPr>
            <w:tcW w:w="15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0.27</w:t>
            </w:r>
          </w:p>
        </w:tc>
        <w:tc>
          <w:tcPr>
            <w:tcW w:w="15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0.25</w:t>
            </w:r>
          </w:p>
        </w:tc>
        <w:tc>
          <w:tcPr>
            <w:tcW w:w="15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0.40</w:t>
            </w:r>
          </w:p>
        </w:tc>
        <w:tc>
          <w:tcPr>
            <w:tcW w:w="15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0.37</w:t>
            </w:r>
          </w:p>
        </w:tc>
      </w:tr>
      <w:tr w:rsidR="00FC0BB1">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Expert 2</w:t>
            </w:r>
          </w:p>
        </w:tc>
        <w:tc>
          <w:tcPr>
            <w:tcW w:w="15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0.25</w:t>
            </w:r>
          </w:p>
        </w:tc>
        <w:tc>
          <w:tcPr>
            <w:tcW w:w="15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0.96</w:t>
            </w:r>
          </w:p>
        </w:tc>
        <w:tc>
          <w:tcPr>
            <w:tcW w:w="15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0.85</w:t>
            </w:r>
          </w:p>
        </w:tc>
        <w:tc>
          <w:tcPr>
            <w:tcW w:w="15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0.63</w:t>
            </w:r>
          </w:p>
        </w:tc>
        <w:tc>
          <w:tcPr>
            <w:tcW w:w="15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0.17</w:t>
            </w:r>
          </w:p>
        </w:tc>
        <w:tc>
          <w:tcPr>
            <w:tcW w:w="15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0.84</w:t>
            </w:r>
          </w:p>
        </w:tc>
      </w:tr>
      <w:tr w:rsidR="00FC0BB1">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Expert 3</w:t>
            </w:r>
          </w:p>
        </w:tc>
        <w:tc>
          <w:tcPr>
            <w:tcW w:w="15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0.10</w:t>
            </w:r>
          </w:p>
        </w:tc>
        <w:tc>
          <w:tcPr>
            <w:tcW w:w="15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0.15</w:t>
            </w:r>
          </w:p>
        </w:tc>
        <w:tc>
          <w:tcPr>
            <w:tcW w:w="15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0.31</w:t>
            </w:r>
          </w:p>
        </w:tc>
        <w:tc>
          <w:tcPr>
            <w:tcW w:w="15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0.93</w:t>
            </w:r>
          </w:p>
        </w:tc>
        <w:tc>
          <w:tcPr>
            <w:tcW w:w="15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0.89</w:t>
            </w:r>
          </w:p>
        </w:tc>
        <w:tc>
          <w:tcPr>
            <w:tcW w:w="15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0.30</w:t>
            </w:r>
          </w:p>
        </w:tc>
      </w:tr>
      <w:tr w:rsidR="00FC0BB1">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Expert 4</w:t>
            </w:r>
          </w:p>
        </w:tc>
        <w:tc>
          <w:tcPr>
            <w:tcW w:w="15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0.70</w:t>
            </w:r>
          </w:p>
        </w:tc>
        <w:tc>
          <w:tcPr>
            <w:tcW w:w="15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0.65</w:t>
            </w:r>
          </w:p>
        </w:tc>
        <w:tc>
          <w:tcPr>
            <w:tcW w:w="15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0.57</w:t>
            </w:r>
          </w:p>
        </w:tc>
        <w:tc>
          <w:tcPr>
            <w:tcW w:w="15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0.19</w:t>
            </w:r>
          </w:p>
        </w:tc>
        <w:tc>
          <w:tcPr>
            <w:tcW w:w="15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0.54</w:t>
            </w:r>
          </w:p>
        </w:tc>
        <w:tc>
          <w:tcPr>
            <w:tcW w:w="15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0.49</w:t>
            </w:r>
          </w:p>
        </w:tc>
      </w:tr>
      <w:tr w:rsidR="00FC0BB1">
        <w:tblPrEx>
          <w:tblCellMar>
            <w:top w:w="0" w:type="dxa"/>
            <w:bottom w:w="0" w:type="dxa"/>
          </w:tblCellMar>
        </w:tblPrEx>
        <w:tc>
          <w:tcPr>
            <w:tcW w:w="10500" w:type="dxa"/>
            <w:tcBorders>
              <w:top w:val="single" w:sz="1" w:space="0" w:color="AAAAAA"/>
              <w:left w:val="single" w:sz="1" w:space="0" w:color="AAAAAA"/>
              <w:bottom w:val="single" w:sz="1" w:space="0" w:color="AAAAAA"/>
              <w:right w:val="single" w:sz="1" w:space="0" w:color="AAAAAA"/>
            </w:tcBorders>
            <w:shd w:val="clear" w:color="auto" w:fill="F2F2F2"/>
          </w:tcPr>
          <w:p w:rsidR="00FC0BB1" w:rsidRDefault="00000000">
            <w:r>
              <w:rPr>
                <w:rFonts w:eastAsia="Times New Roman"/>
                <w:b/>
                <w:bCs/>
                <w:color w:val="1F3864"/>
                <w:sz w:val="20"/>
                <w:szCs w:val="20"/>
              </w:rPr>
              <w:t xml:space="preserve">Expert × Region Activation Ratio — w/o </w:t>
            </w:r>
            <w:r>
              <w:rPr>
                <w:rFonts w:eastAsia="Times New Roman"/>
                <w:b/>
                <w:bCs/>
                <w:color w:val="1F3864"/>
                <w:sz w:val="20"/>
                <w:szCs w:val="20"/>
              </w:rPr>
              <w:lastRenderedPageBreak/>
              <w:t>CRL (control, Llama backbone)</w:t>
            </w:r>
          </w:p>
        </w:tc>
        <w:tc>
          <w:tcPr>
            <w:tcW w:w="0" w:type="dxa"/>
            <w:tcBorders>
              <w:top w:val="single" w:sz="1" w:space="0" w:color="AAAAAA"/>
              <w:left w:val="single" w:sz="1" w:space="0" w:color="AAAAAA"/>
              <w:bottom w:val="single" w:sz="1" w:space="0" w:color="AAAAAA"/>
              <w:right w:val="single" w:sz="1" w:space="0" w:color="AAAAAA"/>
            </w:tcBorders>
          </w:tcPr>
          <w:p w:rsidR="00FC0BB1" w:rsidRDefault="00FC0BB1"/>
        </w:tc>
        <w:tc>
          <w:tcPr>
            <w:tcW w:w="0" w:type="dxa"/>
            <w:tcBorders>
              <w:top w:val="single" w:sz="1" w:space="0" w:color="AAAAAA"/>
              <w:left w:val="single" w:sz="1" w:space="0" w:color="AAAAAA"/>
              <w:bottom w:val="single" w:sz="1" w:space="0" w:color="AAAAAA"/>
              <w:right w:val="single" w:sz="1" w:space="0" w:color="AAAAAA"/>
            </w:tcBorders>
          </w:tcPr>
          <w:p w:rsidR="00FC0BB1" w:rsidRDefault="00FC0BB1"/>
        </w:tc>
        <w:tc>
          <w:tcPr>
            <w:tcW w:w="0" w:type="dxa"/>
            <w:tcBorders>
              <w:top w:val="single" w:sz="1" w:space="0" w:color="AAAAAA"/>
              <w:left w:val="single" w:sz="1" w:space="0" w:color="AAAAAA"/>
              <w:bottom w:val="single" w:sz="1" w:space="0" w:color="AAAAAA"/>
              <w:right w:val="single" w:sz="1" w:space="0" w:color="AAAAAA"/>
            </w:tcBorders>
          </w:tcPr>
          <w:p w:rsidR="00FC0BB1" w:rsidRDefault="00FC0BB1"/>
        </w:tc>
        <w:tc>
          <w:tcPr>
            <w:tcW w:w="0" w:type="dxa"/>
            <w:tcBorders>
              <w:top w:val="single" w:sz="1" w:space="0" w:color="AAAAAA"/>
              <w:left w:val="single" w:sz="1" w:space="0" w:color="AAAAAA"/>
              <w:bottom w:val="single" w:sz="1" w:space="0" w:color="AAAAAA"/>
              <w:right w:val="single" w:sz="1" w:space="0" w:color="AAAAAA"/>
            </w:tcBorders>
          </w:tcPr>
          <w:p w:rsidR="00FC0BB1" w:rsidRDefault="00FC0BB1"/>
        </w:tc>
        <w:tc>
          <w:tcPr>
            <w:tcW w:w="0" w:type="dxa"/>
            <w:tcBorders>
              <w:top w:val="single" w:sz="1" w:space="0" w:color="AAAAAA"/>
              <w:left w:val="single" w:sz="1" w:space="0" w:color="AAAAAA"/>
              <w:bottom w:val="single" w:sz="1" w:space="0" w:color="AAAAAA"/>
              <w:right w:val="single" w:sz="1" w:space="0" w:color="AAAAAA"/>
            </w:tcBorders>
          </w:tcPr>
          <w:p w:rsidR="00FC0BB1" w:rsidRDefault="00FC0BB1"/>
        </w:tc>
        <w:tc>
          <w:tcPr>
            <w:tcW w:w="0" w:type="dxa"/>
            <w:tcBorders>
              <w:top w:val="single" w:sz="1" w:space="0" w:color="AAAAAA"/>
              <w:left w:val="single" w:sz="1" w:space="0" w:color="AAAAAA"/>
              <w:bottom w:val="single" w:sz="1" w:space="0" w:color="AAAAAA"/>
              <w:right w:val="single" w:sz="1" w:space="0" w:color="AAAAAA"/>
            </w:tcBorders>
          </w:tcPr>
          <w:p w:rsidR="00FC0BB1" w:rsidRDefault="00FC0BB1"/>
        </w:tc>
      </w:tr>
      <w:tr w:rsidR="00FC0BB1">
        <w:tblPrEx>
          <w:tblCellMar>
            <w:top w:w="0" w:type="dxa"/>
            <w:bottom w:w="0" w:type="dxa"/>
          </w:tblCellMar>
        </w:tblPrEx>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D5E8F0"/>
            <w:vAlign w:val="center"/>
          </w:tcPr>
          <w:p w:rsidR="00FC0BB1" w:rsidRDefault="00000000">
            <w:pPr>
              <w:jc w:val="center"/>
            </w:pPr>
            <w:r>
              <w:rPr>
                <w:rFonts w:eastAsia="Times New Roman"/>
                <w:b/>
                <w:bCs/>
                <w:sz w:val="20"/>
                <w:szCs w:val="20"/>
              </w:rPr>
              <w:t>Expert</w:t>
            </w:r>
          </w:p>
        </w:tc>
        <w:tc>
          <w:tcPr>
            <w:tcW w:w="1500" w:type="dxa"/>
            <w:tcBorders>
              <w:top w:val="single" w:sz="1" w:space="0" w:color="AAAAAA"/>
              <w:left w:val="single" w:sz="1" w:space="0" w:color="AAAAAA"/>
              <w:bottom w:val="single" w:sz="1" w:space="0" w:color="AAAAAA"/>
              <w:right w:val="single" w:sz="1" w:space="0" w:color="AAAAAA"/>
            </w:tcBorders>
            <w:shd w:val="clear" w:color="auto" w:fill="D5E8F0"/>
            <w:vAlign w:val="center"/>
          </w:tcPr>
          <w:p w:rsidR="00FC0BB1" w:rsidRDefault="00000000">
            <w:pPr>
              <w:jc w:val="center"/>
            </w:pPr>
            <w:r>
              <w:rPr>
                <w:rFonts w:eastAsia="Times New Roman"/>
                <w:b/>
                <w:bCs/>
                <w:sz w:val="20"/>
                <w:szCs w:val="20"/>
              </w:rPr>
              <w:t>Asia</w:t>
            </w:r>
          </w:p>
        </w:tc>
        <w:tc>
          <w:tcPr>
            <w:tcW w:w="1500" w:type="dxa"/>
            <w:tcBorders>
              <w:top w:val="single" w:sz="1" w:space="0" w:color="AAAAAA"/>
              <w:left w:val="single" w:sz="1" w:space="0" w:color="AAAAAA"/>
              <w:bottom w:val="single" w:sz="1" w:space="0" w:color="AAAAAA"/>
              <w:right w:val="single" w:sz="1" w:space="0" w:color="AAAAAA"/>
            </w:tcBorders>
            <w:shd w:val="clear" w:color="auto" w:fill="D5E8F0"/>
            <w:vAlign w:val="center"/>
          </w:tcPr>
          <w:p w:rsidR="00FC0BB1" w:rsidRDefault="00000000">
            <w:pPr>
              <w:jc w:val="center"/>
            </w:pPr>
            <w:r>
              <w:rPr>
                <w:rFonts w:eastAsia="Times New Roman"/>
                <w:b/>
                <w:bCs/>
                <w:sz w:val="20"/>
                <w:szCs w:val="20"/>
              </w:rPr>
              <w:t>Europe</w:t>
            </w:r>
          </w:p>
        </w:tc>
        <w:tc>
          <w:tcPr>
            <w:tcW w:w="1500" w:type="dxa"/>
            <w:tcBorders>
              <w:top w:val="single" w:sz="1" w:space="0" w:color="AAAAAA"/>
              <w:left w:val="single" w:sz="1" w:space="0" w:color="AAAAAA"/>
              <w:bottom w:val="single" w:sz="1" w:space="0" w:color="AAAAAA"/>
              <w:right w:val="single" w:sz="1" w:space="0" w:color="AAAAAA"/>
            </w:tcBorders>
            <w:shd w:val="clear" w:color="auto" w:fill="D5E8F0"/>
            <w:vAlign w:val="center"/>
          </w:tcPr>
          <w:p w:rsidR="00FC0BB1" w:rsidRDefault="00000000">
            <w:pPr>
              <w:jc w:val="center"/>
            </w:pPr>
            <w:proofErr w:type="spellStart"/>
            <w:proofErr w:type="gramStart"/>
            <w:r>
              <w:rPr>
                <w:rFonts w:eastAsia="Times New Roman"/>
                <w:b/>
                <w:bCs/>
                <w:sz w:val="20"/>
                <w:szCs w:val="20"/>
              </w:rPr>
              <w:t>N.America</w:t>
            </w:r>
            <w:proofErr w:type="spellEnd"/>
            <w:proofErr w:type="gramEnd"/>
          </w:p>
        </w:tc>
        <w:tc>
          <w:tcPr>
            <w:tcW w:w="1500" w:type="dxa"/>
            <w:tcBorders>
              <w:top w:val="single" w:sz="1" w:space="0" w:color="AAAAAA"/>
              <w:left w:val="single" w:sz="1" w:space="0" w:color="AAAAAA"/>
              <w:bottom w:val="single" w:sz="1" w:space="0" w:color="AAAAAA"/>
              <w:right w:val="single" w:sz="1" w:space="0" w:color="AAAAAA"/>
            </w:tcBorders>
            <w:shd w:val="clear" w:color="auto" w:fill="D5E8F0"/>
            <w:vAlign w:val="center"/>
          </w:tcPr>
          <w:p w:rsidR="00FC0BB1" w:rsidRDefault="00000000">
            <w:pPr>
              <w:jc w:val="center"/>
            </w:pPr>
            <w:proofErr w:type="spellStart"/>
            <w:proofErr w:type="gramStart"/>
            <w:r>
              <w:rPr>
                <w:rFonts w:eastAsia="Times New Roman"/>
                <w:b/>
                <w:bCs/>
                <w:sz w:val="20"/>
                <w:szCs w:val="20"/>
              </w:rPr>
              <w:t>S.America</w:t>
            </w:r>
            <w:proofErr w:type="spellEnd"/>
            <w:proofErr w:type="gramEnd"/>
          </w:p>
        </w:tc>
        <w:tc>
          <w:tcPr>
            <w:tcW w:w="1500" w:type="dxa"/>
            <w:tcBorders>
              <w:top w:val="single" w:sz="1" w:space="0" w:color="AAAAAA"/>
              <w:left w:val="single" w:sz="1" w:space="0" w:color="AAAAAA"/>
              <w:bottom w:val="single" w:sz="1" w:space="0" w:color="AAAAAA"/>
              <w:right w:val="single" w:sz="1" w:space="0" w:color="AAAAAA"/>
            </w:tcBorders>
            <w:shd w:val="clear" w:color="auto" w:fill="D5E8F0"/>
            <w:vAlign w:val="center"/>
          </w:tcPr>
          <w:p w:rsidR="00FC0BB1" w:rsidRDefault="00000000">
            <w:pPr>
              <w:jc w:val="center"/>
            </w:pPr>
            <w:r>
              <w:rPr>
                <w:rFonts w:eastAsia="Times New Roman"/>
                <w:b/>
                <w:bCs/>
                <w:sz w:val="20"/>
                <w:szCs w:val="20"/>
              </w:rPr>
              <w:t>Africa</w:t>
            </w:r>
          </w:p>
        </w:tc>
        <w:tc>
          <w:tcPr>
            <w:tcW w:w="1500" w:type="dxa"/>
            <w:tcBorders>
              <w:top w:val="single" w:sz="1" w:space="0" w:color="AAAAAA"/>
              <w:left w:val="single" w:sz="1" w:space="0" w:color="AAAAAA"/>
              <w:bottom w:val="single" w:sz="1" w:space="0" w:color="AAAAAA"/>
              <w:right w:val="single" w:sz="1" w:space="0" w:color="AAAAAA"/>
            </w:tcBorders>
            <w:shd w:val="clear" w:color="auto" w:fill="D5E8F0"/>
            <w:vAlign w:val="center"/>
          </w:tcPr>
          <w:p w:rsidR="00FC0BB1" w:rsidRDefault="00000000">
            <w:pPr>
              <w:jc w:val="center"/>
            </w:pPr>
            <w:r>
              <w:rPr>
                <w:rFonts w:eastAsia="Times New Roman"/>
                <w:b/>
                <w:bCs/>
                <w:sz w:val="20"/>
                <w:szCs w:val="20"/>
              </w:rPr>
              <w:t>Oceania</w:t>
            </w:r>
          </w:p>
        </w:tc>
      </w:tr>
      <w:tr w:rsidR="00FC0BB1">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Expert 1</w:t>
            </w:r>
          </w:p>
        </w:tc>
        <w:tc>
          <w:tcPr>
            <w:tcW w:w="15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0.72</w:t>
            </w:r>
          </w:p>
        </w:tc>
        <w:tc>
          <w:tcPr>
            <w:tcW w:w="15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0.45</w:t>
            </w:r>
          </w:p>
        </w:tc>
        <w:tc>
          <w:tcPr>
            <w:tcW w:w="15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0.31</w:t>
            </w:r>
          </w:p>
        </w:tc>
        <w:tc>
          <w:tcPr>
            <w:tcW w:w="15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0.43</w:t>
            </w:r>
          </w:p>
        </w:tc>
        <w:tc>
          <w:tcPr>
            <w:tcW w:w="15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0.51</w:t>
            </w:r>
          </w:p>
        </w:tc>
        <w:tc>
          <w:tcPr>
            <w:tcW w:w="15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0.42</w:t>
            </w:r>
          </w:p>
        </w:tc>
      </w:tr>
      <w:tr w:rsidR="00FC0BB1">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Expert 2</w:t>
            </w:r>
          </w:p>
        </w:tc>
        <w:tc>
          <w:tcPr>
            <w:tcW w:w="15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0.40</w:t>
            </w:r>
          </w:p>
        </w:tc>
        <w:tc>
          <w:tcPr>
            <w:tcW w:w="15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0.66</w:t>
            </w:r>
          </w:p>
        </w:tc>
        <w:tc>
          <w:tcPr>
            <w:tcW w:w="15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0.64</w:t>
            </w:r>
          </w:p>
        </w:tc>
        <w:tc>
          <w:tcPr>
            <w:tcW w:w="15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0.52</w:t>
            </w:r>
          </w:p>
        </w:tc>
        <w:tc>
          <w:tcPr>
            <w:tcW w:w="15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0.37</w:t>
            </w:r>
          </w:p>
        </w:tc>
        <w:tc>
          <w:tcPr>
            <w:tcW w:w="15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0.63</w:t>
            </w:r>
          </w:p>
        </w:tc>
      </w:tr>
      <w:tr w:rsidR="00FC0BB1">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Expert 3</w:t>
            </w:r>
          </w:p>
        </w:tc>
        <w:tc>
          <w:tcPr>
            <w:tcW w:w="15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0.42</w:t>
            </w:r>
          </w:p>
        </w:tc>
        <w:tc>
          <w:tcPr>
            <w:tcW w:w="15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0.29</w:t>
            </w:r>
          </w:p>
        </w:tc>
        <w:tc>
          <w:tcPr>
            <w:tcW w:w="15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0.63</w:t>
            </w:r>
          </w:p>
        </w:tc>
        <w:tc>
          <w:tcPr>
            <w:tcW w:w="15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0.67</w:t>
            </w:r>
          </w:p>
        </w:tc>
        <w:tc>
          <w:tcPr>
            <w:tcW w:w="15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0.65</w:t>
            </w:r>
          </w:p>
        </w:tc>
        <w:tc>
          <w:tcPr>
            <w:tcW w:w="15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0.47</w:t>
            </w:r>
          </w:p>
        </w:tc>
      </w:tr>
      <w:tr w:rsidR="00FC0BB1">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Expert 4</w:t>
            </w:r>
          </w:p>
        </w:tc>
        <w:tc>
          <w:tcPr>
            <w:tcW w:w="15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0.46</w:t>
            </w:r>
          </w:p>
        </w:tc>
        <w:tc>
          <w:tcPr>
            <w:tcW w:w="15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0.60</w:t>
            </w:r>
          </w:p>
        </w:tc>
        <w:tc>
          <w:tcPr>
            <w:tcW w:w="15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0.42</w:t>
            </w:r>
          </w:p>
        </w:tc>
        <w:tc>
          <w:tcPr>
            <w:tcW w:w="15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0.38</w:t>
            </w:r>
          </w:p>
        </w:tc>
        <w:tc>
          <w:tcPr>
            <w:tcW w:w="15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0.47</w:t>
            </w:r>
          </w:p>
        </w:tc>
        <w:tc>
          <w:tcPr>
            <w:tcW w:w="15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0.48</w:t>
            </w:r>
          </w:p>
        </w:tc>
      </w:tr>
    </w:tbl>
    <w:p w:rsidR="00FC0BB1" w:rsidRDefault="00000000">
      <w:pPr>
        <w:spacing w:before="60" w:after="60" w:line="340" w:lineRule="auto"/>
      </w:pPr>
      <w:r>
        <w:rPr>
          <w:rFonts w:ascii="宋体" w:eastAsia="宋体" w:hAnsi="宋体" w:cs="宋体"/>
        </w:rPr>
        <w:t xml:space="preserve">结论：完整 </w:t>
      </w:r>
      <w:proofErr w:type="spellStart"/>
      <w:r>
        <w:rPr>
          <w:rFonts w:ascii="宋体" w:eastAsia="宋体" w:hAnsi="宋体" w:cs="宋体"/>
        </w:rPr>
        <w:t>CulDPD</w:t>
      </w:r>
      <w:proofErr w:type="spellEnd"/>
      <w:r>
        <w:rPr>
          <w:rFonts w:ascii="宋体" w:eastAsia="宋体" w:hAnsi="宋体" w:cs="宋体"/>
        </w:rPr>
        <w:t xml:space="preserve"> 中每个专家呈现清晰的文化区域专精；w/o CRL 对照中激活比例聚集在 [0.29, 0.72] 无明显峰值，证明 CRL 是驱动专家文化专门化的关键损失组件。</w:t>
      </w:r>
    </w:p>
    <w:p w:rsidR="00FC0BB1" w:rsidRDefault="00000000">
      <w:pPr>
        <w:spacing w:before="60" w:after="60" w:line="340" w:lineRule="auto"/>
      </w:pPr>
      <w:r>
        <w:rPr>
          <w:rFonts w:ascii="宋体" w:eastAsia="宋体" w:hAnsi="宋体" w:cs="宋体"/>
        </w:rPr>
        <w:t>(2) 专家数量消融：N ∈ {1, 2, 3, 4, 5, 6}，激活专家数 top-k 同步调整。</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21"/>
        <w:gridCol w:w="1521"/>
        <w:gridCol w:w="1432"/>
        <w:gridCol w:w="1205"/>
        <w:gridCol w:w="1425"/>
      </w:tblGrid>
      <w:tr w:rsidR="00FC0BB1">
        <w:tblPrEx>
          <w:tblCellMar>
            <w:top w:w="0" w:type="dxa"/>
            <w:bottom w:w="0" w:type="dxa"/>
          </w:tblCellMar>
        </w:tblPrEx>
        <w:tc>
          <w:tcPr>
            <w:tcW w:w="8900" w:type="dxa"/>
            <w:tcBorders>
              <w:top w:val="single" w:sz="1" w:space="0" w:color="AAAAAA"/>
              <w:left w:val="single" w:sz="1" w:space="0" w:color="AAAAAA"/>
              <w:bottom w:val="single" w:sz="1" w:space="0" w:color="AAAAAA"/>
              <w:right w:val="single" w:sz="1" w:space="0" w:color="AAAAAA"/>
            </w:tcBorders>
            <w:shd w:val="clear" w:color="auto" w:fill="F2F2F2"/>
          </w:tcPr>
          <w:p w:rsidR="00FC0BB1" w:rsidRDefault="00000000">
            <w:r>
              <w:rPr>
                <w:rFonts w:eastAsia="Times New Roman"/>
                <w:b/>
                <w:bCs/>
                <w:color w:val="1F3864"/>
                <w:sz w:val="20"/>
                <w:szCs w:val="20"/>
              </w:rPr>
              <w:t>Expert-count ablation — Llama-3.1-8B backbone</w:t>
            </w:r>
          </w:p>
        </w:tc>
        <w:tc>
          <w:tcPr>
            <w:tcW w:w="0" w:type="dxa"/>
            <w:tcBorders>
              <w:top w:val="single" w:sz="1" w:space="0" w:color="AAAAAA"/>
              <w:left w:val="single" w:sz="1" w:space="0" w:color="AAAAAA"/>
              <w:bottom w:val="single" w:sz="1" w:space="0" w:color="AAAAAA"/>
              <w:right w:val="single" w:sz="1" w:space="0" w:color="AAAAAA"/>
            </w:tcBorders>
          </w:tcPr>
          <w:p w:rsidR="00FC0BB1" w:rsidRDefault="00FC0BB1"/>
        </w:tc>
        <w:tc>
          <w:tcPr>
            <w:tcW w:w="0" w:type="dxa"/>
            <w:tcBorders>
              <w:top w:val="single" w:sz="1" w:space="0" w:color="AAAAAA"/>
              <w:left w:val="single" w:sz="1" w:space="0" w:color="AAAAAA"/>
              <w:bottom w:val="single" w:sz="1" w:space="0" w:color="AAAAAA"/>
              <w:right w:val="single" w:sz="1" w:space="0" w:color="AAAAAA"/>
            </w:tcBorders>
          </w:tcPr>
          <w:p w:rsidR="00FC0BB1" w:rsidRDefault="00FC0BB1"/>
        </w:tc>
        <w:tc>
          <w:tcPr>
            <w:tcW w:w="0" w:type="dxa"/>
            <w:tcBorders>
              <w:top w:val="single" w:sz="1" w:space="0" w:color="AAAAAA"/>
              <w:left w:val="single" w:sz="1" w:space="0" w:color="AAAAAA"/>
              <w:bottom w:val="single" w:sz="1" w:space="0" w:color="AAAAAA"/>
              <w:right w:val="single" w:sz="1" w:space="0" w:color="AAAAAA"/>
            </w:tcBorders>
          </w:tcPr>
          <w:p w:rsidR="00FC0BB1" w:rsidRDefault="00FC0BB1"/>
        </w:tc>
        <w:tc>
          <w:tcPr>
            <w:tcW w:w="0" w:type="dxa"/>
            <w:tcBorders>
              <w:top w:val="single" w:sz="1" w:space="0" w:color="AAAAAA"/>
              <w:left w:val="single" w:sz="1" w:space="0" w:color="AAAAAA"/>
              <w:bottom w:val="single" w:sz="1" w:space="0" w:color="AAAAAA"/>
              <w:right w:val="single" w:sz="1" w:space="0" w:color="AAAAAA"/>
            </w:tcBorders>
          </w:tcPr>
          <w:p w:rsidR="00FC0BB1" w:rsidRDefault="00FC0BB1"/>
        </w:tc>
      </w:tr>
      <w:tr w:rsidR="00FC0BB1">
        <w:tblPrEx>
          <w:tblCellMar>
            <w:top w:w="0" w:type="dxa"/>
            <w:bottom w:w="0" w:type="dxa"/>
          </w:tblCellMar>
        </w:tblPrEx>
        <w:trPr>
          <w:tblHeader/>
        </w:trPr>
        <w:tc>
          <w:tcPr>
            <w:tcW w:w="1300" w:type="dxa"/>
            <w:tcBorders>
              <w:top w:val="single" w:sz="1" w:space="0" w:color="AAAAAA"/>
              <w:left w:val="single" w:sz="1" w:space="0" w:color="AAAAAA"/>
              <w:bottom w:val="single" w:sz="1" w:space="0" w:color="AAAAAA"/>
              <w:right w:val="single" w:sz="1" w:space="0" w:color="AAAAAA"/>
            </w:tcBorders>
            <w:shd w:val="clear" w:color="auto" w:fill="D5E8F0"/>
            <w:vAlign w:val="center"/>
          </w:tcPr>
          <w:p w:rsidR="00FC0BB1" w:rsidRDefault="00000000">
            <w:pPr>
              <w:jc w:val="center"/>
            </w:pPr>
            <w:r>
              <w:rPr>
                <w:rFonts w:eastAsia="Times New Roman"/>
                <w:b/>
                <w:bCs/>
                <w:sz w:val="20"/>
                <w:szCs w:val="20"/>
              </w:rPr>
              <w:t># Experts N</w:t>
            </w:r>
          </w:p>
        </w:tc>
        <w:tc>
          <w:tcPr>
            <w:tcW w:w="1900" w:type="dxa"/>
            <w:tcBorders>
              <w:top w:val="single" w:sz="1" w:space="0" w:color="AAAAAA"/>
              <w:left w:val="single" w:sz="1" w:space="0" w:color="AAAAAA"/>
              <w:bottom w:val="single" w:sz="1" w:space="0" w:color="AAAAAA"/>
              <w:right w:val="single" w:sz="1" w:space="0" w:color="AAAAAA"/>
            </w:tcBorders>
            <w:shd w:val="clear" w:color="auto" w:fill="D5E8F0"/>
            <w:vAlign w:val="center"/>
          </w:tcPr>
          <w:p w:rsidR="00FC0BB1" w:rsidRDefault="00000000">
            <w:pPr>
              <w:jc w:val="center"/>
            </w:pPr>
            <w:proofErr w:type="spellStart"/>
            <w:r>
              <w:rPr>
                <w:rFonts w:eastAsia="Times New Roman"/>
                <w:b/>
                <w:bCs/>
                <w:sz w:val="20"/>
                <w:szCs w:val="20"/>
              </w:rPr>
              <w:t>CulturalBench</w:t>
            </w:r>
            <w:proofErr w:type="spellEnd"/>
          </w:p>
        </w:tc>
        <w:tc>
          <w:tcPr>
            <w:tcW w:w="1900" w:type="dxa"/>
            <w:tcBorders>
              <w:top w:val="single" w:sz="1" w:space="0" w:color="AAAAAA"/>
              <w:left w:val="single" w:sz="1" w:space="0" w:color="AAAAAA"/>
              <w:bottom w:val="single" w:sz="1" w:space="0" w:color="AAAAAA"/>
              <w:right w:val="single" w:sz="1" w:space="0" w:color="AAAAAA"/>
            </w:tcBorders>
            <w:shd w:val="clear" w:color="auto" w:fill="D5E8F0"/>
            <w:vAlign w:val="center"/>
          </w:tcPr>
          <w:p w:rsidR="00FC0BB1" w:rsidRDefault="00000000">
            <w:pPr>
              <w:jc w:val="center"/>
            </w:pPr>
            <w:proofErr w:type="spellStart"/>
            <w:r>
              <w:rPr>
                <w:rFonts w:eastAsia="Times New Roman"/>
                <w:b/>
                <w:bCs/>
                <w:sz w:val="20"/>
                <w:szCs w:val="20"/>
              </w:rPr>
              <w:t>CultureLLM</w:t>
            </w:r>
            <w:proofErr w:type="spellEnd"/>
          </w:p>
        </w:tc>
        <w:tc>
          <w:tcPr>
            <w:tcW w:w="1900" w:type="dxa"/>
            <w:tcBorders>
              <w:top w:val="single" w:sz="1" w:space="0" w:color="AAAAAA"/>
              <w:left w:val="single" w:sz="1" w:space="0" w:color="AAAAAA"/>
              <w:bottom w:val="single" w:sz="1" w:space="0" w:color="AAAAAA"/>
              <w:right w:val="single" w:sz="1" w:space="0" w:color="AAAAAA"/>
            </w:tcBorders>
            <w:shd w:val="clear" w:color="auto" w:fill="D5E8F0"/>
            <w:vAlign w:val="center"/>
          </w:tcPr>
          <w:p w:rsidR="00FC0BB1" w:rsidRDefault="00000000">
            <w:pPr>
              <w:jc w:val="center"/>
            </w:pPr>
            <w:proofErr w:type="spellStart"/>
            <w:r>
              <w:rPr>
                <w:rFonts w:eastAsia="Times New Roman"/>
                <w:b/>
                <w:bCs/>
                <w:sz w:val="20"/>
                <w:szCs w:val="20"/>
              </w:rPr>
              <w:t>NormAd</w:t>
            </w:r>
            <w:proofErr w:type="spellEnd"/>
          </w:p>
        </w:tc>
        <w:tc>
          <w:tcPr>
            <w:tcW w:w="1900" w:type="dxa"/>
            <w:tcBorders>
              <w:top w:val="single" w:sz="1" w:space="0" w:color="AAAAAA"/>
              <w:left w:val="single" w:sz="1" w:space="0" w:color="AAAAAA"/>
              <w:bottom w:val="single" w:sz="1" w:space="0" w:color="AAAAAA"/>
              <w:right w:val="single" w:sz="1" w:space="0" w:color="AAAAAA"/>
            </w:tcBorders>
            <w:shd w:val="clear" w:color="auto" w:fill="D5E8F0"/>
            <w:vAlign w:val="center"/>
          </w:tcPr>
          <w:p w:rsidR="00FC0BB1" w:rsidRDefault="00000000">
            <w:pPr>
              <w:jc w:val="center"/>
            </w:pPr>
            <w:proofErr w:type="spellStart"/>
            <w:r>
              <w:rPr>
                <w:rFonts w:eastAsia="Times New Roman"/>
                <w:b/>
                <w:bCs/>
                <w:sz w:val="20"/>
                <w:szCs w:val="20"/>
              </w:rPr>
              <w:t>CultureAtlas</w:t>
            </w:r>
            <w:proofErr w:type="spellEnd"/>
          </w:p>
        </w:tc>
      </w:tr>
      <w:tr w:rsidR="00FC0BB1">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N=1</w:t>
            </w:r>
          </w:p>
        </w:tc>
        <w:tc>
          <w:tcPr>
            <w:tcW w:w="19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78.69</w:t>
            </w:r>
          </w:p>
        </w:tc>
        <w:tc>
          <w:tcPr>
            <w:tcW w:w="19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90.31</w:t>
            </w:r>
          </w:p>
        </w:tc>
        <w:tc>
          <w:tcPr>
            <w:tcW w:w="19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96.20</w:t>
            </w:r>
          </w:p>
        </w:tc>
        <w:tc>
          <w:tcPr>
            <w:tcW w:w="19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76.44</w:t>
            </w:r>
          </w:p>
        </w:tc>
      </w:tr>
      <w:tr w:rsidR="00FC0BB1">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N=2</w:t>
            </w:r>
          </w:p>
        </w:tc>
        <w:tc>
          <w:tcPr>
            <w:tcW w:w="19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80.33</w:t>
            </w:r>
          </w:p>
        </w:tc>
        <w:tc>
          <w:tcPr>
            <w:tcW w:w="19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90.91</w:t>
            </w:r>
          </w:p>
        </w:tc>
        <w:tc>
          <w:tcPr>
            <w:tcW w:w="19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96.58</w:t>
            </w:r>
          </w:p>
        </w:tc>
        <w:tc>
          <w:tcPr>
            <w:tcW w:w="19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77.01</w:t>
            </w:r>
          </w:p>
        </w:tc>
      </w:tr>
      <w:tr w:rsidR="00FC0BB1">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N=3</w:t>
            </w:r>
          </w:p>
        </w:tc>
        <w:tc>
          <w:tcPr>
            <w:tcW w:w="19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80.33</w:t>
            </w:r>
          </w:p>
        </w:tc>
        <w:tc>
          <w:tcPr>
            <w:tcW w:w="19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91.01</w:t>
            </w:r>
          </w:p>
        </w:tc>
        <w:tc>
          <w:tcPr>
            <w:tcW w:w="19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97.34</w:t>
            </w:r>
          </w:p>
        </w:tc>
        <w:tc>
          <w:tcPr>
            <w:tcW w:w="19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78.74</w:t>
            </w:r>
          </w:p>
        </w:tc>
      </w:tr>
      <w:tr w:rsidR="00FC0BB1">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N=4 (default)</w:t>
            </w:r>
          </w:p>
        </w:tc>
        <w:tc>
          <w:tcPr>
            <w:tcW w:w="19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82.46</w:t>
            </w:r>
          </w:p>
        </w:tc>
        <w:tc>
          <w:tcPr>
            <w:tcW w:w="19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91.43</w:t>
            </w:r>
          </w:p>
        </w:tc>
        <w:tc>
          <w:tcPr>
            <w:tcW w:w="19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99.24</w:t>
            </w:r>
          </w:p>
        </w:tc>
        <w:tc>
          <w:tcPr>
            <w:tcW w:w="19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78.86</w:t>
            </w:r>
          </w:p>
        </w:tc>
      </w:tr>
      <w:tr w:rsidR="00FC0BB1">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N=5</w:t>
            </w:r>
          </w:p>
        </w:tc>
        <w:tc>
          <w:tcPr>
            <w:tcW w:w="19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83.61</w:t>
            </w:r>
          </w:p>
        </w:tc>
        <w:tc>
          <w:tcPr>
            <w:tcW w:w="19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90.11</w:t>
            </w:r>
          </w:p>
        </w:tc>
        <w:tc>
          <w:tcPr>
            <w:tcW w:w="19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98.10</w:t>
            </w:r>
          </w:p>
        </w:tc>
        <w:tc>
          <w:tcPr>
            <w:tcW w:w="19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78.74</w:t>
            </w:r>
          </w:p>
        </w:tc>
      </w:tr>
      <w:tr w:rsidR="00FC0BB1">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N=6</w:t>
            </w:r>
          </w:p>
        </w:tc>
        <w:tc>
          <w:tcPr>
            <w:tcW w:w="19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82.79</w:t>
            </w:r>
          </w:p>
        </w:tc>
        <w:tc>
          <w:tcPr>
            <w:tcW w:w="19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90.31</w:t>
            </w:r>
          </w:p>
        </w:tc>
        <w:tc>
          <w:tcPr>
            <w:tcW w:w="19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98.48</w:t>
            </w:r>
          </w:p>
        </w:tc>
        <w:tc>
          <w:tcPr>
            <w:tcW w:w="19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78.16</w:t>
            </w:r>
          </w:p>
        </w:tc>
      </w:tr>
      <w:tr w:rsidR="00FC0BB1">
        <w:tblPrEx>
          <w:tblCellMar>
            <w:top w:w="0" w:type="dxa"/>
            <w:bottom w:w="0" w:type="dxa"/>
          </w:tblCellMar>
        </w:tblPrEx>
        <w:tc>
          <w:tcPr>
            <w:tcW w:w="8900" w:type="dxa"/>
            <w:tcBorders>
              <w:top w:val="single" w:sz="1" w:space="0" w:color="AAAAAA"/>
              <w:left w:val="single" w:sz="1" w:space="0" w:color="AAAAAA"/>
              <w:bottom w:val="single" w:sz="1" w:space="0" w:color="AAAAAA"/>
              <w:right w:val="single" w:sz="1" w:space="0" w:color="AAAAAA"/>
            </w:tcBorders>
            <w:shd w:val="clear" w:color="auto" w:fill="F2F2F2"/>
          </w:tcPr>
          <w:p w:rsidR="00FC0BB1" w:rsidRDefault="00000000">
            <w:r>
              <w:rPr>
                <w:rFonts w:eastAsia="Times New Roman"/>
                <w:b/>
                <w:bCs/>
                <w:color w:val="1F3864"/>
                <w:sz w:val="20"/>
                <w:szCs w:val="20"/>
              </w:rPr>
              <w:t>Expert-count ablation — Qwen2.5-7B backbone</w:t>
            </w:r>
          </w:p>
        </w:tc>
        <w:tc>
          <w:tcPr>
            <w:tcW w:w="0" w:type="dxa"/>
            <w:tcBorders>
              <w:top w:val="single" w:sz="1" w:space="0" w:color="AAAAAA"/>
              <w:left w:val="single" w:sz="1" w:space="0" w:color="AAAAAA"/>
              <w:bottom w:val="single" w:sz="1" w:space="0" w:color="AAAAAA"/>
              <w:right w:val="single" w:sz="1" w:space="0" w:color="AAAAAA"/>
            </w:tcBorders>
          </w:tcPr>
          <w:p w:rsidR="00FC0BB1" w:rsidRDefault="00FC0BB1"/>
        </w:tc>
        <w:tc>
          <w:tcPr>
            <w:tcW w:w="0" w:type="dxa"/>
            <w:tcBorders>
              <w:top w:val="single" w:sz="1" w:space="0" w:color="AAAAAA"/>
              <w:left w:val="single" w:sz="1" w:space="0" w:color="AAAAAA"/>
              <w:bottom w:val="single" w:sz="1" w:space="0" w:color="AAAAAA"/>
              <w:right w:val="single" w:sz="1" w:space="0" w:color="AAAAAA"/>
            </w:tcBorders>
          </w:tcPr>
          <w:p w:rsidR="00FC0BB1" w:rsidRDefault="00FC0BB1"/>
        </w:tc>
        <w:tc>
          <w:tcPr>
            <w:tcW w:w="0" w:type="dxa"/>
            <w:tcBorders>
              <w:top w:val="single" w:sz="1" w:space="0" w:color="AAAAAA"/>
              <w:left w:val="single" w:sz="1" w:space="0" w:color="AAAAAA"/>
              <w:bottom w:val="single" w:sz="1" w:space="0" w:color="AAAAAA"/>
              <w:right w:val="single" w:sz="1" w:space="0" w:color="AAAAAA"/>
            </w:tcBorders>
          </w:tcPr>
          <w:p w:rsidR="00FC0BB1" w:rsidRDefault="00FC0BB1"/>
        </w:tc>
        <w:tc>
          <w:tcPr>
            <w:tcW w:w="0" w:type="dxa"/>
            <w:tcBorders>
              <w:top w:val="single" w:sz="1" w:space="0" w:color="AAAAAA"/>
              <w:left w:val="single" w:sz="1" w:space="0" w:color="AAAAAA"/>
              <w:bottom w:val="single" w:sz="1" w:space="0" w:color="AAAAAA"/>
              <w:right w:val="single" w:sz="1" w:space="0" w:color="AAAAAA"/>
            </w:tcBorders>
          </w:tcPr>
          <w:p w:rsidR="00FC0BB1" w:rsidRDefault="00FC0BB1"/>
        </w:tc>
      </w:tr>
      <w:tr w:rsidR="00FC0BB1">
        <w:tblPrEx>
          <w:tblCellMar>
            <w:top w:w="0" w:type="dxa"/>
            <w:bottom w:w="0" w:type="dxa"/>
          </w:tblCellMar>
        </w:tblPrEx>
        <w:trPr>
          <w:tblHeader/>
        </w:trPr>
        <w:tc>
          <w:tcPr>
            <w:tcW w:w="1300" w:type="dxa"/>
            <w:tcBorders>
              <w:top w:val="single" w:sz="1" w:space="0" w:color="AAAAAA"/>
              <w:left w:val="single" w:sz="1" w:space="0" w:color="AAAAAA"/>
              <w:bottom w:val="single" w:sz="1" w:space="0" w:color="AAAAAA"/>
              <w:right w:val="single" w:sz="1" w:space="0" w:color="AAAAAA"/>
            </w:tcBorders>
            <w:shd w:val="clear" w:color="auto" w:fill="D5E8F0"/>
            <w:vAlign w:val="center"/>
          </w:tcPr>
          <w:p w:rsidR="00FC0BB1" w:rsidRDefault="00000000">
            <w:pPr>
              <w:jc w:val="center"/>
            </w:pPr>
            <w:r>
              <w:rPr>
                <w:rFonts w:eastAsia="Times New Roman"/>
                <w:b/>
                <w:bCs/>
                <w:sz w:val="20"/>
                <w:szCs w:val="20"/>
              </w:rPr>
              <w:t># Experts N</w:t>
            </w:r>
          </w:p>
        </w:tc>
        <w:tc>
          <w:tcPr>
            <w:tcW w:w="1900" w:type="dxa"/>
            <w:tcBorders>
              <w:top w:val="single" w:sz="1" w:space="0" w:color="AAAAAA"/>
              <w:left w:val="single" w:sz="1" w:space="0" w:color="AAAAAA"/>
              <w:bottom w:val="single" w:sz="1" w:space="0" w:color="AAAAAA"/>
              <w:right w:val="single" w:sz="1" w:space="0" w:color="AAAAAA"/>
            </w:tcBorders>
            <w:shd w:val="clear" w:color="auto" w:fill="D5E8F0"/>
            <w:vAlign w:val="center"/>
          </w:tcPr>
          <w:p w:rsidR="00FC0BB1" w:rsidRDefault="00000000">
            <w:pPr>
              <w:jc w:val="center"/>
            </w:pPr>
            <w:proofErr w:type="spellStart"/>
            <w:r>
              <w:rPr>
                <w:rFonts w:eastAsia="Times New Roman"/>
                <w:b/>
                <w:bCs/>
                <w:sz w:val="20"/>
                <w:szCs w:val="20"/>
              </w:rPr>
              <w:t>CulturalBench</w:t>
            </w:r>
            <w:proofErr w:type="spellEnd"/>
          </w:p>
        </w:tc>
        <w:tc>
          <w:tcPr>
            <w:tcW w:w="1900" w:type="dxa"/>
            <w:tcBorders>
              <w:top w:val="single" w:sz="1" w:space="0" w:color="AAAAAA"/>
              <w:left w:val="single" w:sz="1" w:space="0" w:color="AAAAAA"/>
              <w:bottom w:val="single" w:sz="1" w:space="0" w:color="AAAAAA"/>
              <w:right w:val="single" w:sz="1" w:space="0" w:color="AAAAAA"/>
            </w:tcBorders>
            <w:shd w:val="clear" w:color="auto" w:fill="D5E8F0"/>
            <w:vAlign w:val="center"/>
          </w:tcPr>
          <w:p w:rsidR="00FC0BB1" w:rsidRDefault="00000000">
            <w:pPr>
              <w:jc w:val="center"/>
            </w:pPr>
            <w:proofErr w:type="spellStart"/>
            <w:r>
              <w:rPr>
                <w:rFonts w:eastAsia="Times New Roman"/>
                <w:b/>
                <w:bCs/>
                <w:sz w:val="20"/>
                <w:szCs w:val="20"/>
              </w:rPr>
              <w:t>CultureLLM</w:t>
            </w:r>
            <w:proofErr w:type="spellEnd"/>
          </w:p>
        </w:tc>
        <w:tc>
          <w:tcPr>
            <w:tcW w:w="1900" w:type="dxa"/>
            <w:tcBorders>
              <w:top w:val="single" w:sz="1" w:space="0" w:color="AAAAAA"/>
              <w:left w:val="single" w:sz="1" w:space="0" w:color="AAAAAA"/>
              <w:bottom w:val="single" w:sz="1" w:space="0" w:color="AAAAAA"/>
              <w:right w:val="single" w:sz="1" w:space="0" w:color="AAAAAA"/>
            </w:tcBorders>
            <w:shd w:val="clear" w:color="auto" w:fill="D5E8F0"/>
            <w:vAlign w:val="center"/>
          </w:tcPr>
          <w:p w:rsidR="00FC0BB1" w:rsidRDefault="00000000">
            <w:pPr>
              <w:jc w:val="center"/>
            </w:pPr>
            <w:proofErr w:type="spellStart"/>
            <w:r>
              <w:rPr>
                <w:rFonts w:eastAsia="Times New Roman"/>
                <w:b/>
                <w:bCs/>
                <w:sz w:val="20"/>
                <w:szCs w:val="20"/>
              </w:rPr>
              <w:t>NormAd</w:t>
            </w:r>
            <w:proofErr w:type="spellEnd"/>
          </w:p>
        </w:tc>
        <w:tc>
          <w:tcPr>
            <w:tcW w:w="1900" w:type="dxa"/>
            <w:tcBorders>
              <w:top w:val="single" w:sz="1" w:space="0" w:color="AAAAAA"/>
              <w:left w:val="single" w:sz="1" w:space="0" w:color="AAAAAA"/>
              <w:bottom w:val="single" w:sz="1" w:space="0" w:color="AAAAAA"/>
              <w:right w:val="single" w:sz="1" w:space="0" w:color="AAAAAA"/>
            </w:tcBorders>
            <w:shd w:val="clear" w:color="auto" w:fill="D5E8F0"/>
            <w:vAlign w:val="center"/>
          </w:tcPr>
          <w:p w:rsidR="00FC0BB1" w:rsidRDefault="00000000">
            <w:pPr>
              <w:jc w:val="center"/>
            </w:pPr>
            <w:proofErr w:type="spellStart"/>
            <w:r>
              <w:rPr>
                <w:rFonts w:eastAsia="Times New Roman"/>
                <w:b/>
                <w:bCs/>
                <w:sz w:val="20"/>
                <w:szCs w:val="20"/>
              </w:rPr>
              <w:t>CultureAtlas</w:t>
            </w:r>
            <w:proofErr w:type="spellEnd"/>
          </w:p>
        </w:tc>
      </w:tr>
      <w:tr w:rsidR="00FC0BB1">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N=1</w:t>
            </w:r>
          </w:p>
        </w:tc>
        <w:tc>
          <w:tcPr>
            <w:tcW w:w="19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79.51</w:t>
            </w:r>
          </w:p>
        </w:tc>
        <w:tc>
          <w:tcPr>
            <w:tcW w:w="19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91.61</w:t>
            </w:r>
          </w:p>
        </w:tc>
        <w:tc>
          <w:tcPr>
            <w:tcW w:w="19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96.58</w:t>
            </w:r>
          </w:p>
        </w:tc>
        <w:tc>
          <w:tcPr>
            <w:tcW w:w="19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78.16</w:t>
            </w:r>
          </w:p>
        </w:tc>
      </w:tr>
      <w:tr w:rsidR="00FC0BB1">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N=2</w:t>
            </w:r>
          </w:p>
        </w:tc>
        <w:tc>
          <w:tcPr>
            <w:tcW w:w="19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80.33</w:t>
            </w:r>
          </w:p>
        </w:tc>
        <w:tc>
          <w:tcPr>
            <w:tcW w:w="19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91.71</w:t>
            </w:r>
          </w:p>
        </w:tc>
        <w:tc>
          <w:tcPr>
            <w:tcW w:w="19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96.96</w:t>
            </w:r>
          </w:p>
        </w:tc>
        <w:tc>
          <w:tcPr>
            <w:tcW w:w="19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79.31</w:t>
            </w:r>
          </w:p>
        </w:tc>
      </w:tr>
      <w:tr w:rsidR="00FC0BB1">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N=3</w:t>
            </w:r>
          </w:p>
        </w:tc>
        <w:tc>
          <w:tcPr>
            <w:tcW w:w="19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83.61</w:t>
            </w:r>
          </w:p>
        </w:tc>
        <w:tc>
          <w:tcPr>
            <w:tcW w:w="19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92.01</w:t>
            </w:r>
          </w:p>
        </w:tc>
        <w:tc>
          <w:tcPr>
            <w:tcW w:w="19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98.10</w:t>
            </w:r>
          </w:p>
        </w:tc>
        <w:tc>
          <w:tcPr>
            <w:tcW w:w="19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81.03</w:t>
            </w:r>
          </w:p>
        </w:tc>
      </w:tr>
      <w:tr w:rsidR="00FC0BB1">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N=4 (default)</w:t>
            </w:r>
          </w:p>
        </w:tc>
        <w:tc>
          <w:tcPr>
            <w:tcW w:w="19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83.94</w:t>
            </w:r>
          </w:p>
        </w:tc>
        <w:tc>
          <w:tcPr>
            <w:tcW w:w="19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92.83</w:t>
            </w:r>
          </w:p>
        </w:tc>
        <w:tc>
          <w:tcPr>
            <w:tcW w:w="19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98.86</w:t>
            </w:r>
          </w:p>
        </w:tc>
        <w:tc>
          <w:tcPr>
            <w:tcW w:w="19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81.71</w:t>
            </w:r>
          </w:p>
        </w:tc>
      </w:tr>
      <w:tr w:rsidR="00FC0BB1">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N=5</w:t>
            </w:r>
          </w:p>
        </w:tc>
        <w:tc>
          <w:tcPr>
            <w:tcW w:w="19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84.43</w:t>
            </w:r>
          </w:p>
        </w:tc>
        <w:tc>
          <w:tcPr>
            <w:tcW w:w="19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92.71</w:t>
            </w:r>
          </w:p>
        </w:tc>
        <w:tc>
          <w:tcPr>
            <w:tcW w:w="19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98.86</w:t>
            </w:r>
          </w:p>
        </w:tc>
        <w:tc>
          <w:tcPr>
            <w:tcW w:w="19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81.61</w:t>
            </w:r>
          </w:p>
        </w:tc>
      </w:tr>
      <w:tr w:rsidR="00FC0BB1">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N=6</w:t>
            </w:r>
          </w:p>
        </w:tc>
        <w:tc>
          <w:tcPr>
            <w:tcW w:w="19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83.61</w:t>
            </w:r>
          </w:p>
        </w:tc>
        <w:tc>
          <w:tcPr>
            <w:tcW w:w="1900" w:type="dxa"/>
            <w:tcBorders>
              <w:top w:val="single" w:sz="1" w:space="0" w:color="AAAAAA"/>
              <w:left w:val="single" w:sz="1" w:space="0" w:color="AAAAAA"/>
              <w:bottom w:val="single" w:sz="1" w:space="0" w:color="AAAAAA"/>
              <w:right w:val="single" w:sz="1" w:space="0" w:color="AAAAAA"/>
            </w:tcBorders>
            <w:shd w:val="clear" w:color="auto" w:fill="FFF2CC"/>
            <w:vAlign w:val="center"/>
          </w:tcPr>
          <w:p w:rsidR="00FC0BB1" w:rsidRDefault="00000000">
            <w:pPr>
              <w:jc w:val="center"/>
            </w:pPr>
            <w:r>
              <w:rPr>
                <w:rFonts w:eastAsia="Times New Roman"/>
                <w:i/>
                <w:iCs/>
                <w:color w:val="C00000"/>
                <w:sz w:val="20"/>
                <w:szCs w:val="20"/>
              </w:rPr>
              <w:t>__</w:t>
            </w:r>
          </w:p>
        </w:tc>
        <w:tc>
          <w:tcPr>
            <w:tcW w:w="1900" w:type="dxa"/>
            <w:tcBorders>
              <w:top w:val="single" w:sz="1" w:space="0" w:color="AAAAAA"/>
              <w:left w:val="single" w:sz="1" w:space="0" w:color="AAAAAA"/>
              <w:bottom w:val="single" w:sz="1" w:space="0" w:color="AAAAAA"/>
              <w:right w:val="single" w:sz="1" w:space="0" w:color="AAAAAA"/>
            </w:tcBorders>
            <w:shd w:val="clear" w:color="auto" w:fill="FFF2CC"/>
            <w:vAlign w:val="center"/>
          </w:tcPr>
          <w:p w:rsidR="00FC0BB1" w:rsidRDefault="00000000">
            <w:pPr>
              <w:jc w:val="center"/>
            </w:pPr>
            <w:r>
              <w:rPr>
                <w:rFonts w:eastAsia="Times New Roman"/>
                <w:i/>
                <w:iCs/>
                <w:color w:val="C00000"/>
                <w:sz w:val="20"/>
                <w:szCs w:val="20"/>
              </w:rPr>
              <w:t>__</w:t>
            </w:r>
          </w:p>
        </w:tc>
        <w:tc>
          <w:tcPr>
            <w:tcW w:w="1900" w:type="dxa"/>
            <w:tcBorders>
              <w:top w:val="single" w:sz="1" w:space="0" w:color="AAAAAA"/>
              <w:left w:val="single" w:sz="1" w:space="0" w:color="AAAAAA"/>
              <w:bottom w:val="single" w:sz="1" w:space="0" w:color="AAAAAA"/>
              <w:right w:val="single" w:sz="1" w:space="0" w:color="AAAAAA"/>
            </w:tcBorders>
            <w:shd w:val="clear" w:color="auto" w:fill="FFF2CC"/>
            <w:vAlign w:val="center"/>
          </w:tcPr>
          <w:p w:rsidR="00FC0BB1" w:rsidRDefault="00000000">
            <w:pPr>
              <w:jc w:val="center"/>
            </w:pPr>
            <w:r>
              <w:rPr>
                <w:rFonts w:eastAsia="Times New Roman"/>
                <w:i/>
                <w:iCs/>
                <w:color w:val="C00000"/>
                <w:sz w:val="20"/>
                <w:szCs w:val="20"/>
              </w:rPr>
              <w:t>__</w:t>
            </w:r>
          </w:p>
        </w:tc>
      </w:tr>
    </w:tbl>
    <w:p w:rsidR="00FC0BB1" w:rsidRDefault="00000000">
      <w:pPr>
        <w:spacing w:before="60" w:after="60" w:line="340" w:lineRule="auto"/>
      </w:pPr>
      <w:r>
        <w:rPr>
          <w:rFonts w:ascii="宋体" w:eastAsia="宋体" w:hAnsi="宋体" w:cs="宋体"/>
        </w:rPr>
        <w:t>结论：N=4 是性能—效率折中的最优点；N≥5 时准确率不再上升；N=1 时 culture-specific 路径退化为单专家、失去路由多样性，性能低于 N≥2 配置。</w:t>
      </w:r>
    </w:p>
    <w:p w:rsidR="00FC0BB1" w:rsidRDefault="00000000">
      <w:pPr>
        <w:spacing w:before="160" w:after="60"/>
      </w:pPr>
      <w:r>
        <w:rPr>
          <w:rFonts w:ascii="宋体" w:eastAsia="宋体" w:hAnsi="宋体" w:cs="宋体"/>
          <w:b/>
          <w:bCs/>
          <w:color w:val="C00000"/>
        </w:rPr>
        <w:t>【English Response】</w:t>
      </w:r>
    </w:p>
    <w:p w:rsidR="00FC0BB1" w:rsidRDefault="00000000">
      <w:pPr>
        <w:spacing w:before="60" w:after="60" w:line="300" w:lineRule="auto"/>
      </w:pPr>
      <w:r>
        <w:rPr>
          <w:rFonts w:eastAsia="Times New Roman"/>
        </w:rPr>
        <w:t>We thank the reviewer for this suggestion. We have added two analyses.</w:t>
      </w:r>
    </w:p>
    <w:p w:rsidR="00FC0BB1" w:rsidRDefault="00000000">
      <w:pPr>
        <w:spacing w:before="60" w:after="60" w:line="300" w:lineRule="auto"/>
      </w:pPr>
      <w:r>
        <w:rPr>
          <w:rFonts w:eastAsia="Times New Roman"/>
        </w:rPr>
        <w:t xml:space="preserve">(1) Expert </w:t>
      </w:r>
      <w:proofErr w:type="spellStart"/>
      <w:r>
        <w:rPr>
          <w:rFonts w:eastAsia="Times New Roman"/>
        </w:rPr>
        <w:t>behaviour</w:t>
      </w:r>
      <w:proofErr w:type="spellEnd"/>
      <w:r>
        <w:rPr>
          <w:rFonts w:eastAsia="Times New Roman"/>
        </w:rPr>
        <w:t xml:space="preserve"> analysis — Expert × Cultural-Region activation heatmaps: we run inference with the trained </w:t>
      </w:r>
      <w:proofErr w:type="spellStart"/>
      <w:r>
        <w:rPr>
          <w:rFonts w:eastAsia="Times New Roman"/>
        </w:rPr>
        <w:t>CulDPD</w:t>
      </w:r>
      <w:proofErr w:type="spellEnd"/>
      <w:r>
        <w:rPr>
          <w:rFonts w:eastAsia="Times New Roman"/>
        </w:rPr>
        <w:t xml:space="preserve"> on </w:t>
      </w:r>
      <w:proofErr w:type="spellStart"/>
      <w:r>
        <w:rPr>
          <w:rFonts w:eastAsia="Times New Roman"/>
        </w:rPr>
        <w:t>CulturalBench</w:t>
      </w:r>
      <w:proofErr w:type="spellEnd"/>
      <w:r>
        <w:rPr>
          <w:rFonts w:eastAsia="Times New Roman"/>
        </w:rPr>
        <w:t xml:space="preserve">-Easy, extract the routing weights of the culture-specific pathway, and compute, for each expert and each continent, the </w:t>
      </w:r>
      <w:proofErr w:type="spellStart"/>
      <w:r>
        <w:rPr>
          <w:rFonts w:eastAsia="Times New Roman"/>
        </w:rPr>
        <w:t>ActivationRatio</w:t>
      </w:r>
      <w:proofErr w:type="spellEnd"/>
      <w:r>
        <w:rPr>
          <w:rFonts w:eastAsia="Times New Roman"/>
        </w:rPr>
        <w:t xml:space="preserve"> = (# samples in the continent that activate this expert in their top-k) / (total # samples in the continent). The metric lies in [0,1]; a higher value means the expert is more preferentially activated by that cultural region. We report this on the Llama-3.1-8B backbone, with a w/o-CRL ablation as control. Default 4 experts, top-2 routing; each continent column sums to ~2.0. Result is shown in the figure below (left: full </w:t>
      </w:r>
      <w:proofErr w:type="spellStart"/>
      <w:r>
        <w:rPr>
          <w:rFonts w:eastAsia="Times New Roman"/>
        </w:rPr>
        <w:t>CulDPD</w:t>
      </w:r>
      <w:proofErr w:type="spellEnd"/>
      <w:r>
        <w:rPr>
          <w:rFonts w:eastAsia="Times New Roman"/>
        </w:rPr>
        <w:t>; right: w/o CRL).</w:t>
      </w:r>
    </w:p>
    <w:p w:rsidR="00FC0BB1" w:rsidRDefault="00000000">
      <w:pPr>
        <w:spacing w:before="80" w:after="80"/>
        <w:jc w:val="center"/>
      </w:pPr>
      <w:r>
        <w:rPr>
          <w:noProof/>
        </w:rPr>
        <w:lastRenderedPageBreak/>
        <w:drawing>
          <wp:inline distT="0" distB="0" distL="0" distR="0">
            <wp:extent cx="5334000" cy="22193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219325"/>
                    </a:xfrm>
                    <a:prstGeom prst="rect">
                      <a:avLst/>
                    </a:prstGeom>
                  </pic:spPr>
                </pic:pic>
              </a:graphicData>
            </a:graphic>
          </wp:inline>
        </w:drawing>
      </w:r>
    </w:p>
    <w:p w:rsidR="00FC0BB1" w:rsidRDefault="00000000">
      <w:pPr>
        <w:spacing w:before="60" w:after="60" w:line="300" w:lineRule="auto"/>
      </w:pPr>
      <w:r>
        <w:rPr>
          <w:rFonts w:eastAsia="Times New Roman"/>
        </w:rPr>
        <w:t xml:space="preserve">Conclusion: in the full </w:t>
      </w:r>
      <w:proofErr w:type="spellStart"/>
      <w:r>
        <w:rPr>
          <w:rFonts w:eastAsia="Times New Roman"/>
        </w:rPr>
        <w:t>CulDPD</w:t>
      </w:r>
      <w:proofErr w:type="spellEnd"/>
      <w:r>
        <w:rPr>
          <w:rFonts w:eastAsia="Times New Roman"/>
        </w:rPr>
        <w:t xml:space="preserve"> model, each expert exhibits clear cultural-region </w:t>
      </w:r>
      <w:proofErr w:type="spellStart"/>
      <w:r>
        <w:rPr>
          <w:rFonts w:eastAsia="Times New Roman"/>
        </w:rPr>
        <w:t>specialisation</w:t>
      </w:r>
      <w:proofErr w:type="spellEnd"/>
      <w:r>
        <w:rPr>
          <w:rFonts w:eastAsia="Times New Roman"/>
        </w:rPr>
        <w:t xml:space="preserve">; in the w/o-CRL control, all activation ratios collapse to [0.29, 0.72] with no clear peaks, confirming that CRL is the key loss component driving cultural </w:t>
      </w:r>
      <w:proofErr w:type="spellStart"/>
      <w:r>
        <w:rPr>
          <w:rFonts w:eastAsia="Times New Roman"/>
        </w:rPr>
        <w:t>specialisation</w:t>
      </w:r>
      <w:proofErr w:type="spellEnd"/>
      <w:r>
        <w:rPr>
          <w:rFonts w:eastAsia="Times New Roman"/>
        </w:rPr>
        <w:t>.</w:t>
      </w:r>
    </w:p>
    <w:p w:rsidR="00FC0BB1" w:rsidRDefault="00000000">
      <w:pPr>
        <w:spacing w:before="60" w:after="60" w:line="300" w:lineRule="auto"/>
      </w:pPr>
      <w:r>
        <w:rPr>
          <w:rFonts w:eastAsia="Times New Roman"/>
        </w:rPr>
        <w:t>(2) Ablation on the number of experts: N ∈ {1, 2, 3, 4, 5, 6} with the top-k activated experts adjusted accordingly. Result is shown in the figure below (left: Llama-3.1-8B backbone; right: Qwen2.5-7B backbone).</w:t>
      </w:r>
    </w:p>
    <w:p w:rsidR="00FC0BB1" w:rsidRDefault="00000000">
      <w:pPr>
        <w:spacing w:before="80" w:after="80"/>
        <w:jc w:val="center"/>
      </w:pPr>
      <w:r>
        <w:rPr>
          <w:noProof/>
        </w:rPr>
        <w:drawing>
          <wp:inline distT="0" distB="0" distL="0" distR="0">
            <wp:extent cx="5334000" cy="1914525"/>
            <wp:effectExtent l="0" t="0" r="0" b="0"/>
            <wp:docPr id="900445577" name="图片 900445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1914525"/>
                    </a:xfrm>
                    <a:prstGeom prst="rect">
                      <a:avLst/>
                    </a:prstGeom>
                  </pic:spPr>
                </pic:pic>
              </a:graphicData>
            </a:graphic>
          </wp:inline>
        </w:drawing>
      </w:r>
    </w:p>
    <w:p w:rsidR="00FC0BB1" w:rsidRDefault="00000000">
      <w:pPr>
        <w:spacing w:before="60" w:after="60" w:line="300" w:lineRule="auto"/>
      </w:pPr>
      <w:r>
        <w:rPr>
          <w:rFonts w:eastAsia="Times New Roman"/>
        </w:rPr>
        <w:t>Conclusion: N=4 is the performance-efficiency sweet spot; for N≥5, accuracy on all datasets stops increasing; at N=1 the culture-specific pathway degenerates to a single expert and loses routing diversity, leading to lower performance than N≥2 configurations.</w:t>
      </w:r>
    </w:p>
    <w:p w:rsidR="00FC0BB1" w:rsidRDefault="00000000">
      <w:pPr>
        <w:spacing w:before="200" w:after="100"/>
      </w:pPr>
      <w:r>
        <w:rPr>
          <w:rFonts w:ascii="宋体" w:eastAsia="宋体" w:hAnsi="宋体" w:cs="宋体"/>
          <w:b/>
          <w:bCs/>
          <w:color w:val="1F3864"/>
          <w:sz w:val="24"/>
          <w:szCs w:val="24"/>
        </w:rPr>
        <w:t>Weakness 3（R1-W3）：masking 移除后性能下降较小，重要性存疑</w:t>
      </w:r>
    </w:p>
    <w:p w:rsidR="00FC0BB1" w:rsidRDefault="00000000">
      <w:pPr>
        <w:spacing w:before="160" w:after="60"/>
      </w:pPr>
      <w:r>
        <w:rPr>
          <w:rFonts w:ascii="宋体" w:eastAsia="宋体" w:hAnsi="宋体" w:cs="宋体"/>
          <w:b/>
          <w:bCs/>
          <w:color w:val="C00000"/>
        </w:rPr>
        <w:t>【原文 / Original】</w:t>
      </w:r>
    </w:p>
    <w:p w:rsidR="00FC0BB1" w:rsidRDefault="00000000">
      <w:pPr>
        <w:spacing w:before="60" w:after="60" w:line="300" w:lineRule="auto"/>
        <w:ind w:left="360"/>
      </w:pPr>
      <w:r>
        <w:rPr>
          <w:rFonts w:eastAsia="Times New Roman"/>
          <w:i/>
          <w:iCs/>
          <w:color w:val="404040"/>
          <w:sz w:val="20"/>
          <w:szCs w:val="20"/>
        </w:rPr>
        <w:t>According to Table 2, removing the masking mechanism leads to only relatively small performance drops on several datasets. This raises questions about the actual importance of Cultural Sensitivity Masking in the overall framework.</w:t>
      </w:r>
    </w:p>
    <w:p w:rsidR="00FC0BB1" w:rsidRDefault="00000000">
      <w:pPr>
        <w:spacing w:before="160" w:after="60"/>
      </w:pPr>
      <w:r>
        <w:rPr>
          <w:rFonts w:ascii="宋体" w:eastAsia="宋体" w:hAnsi="宋体" w:cs="宋体"/>
          <w:b/>
          <w:bCs/>
          <w:color w:val="C00000"/>
        </w:rPr>
        <w:t>【中文翻译】</w:t>
      </w:r>
    </w:p>
    <w:p w:rsidR="00FC0BB1" w:rsidRDefault="00000000">
      <w:pPr>
        <w:spacing w:before="60" w:after="60" w:line="340" w:lineRule="auto"/>
      </w:pPr>
      <w:r>
        <w:rPr>
          <w:rFonts w:ascii="宋体" w:eastAsia="宋体" w:hAnsi="宋体" w:cs="宋体"/>
        </w:rPr>
        <w:t>根据 Table 2，移除 masking 机制在若干数据集上仅带来相对较小的性能下降。这让人对 Cultural Sensitivity Masking 在整体框架中的实际重要性产生疑问。</w:t>
      </w:r>
    </w:p>
    <w:p w:rsidR="00FC0BB1" w:rsidRDefault="00000000">
      <w:pPr>
        <w:spacing w:before="160" w:after="60"/>
      </w:pPr>
      <w:r>
        <w:rPr>
          <w:rFonts w:ascii="宋体" w:eastAsia="宋体" w:hAnsi="宋体" w:cs="宋体"/>
          <w:b/>
          <w:bCs/>
          <w:color w:val="C00000"/>
        </w:rPr>
        <w:t>【中文回复】</w:t>
      </w:r>
    </w:p>
    <w:p w:rsidR="00FC0BB1" w:rsidRDefault="00000000">
      <w:pPr>
        <w:spacing w:before="60" w:after="60" w:line="340" w:lineRule="auto"/>
      </w:pPr>
      <w:r>
        <w:rPr>
          <w:rFonts w:ascii="宋体" w:eastAsia="宋体" w:hAnsi="宋体" w:cs="宋体"/>
        </w:rPr>
        <w:t>感谢审稿人注意到这一点。我们承认在「整体准确率」指标上 w/o mask 的下降较小，但这并不意味着 masking 不重要，原因有二：</w:t>
      </w:r>
    </w:p>
    <w:p w:rsidR="00FC0BB1" w:rsidRDefault="00000000">
      <w:pPr>
        <w:spacing w:before="60" w:after="60" w:line="340" w:lineRule="auto"/>
      </w:pPr>
      <w:r>
        <w:rPr>
          <w:rFonts w:ascii="宋体" w:eastAsia="宋体" w:hAnsi="宋体" w:cs="宋体"/>
        </w:rPr>
        <w:lastRenderedPageBreak/>
        <w:t>(1) 准确率指标会低估 masking 的作用：masking 的设计目标是「让 shared 路径学到文化无关的共识」，这一目标的收益主要体现在跨文化泛化与鲁棒性上，而非单题准确率。论文 Figure 6 的 case study 已经表明，shared-only 路径在「跨文化共识型」问题上保持稳定而 specific-only 路径出现波动，这恰恰是 masking 带来的功能分离效果——而该效果无法在聚合准确率中显现。</w:t>
      </w:r>
    </w:p>
    <w:p w:rsidR="00FC0BB1" w:rsidRDefault="00000000">
      <w:pPr>
        <w:spacing w:before="60" w:after="60" w:line="340" w:lineRule="auto"/>
      </w:pPr>
      <w:r>
        <w:rPr>
          <w:rFonts w:ascii="宋体" w:eastAsia="宋体" w:hAnsi="宋体" w:cs="宋体"/>
        </w:rPr>
        <w:t>(2) 由于时间原因，我们将在修订版中给出 shared 与 specific 表示的探针准确率差异。</w:t>
      </w:r>
    </w:p>
    <w:p w:rsidR="00FC0BB1" w:rsidRDefault="00000000">
      <w:pPr>
        <w:spacing w:before="160" w:after="60"/>
      </w:pPr>
      <w:r>
        <w:rPr>
          <w:rFonts w:ascii="宋体" w:eastAsia="宋体" w:hAnsi="宋体" w:cs="宋体"/>
          <w:b/>
          <w:bCs/>
          <w:color w:val="C00000"/>
        </w:rPr>
        <w:t>【English Response】</w:t>
      </w:r>
    </w:p>
    <w:p w:rsidR="00FC0BB1" w:rsidRDefault="00000000">
      <w:pPr>
        <w:spacing w:before="60" w:after="60" w:line="300" w:lineRule="auto"/>
      </w:pPr>
      <w:r>
        <w:rPr>
          <w:rFonts w:eastAsia="Times New Roman"/>
        </w:rPr>
        <w:t>We thank the reviewer for noticing this. We agree that on the aggregate-accuracy metric the "w/o mask" drop is small, but this does not imply that masking is unimportant, for two reasons:</w:t>
      </w:r>
    </w:p>
    <w:p w:rsidR="00FC0BB1" w:rsidRDefault="00000000">
      <w:pPr>
        <w:spacing w:before="60" w:after="60" w:line="300" w:lineRule="auto"/>
      </w:pPr>
      <w:r>
        <w:rPr>
          <w:rFonts w:eastAsia="Times New Roman"/>
        </w:rPr>
        <w:t xml:space="preserve">(1) Aggregate accuracy under-estimates masking's role: masking is designed to make the shared pathway learn culture-invariant consensus, whose benefit shows up in cross-cultural </w:t>
      </w:r>
      <w:proofErr w:type="spellStart"/>
      <w:r>
        <w:rPr>
          <w:rFonts w:eastAsia="Times New Roman"/>
        </w:rPr>
        <w:t>generalisation</w:t>
      </w:r>
      <w:proofErr w:type="spellEnd"/>
      <w:r>
        <w:rPr>
          <w:rFonts w:eastAsia="Times New Roman"/>
        </w:rPr>
        <w:t xml:space="preserve"> and robustness rather than per-item accuracy. The case study in Figure 6 already shows that the shared-only pathway stays stable on consensus-type questions while the specific-only pathway fluctuates — exactly the functional separation that masking is meant to deliver, and one that aggregate accuracy cannot reveal.</w:t>
      </w:r>
    </w:p>
    <w:p w:rsidR="00FC0BB1" w:rsidRDefault="00000000">
      <w:pPr>
        <w:spacing w:before="60" w:after="60" w:line="300" w:lineRule="auto"/>
      </w:pPr>
      <w:r>
        <w:rPr>
          <w:rFonts w:eastAsia="Times New Roman"/>
        </w:rPr>
        <w:t>(2) Due to time constraints, we will report the probe-accuracy gap between shared and specific representations in the revision.</w:t>
      </w:r>
    </w:p>
    <w:p w:rsidR="00FC0BB1" w:rsidRDefault="00000000">
      <w:pPr>
        <w:spacing w:before="200" w:after="100"/>
      </w:pPr>
      <w:r>
        <w:rPr>
          <w:rFonts w:ascii="宋体" w:eastAsia="宋体" w:hAnsi="宋体" w:cs="宋体"/>
          <w:b/>
          <w:bCs/>
          <w:color w:val="1F3864"/>
          <w:sz w:val="24"/>
          <w:szCs w:val="24"/>
        </w:rPr>
        <w:t xml:space="preserve">Weakness 4（R1-W4）：只用了 </w:t>
      </w:r>
      <w:proofErr w:type="spellStart"/>
      <w:r>
        <w:rPr>
          <w:rFonts w:ascii="宋体" w:eastAsia="宋体" w:hAnsi="宋体" w:cs="宋体"/>
          <w:b/>
          <w:bCs/>
          <w:color w:val="1F3864"/>
          <w:sz w:val="24"/>
          <w:szCs w:val="24"/>
        </w:rPr>
        <w:t>CulturalBench</w:t>
      </w:r>
      <w:proofErr w:type="spellEnd"/>
      <w:r>
        <w:rPr>
          <w:rFonts w:ascii="宋体" w:eastAsia="宋体" w:hAnsi="宋体" w:cs="宋体"/>
          <w:b/>
          <w:bCs/>
          <w:color w:val="1F3864"/>
          <w:sz w:val="24"/>
          <w:szCs w:val="24"/>
        </w:rPr>
        <w:t>-Easy，需用 Hard 验证</w:t>
      </w:r>
    </w:p>
    <w:p w:rsidR="00FC0BB1" w:rsidRDefault="00000000">
      <w:pPr>
        <w:spacing w:before="160" w:after="60"/>
      </w:pPr>
      <w:r>
        <w:rPr>
          <w:rFonts w:ascii="宋体" w:eastAsia="宋体" w:hAnsi="宋体" w:cs="宋体"/>
          <w:b/>
          <w:bCs/>
          <w:color w:val="C00000"/>
        </w:rPr>
        <w:t>【原文 / Original】</w:t>
      </w:r>
    </w:p>
    <w:p w:rsidR="00FC0BB1" w:rsidRDefault="00000000">
      <w:pPr>
        <w:spacing w:before="60" w:after="60" w:line="300" w:lineRule="auto"/>
        <w:ind w:left="360"/>
      </w:pPr>
      <w:proofErr w:type="spellStart"/>
      <w:r>
        <w:rPr>
          <w:rFonts w:eastAsia="Times New Roman"/>
          <w:i/>
          <w:iCs/>
          <w:color w:val="404040"/>
          <w:sz w:val="20"/>
          <w:szCs w:val="20"/>
        </w:rPr>
        <w:t>CulturalBench</w:t>
      </w:r>
      <w:proofErr w:type="spellEnd"/>
      <w:r>
        <w:rPr>
          <w:rFonts w:eastAsia="Times New Roman"/>
          <w:i/>
          <w:iCs/>
          <w:color w:val="404040"/>
          <w:sz w:val="20"/>
          <w:szCs w:val="20"/>
        </w:rPr>
        <w:t xml:space="preserve"> contains both </w:t>
      </w:r>
      <w:proofErr w:type="spellStart"/>
      <w:r>
        <w:rPr>
          <w:rFonts w:eastAsia="Times New Roman"/>
          <w:i/>
          <w:iCs/>
          <w:color w:val="404040"/>
          <w:sz w:val="20"/>
          <w:szCs w:val="20"/>
        </w:rPr>
        <w:t>CulturalBench</w:t>
      </w:r>
      <w:proofErr w:type="spellEnd"/>
      <w:r>
        <w:rPr>
          <w:rFonts w:eastAsia="Times New Roman"/>
          <w:i/>
          <w:iCs/>
          <w:color w:val="404040"/>
          <w:sz w:val="20"/>
          <w:szCs w:val="20"/>
        </w:rPr>
        <w:t xml:space="preserve">-Easy and </w:t>
      </w:r>
      <w:proofErr w:type="spellStart"/>
      <w:r>
        <w:rPr>
          <w:rFonts w:eastAsia="Times New Roman"/>
          <w:i/>
          <w:iCs/>
          <w:color w:val="404040"/>
          <w:sz w:val="20"/>
          <w:szCs w:val="20"/>
        </w:rPr>
        <w:t>CulturalBench</w:t>
      </w:r>
      <w:proofErr w:type="spellEnd"/>
      <w:r>
        <w:rPr>
          <w:rFonts w:eastAsia="Times New Roman"/>
          <w:i/>
          <w:iCs/>
          <w:color w:val="404040"/>
          <w:sz w:val="20"/>
          <w:szCs w:val="20"/>
        </w:rPr>
        <w:t xml:space="preserve">-Hard variants, but the paper only uses </w:t>
      </w:r>
      <w:proofErr w:type="spellStart"/>
      <w:r>
        <w:rPr>
          <w:rFonts w:eastAsia="Times New Roman"/>
          <w:i/>
          <w:iCs/>
          <w:color w:val="404040"/>
          <w:sz w:val="20"/>
          <w:szCs w:val="20"/>
        </w:rPr>
        <w:t>CulturalBench</w:t>
      </w:r>
      <w:proofErr w:type="spellEnd"/>
      <w:r>
        <w:rPr>
          <w:rFonts w:eastAsia="Times New Roman"/>
          <w:i/>
          <w:iCs/>
          <w:color w:val="404040"/>
          <w:sz w:val="20"/>
          <w:szCs w:val="20"/>
        </w:rPr>
        <w:t>-Easy. This choice requires further justification. Since the paper aims to improve cultural alignment and nuanced cultural reasoning, evaluation on the harder variant would provide stronger evidence of the method's effectiveness.</w:t>
      </w:r>
    </w:p>
    <w:p w:rsidR="00FC0BB1" w:rsidRDefault="00000000">
      <w:pPr>
        <w:spacing w:before="160" w:after="60"/>
      </w:pPr>
      <w:r>
        <w:rPr>
          <w:rFonts w:ascii="宋体" w:eastAsia="宋体" w:hAnsi="宋体" w:cs="宋体"/>
          <w:b/>
          <w:bCs/>
          <w:color w:val="C00000"/>
        </w:rPr>
        <w:t>【中文翻译】</w:t>
      </w:r>
    </w:p>
    <w:p w:rsidR="00FC0BB1" w:rsidRDefault="00000000">
      <w:pPr>
        <w:spacing w:before="60" w:after="60" w:line="340" w:lineRule="auto"/>
      </w:pPr>
      <w:proofErr w:type="spellStart"/>
      <w:r>
        <w:rPr>
          <w:rFonts w:ascii="宋体" w:eastAsia="宋体" w:hAnsi="宋体" w:cs="宋体"/>
        </w:rPr>
        <w:t>CulturalBench</w:t>
      </w:r>
      <w:proofErr w:type="spellEnd"/>
      <w:r>
        <w:rPr>
          <w:rFonts w:ascii="宋体" w:eastAsia="宋体" w:hAnsi="宋体" w:cs="宋体"/>
        </w:rPr>
        <w:t xml:space="preserve"> 同时包含 Easy 和 Hard 两个变体，但论文只用了 Easy 版本。这一选择需要进一步说明。鉴于论文目标是提升文化对齐与细粒度文化推理，在更难的变体上评测将为方法有效性提供更强证据。</w:t>
      </w:r>
    </w:p>
    <w:p w:rsidR="00FC0BB1" w:rsidRDefault="00000000">
      <w:pPr>
        <w:spacing w:before="160" w:after="60"/>
      </w:pPr>
      <w:r>
        <w:rPr>
          <w:rFonts w:ascii="宋体" w:eastAsia="宋体" w:hAnsi="宋体" w:cs="宋体"/>
          <w:b/>
          <w:bCs/>
          <w:color w:val="C00000"/>
        </w:rPr>
        <w:t>【中文回复】</w:t>
      </w:r>
    </w:p>
    <w:p w:rsidR="00FC0BB1" w:rsidRDefault="00000000">
      <w:pPr>
        <w:spacing w:before="60" w:after="60" w:line="340" w:lineRule="auto"/>
      </w:pPr>
      <w:r>
        <w:rPr>
          <w:rFonts w:ascii="宋体" w:eastAsia="宋体" w:hAnsi="宋体" w:cs="宋体"/>
        </w:rPr>
        <w:t xml:space="preserve">感谢审稿人的提问。我们不采用 </w:t>
      </w:r>
      <w:proofErr w:type="spellStart"/>
      <w:r>
        <w:rPr>
          <w:rFonts w:ascii="宋体" w:eastAsia="宋体" w:hAnsi="宋体" w:cs="宋体"/>
        </w:rPr>
        <w:t>CulturalBench</w:t>
      </w:r>
      <w:proofErr w:type="spellEnd"/>
      <w:r>
        <w:rPr>
          <w:rFonts w:ascii="宋体" w:eastAsia="宋体" w:hAnsi="宋体" w:cs="宋体"/>
        </w:rPr>
        <w:t>-Hard 进行评测，原因在于其评测形式存在根本性缺陷，无法准确衡量模型的真实文化理解能力。</w:t>
      </w:r>
    </w:p>
    <w:p w:rsidR="00FC0BB1" w:rsidRDefault="00000000">
      <w:pPr>
        <w:spacing w:before="60" w:after="60" w:line="340" w:lineRule="auto"/>
      </w:pPr>
      <w:proofErr w:type="spellStart"/>
      <w:r>
        <w:rPr>
          <w:rFonts w:ascii="宋体" w:eastAsia="宋体" w:hAnsi="宋体" w:cs="宋体"/>
        </w:rPr>
        <w:t>CulturalBench</w:t>
      </w:r>
      <w:proofErr w:type="spellEnd"/>
      <w:r>
        <w:rPr>
          <w:rFonts w:ascii="宋体" w:eastAsia="宋体" w:hAnsi="宋体" w:cs="宋体"/>
        </w:rPr>
        <w:t xml:space="preserve">-Hard 与 </w:t>
      </w:r>
      <w:proofErr w:type="spellStart"/>
      <w:r>
        <w:rPr>
          <w:rFonts w:ascii="宋体" w:eastAsia="宋体" w:hAnsi="宋体" w:cs="宋体"/>
        </w:rPr>
        <w:t>CulturalBench</w:t>
      </w:r>
      <w:proofErr w:type="spellEnd"/>
      <w:r>
        <w:rPr>
          <w:rFonts w:ascii="宋体" w:eastAsia="宋体" w:hAnsi="宋体" w:cs="宋体"/>
        </w:rPr>
        <w:t>-Easy 共享同一批问题，唯一差异在于问题形式：Easy 为四选一选择题，Hard 为二元判断题（对/错）。这一形式转化引入了严重的标签分布不均衡——Hard 版本中「错」选项占比约 75%、「对」选项占比约 25%（对错比例约 1:3）。因此，无论模型是否真正理解文化内容，只要恒定输出「错」即可获得约 75% 的准确率，这一基线远高于随机猜测的 50%，使得 Hard 版本的准确率指标被分布先验主导，无法反映模型的真实能力。</w:t>
      </w:r>
    </w:p>
    <w:p w:rsidR="00FC0BB1" w:rsidRDefault="00000000">
      <w:pPr>
        <w:spacing w:before="60" w:after="60" w:line="340" w:lineRule="auto"/>
      </w:pPr>
      <w:r>
        <w:rPr>
          <w:rFonts w:ascii="宋体" w:eastAsia="宋体" w:hAnsi="宋体" w:cs="宋体"/>
        </w:rPr>
        <w:t>相比之下，Easy 版本作为四选一选择题，随机猜测基线为 25%，四个选项分布均衡，准确率可真实反映模型对文化知识的判别能力。因此我们选择 Easy 作为主评测集——这一选择基于评测有效性的方法论考量，而非规避困难。</w:t>
      </w:r>
    </w:p>
    <w:p w:rsidR="00FC0BB1" w:rsidRDefault="00000000">
      <w:pPr>
        <w:spacing w:before="160" w:after="60"/>
      </w:pPr>
      <w:r>
        <w:rPr>
          <w:rFonts w:ascii="宋体" w:eastAsia="宋体" w:hAnsi="宋体" w:cs="宋体"/>
          <w:b/>
          <w:bCs/>
          <w:color w:val="C00000"/>
        </w:rPr>
        <w:lastRenderedPageBreak/>
        <w:t>【English Response】</w:t>
      </w:r>
    </w:p>
    <w:p w:rsidR="00FC0BB1" w:rsidRDefault="00000000">
      <w:pPr>
        <w:spacing w:before="60" w:after="60" w:line="300" w:lineRule="auto"/>
      </w:pPr>
      <w:r>
        <w:rPr>
          <w:rFonts w:eastAsia="Times New Roman"/>
        </w:rPr>
        <w:t xml:space="preserve">We thank the reviewer for the question. We do not evaluate on </w:t>
      </w:r>
      <w:proofErr w:type="spellStart"/>
      <w:r>
        <w:rPr>
          <w:rFonts w:eastAsia="Times New Roman"/>
        </w:rPr>
        <w:t>CulturalBench</w:t>
      </w:r>
      <w:proofErr w:type="spellEnd"/>
      <w:r>
        <w:rPr>
          <w:rFonts w:eastAsia="Times New Roman"/>
        </w:rPr>
        <w:t>-Hard because its evaluation form has a fundamental flaw that prevents it from accurately measuring a model's true cultural understanding.</w:t>
      </w:r>
    </w:p>
    <w:p w:rsidR="00FC0BB1" w:rsidRDefault="00000000">
      <w:pPr>
        <w:spacing w:before="60" w:after="60" w:line="300" w:lineRule="auto"/>
      </w:pPr>
      <w:proofErr w:type="spellStart"/>
      <w:r>
        <w:rPr>
          <w:rFonts w:eastAsia="Times New Roman"/>
        </w:rPr>
        <w:t>CulturalBench</w:t>
      </w:r>
      <w:proofErr w:type="spellEnd"/>
      <w:r>
        <w:rPr>
          <w:rFonts w:eastAsia="Times New Roman"/>
        </w:rPr>
        <w:t xml:space="preserve">-Hard and </w:t>
      </w:r>
      <w:proofErr w:type="spellStart"/>
      <w:r>
        <w:rPr>
          <w:rFonts w:eastAsia="Times New Roman"/>
        </w:rPr>
        <w:t>CulturalBench</w:t>
      </w:r>
      <w:proofErr w:type="spellEnd"/>
      <w:r>
        <w:rPr>
          <w:rFonts w:eastAsia="Times New Roman"/>
        </w:rPr>
        <w:t xml:space="preserve">-Easy share the same set of questions; the only difference is the question format — Easy is a 4-way multiple-choice task, while Hard is a binary true/false judgment. This format conversion introduces a severe label-distribution imbalance: in the Hard variant, the "False" option accounts for about 75% of the answers and "True" for about 25% (a </w:t>
      </w:r>
      <w:proofErr w:type="spellStart"/>
      <w:r>
        <w:rPr>
          <w:rFonts w:eastAsia="Times New Roman"/>
        </w:rPr>
        <w:t>True:False</w:t>
      </w:r>
      <w:proofErr w:type="spellEnd"/>
      <w:r>
        <w:rPr>
          <w:rFonts w:eastAsia="Times New Roman"/>
        </w:rPr>
        <w:t xml:space="preserve"> ratio of roughly 1:3). Consequently, a model can achieve about 75% accuracy by always outputting "False", regardless of whether it understands the cultural content at all — a baseline far above the 50% random guess. The accuracy metric on Hard is therefore dominated by the distribution prior and cannot reflect a model's true capability.</w:t>
      </w:r>
    </w:p>
    <w:p w:rsidR="00FC0BB1" w:rsidRDefault="00000000">
      <w:pPr>
        <w:spacing w:before="60" w:after="60" w:line="300" w:lineRule="auto"/>
      </w:pPr>
      <w:r>
        <w:rPr>
          <w:rFonts w:eastAsia="Times New Roman"/>
        </w:rPr>
        <w:t>In contrast, the Easy variant, as a 4-way multiple-choice task, has a 25% random-guess baseline and balanced options, so its accuracy faithfully reflects the model's ability to discriminate cultural knowledge. We therefore choose Easy as the main evaluation set — this is a methodological decision based on evaluation validity, not an attempt to avoid difficulty.</w:t>
      </w:r>
    </w:p>
    <w:p w:rsidR="00FC0BB1" w:rsidRDefault="00000000">
      <w:pPr>
        <w:spacing w:before="200" w:after="100"/>
      </w:pPr>
      <w:r>
        <w:rPr>
          <w:rFonts w:ascii="宋体" w:eastAsia="宋体" w:hAnsi="宋体" w:cs="宋体"/>
          <w:b/>
          <w:bCs/>
          <w:color w:val="1F3864"/>
          <w:sz w:val="24"/>
          <w:szCs w:val="24"/>
        </w:rPr>
        <w:t>Weakness 5（R1-W5）：评测数据集描述过简 + 缺按文化 / 区域分组的细分结果</w:t>
      </w:r>
    </w:p>
    <w:p w:rsidR="00FC0BB1" w:rsidRDefault="00000000">
      <w:pPr>
        <w:spacing w:before="160" w:after="60"/>
      </w:pPr>
      <w:r>
        <w:rPr>
          <w:rFonts w:ascii="宋体" w:eastAsia="宋体" w:hAnsi="宋体" w:cs="宋体"/>
          <w:b/>
          <w:bCs/>
          <w:color w:val="C00000"/>
        </w:rPr>
        <w:t>【原文 / Original】</w:t>
      </w:r>
    </w:p>
    <w:p w:rsidR="00FC0BB1" w:rsidRDefault="00000000">
      <w:pPr>
        <w:spacing w:before="60" w:after="60" w:line="300" w:lineRule="auto"/>
        <w:ind w:left="360"/>
      </w:pPr>
      <w:r>
        <w:rPr>
          <w:rFonts w:eastAsia="Times New Roman"/>
          <w:i/>
          <w:iCs/>
          <w:color w:val="404040"/>
          <w:sz w:val="20"/>
          <w:szCs w:val="20"/>
        </w:rPr>
        <w:t>The paper should provide more detailed descriptions of the evaluation datasets, including the sample format, task type, cultural coverage, and label construction for each benchmark. In addition, it would be useful to report performance broken down by culture, region, or cultural group, rather than only aggregate accuracy.</w:t>
      </w:r>
    </w:p>
    <w:p w:rsidR="00FC0BB1" w:rsidRDefault="00000000">
      <w:pPr>
        <w:spacing w:before="160" w:after="60"/>
      </w:pPr>
      <w:r>
        <w:rPr>
          <w:rFonts w:ascii="宋体" w:eastAsia="宋体" w:hAnsi="宋体" w:cs="宋体"/>
          <w:b/>
          <w:bCs/>
          <w:color w:val="C00000"/>
        </w:rPr>
        <w:t>【中文翻译】</w:t>
      </w:r>
    </w:p>
    <w:p w:rsidR="00FC0BB1" w:rsidRDefault="00000000">
      <w:pPr>
        <w:spacing w:before="60" w:after="60" w:line="340" w:lineRule="auto"/>
      </w:pPr>
      <w:r>
        <w:rPr>
          <w:rFonts w:ascii="宋体" w:eastAsia="宋体" w:hAnsi="宋体" w:cs="宋体"/>
        </w:rPr>
        <w:t>论文应提供更详细的评测数据集描述，包括每个基准的样本格式、任务类型、文化覆盖范围与标签构造方式。此外，按文化、区域或文化群体分别报告性能，而非仅报告聚合准确率，会更有价值。</w:t>
      </w:r>
    </w:p>
    <w:p w:rsidR="00FC0BB1" w:rsidRDefault="00000000">
      <w:pPr>
        <w:spacing w:before="160" w:after="60"/>
      </w:pPr>
      <w:r>
        <w:rPr>
          <w:rFonts w:ascii="宋体" w:eastAsia="宋体" w:hAnsi="宋体" w:cs="宋体"/>
          <w:b/>
          <w:bCs/>
          <w:color w:val="C00000"/>
        </w:rPr>
        <w:t>【中文回复】</w:t>
      </w:r>
    </w:p>
    <w:p w:rsidR="00FC0BB1" w:rsidRDefault="00000000">
      <w:pPr>
        <w:spacing w:before="60" w:after="60" w:line="340" w:lineRule="auto"/>
      </w:pPr>
      <w:r>
        <w:rPr>
          <w:rFonts w:ascii="宋体" w:eastAsia="宋体" w:hAnsi="宋体" w:cs="宋体"/>
        </w:rPr>
        <w:t>感谢审稿人的建议。</w:t>
      </w:r>
    </w:p>
    <w:p w:rsidR="00FC0BB1" w:rsidRDefault="00000000">
      <w:pPr>
        <w:spacing w:before="60" w:after="60" w:line="340" w:lineRule="auto"/>
      </w:pPr>
      <w:r>
        <w:rPr>
          <w:rFonts w:ascii="宋体" w:eastAsia="宋体" w:hAnsi="宋体" w:cs="宋体"/>
        </w:rPr>
        <w:t>(1) 关于数据集描述：本文所使用的四个数据集均为公开数据集，读者均可自行下载，并且原文中已引用了相应参考文献，读者可据此了解数据集的详细信息，因此原文中不再赘述，仅报告了四个数据集的简要信息。</w:t>
      </w:r>
    </w:p>
    <w:p w:rsidR="00FC0BB1" w:rsidRDefault="00000000">
      <w:pPr>
        <w:spacing w:before="60" w:after="60" w:line="340" w:lineRule="auto"/>
      </w:pPr>
      <w:r>
        <w:rPr>
          <w:rFonts w:ascii="宋体" w:eastAsia="宋体" w:hAnsi="宋体" w:cs="宋体"/>
        </w:rPr>
        <w:t>(2) 按文化区域分组的细分结果：我们将在修订版中给出按文化区域分组的细分结果（</w:t>
      </w:r>
      <w:proofErr w:type="spellStart"/>
      <w:r>
        <w:rPr>
          <w:rFonts w:ascii="宋体" w:eastAsia="宋体" w:hAnsi="宋体" w:cs="宋体"/>
        </w:rPr>
        <w:t>CulturalBench</w:t>
      </w:r>
      <w:proofErr w:type="spellEnd"/>
      <w:r>
        <w:rPr>
          <w:rFonts w:ascii="宋体" w:eastAsia="宋体" w:hAnsi="宋体" w:cs="宋体"/>
        </w:rPr>
        <w:t xml:space="preserve"> 按 45 个国家/区域并按大洲汇总；</w:t>
      </w:r>
      <w:proofErr w:type="spellStart"/>
      <w:r>
        <w:rPr>
          <w:rFonts w:ascii="宋体" w:eastAsia="宋体" w:hAnsi="宋体" w:cs="宋体"/>
        </w:rPr>
        <w:t>CultureLLM</w:t>
      </w:r>
      <w:proofErr w:type="spellEnd"/>
      <w:r>
        <w:rPr>
          <w:rFonts w:ascii="宋体" w:eastAsia="宋体" w:hAnsi="宋体" w:cs="宋体"/>
        </w:rPr>
        <w:t xml:space="preserve"> 按 9 种语言；</w:t>
      </w:r>
      <w:proofErr w:type="spellStart"/>
      <w:r>
        <w:rPr>
          <w:rFonts w:ascii="宋体" w:eastAsia="宋体" w:hAnsi="宋体" w:cs="宋体"/>
        </w:rPr>
        <w:t>NormAd</w:t>
      </w:r>
      <w:proofErr w:type="spellEnd"/>
      <w:r>
        <w:rPr>
          <w:rFonts w:ascii="宋体" w:eastAsia="宋体" w:hAnsi="宋体" w:cs="宋体"/>
        </w:rPr>
        <w:t xml:space="preserve"> 与 </w:t>
      </w:r>
      <w:proofErr w:type="spellStart"/>
      <w:r>
        <w:rPr>
          <w:rFonts w:ascii="宋体" w:eastAsia="宋体" w:hAnsi="宋体" w:cs="宋体"/>
        </w:rPr>
        <w:t>CultureAtlas</w:t>
      </w:r>
      <w:proofErr w:type="spellEnd"/>
      <w:r>
        <w:rPr>
          <w:rFonts w:ascii="宋体" w:eastAsia="宋体" w:hAnsi="宋体" w:cs="宋体"/>
        </w:rPr>
        <w:t xml:space="preserve"> 按文化主题）。</w:t>
      </w:r>
    </w:p>
    <w:p w:rsidR="00FC0BB1" w:rsidRDefault="00000000">
      <w:pPr>
        <w:spacing w:before="160" w:after="60"/>
      </w:pPr>
      <w:r>
        <w:rPr>
          <w:rFonts w:ascii="宋体" w:eastAsia="宋体" w:hAnsi="宋体" w:cs="宋体"/>
          <w:b/>
          <w:bCs/>
          <w:color w:val="C00000"/>
        </w:rPr>
        <w:t>【English Response】</w:t>
      </w:r>
    </w:p>
    <w:p w:rsidR="00FC0BB1" w:rsidRDefault="00000000">
      <w:pPr>
        <w:spacing w:before="60" w:after="60" w:line="300" w:lineRule="auto"/>
      </w:pPr>
      <w:r>
        <w:rPr>
          <w:rFonts w:eastAsia="Times New Roman"/>
        </w:rPr>
        <w:t>We thank the reviewer for the suggestion.</w:t>
      </w:r>
    </w:p>
    <w:p w:rsidR="00FC0BB1" w:rsidRDefault="00000000">
      <w:pPr>
        <w:spacing w:before="60" w:after="60" w:line="300" w:lineRule="auto"/>
      </w:pPr>
      <w:r>
        <w:rPr>
          <w:rFonts w:eastAsia="Times New Roman"/>
        </w:rPr>
        <w:t>(1) Regarding dataset descriptions: all four datasets used in this paper are public and downloadable by readers, and the paper cites the corresponding references so that readers can obtain detailed dataset information; we therefore do not reiterate these details in the main text and only report brief information for the four datasets.</w:t>
      </w:r>
    </w:p>
    <w:p w:rsidR="00FC0BB1" w:rsidRDefault="00000000">
      <w:pPr>
        <w:spacing w:before="60" w:after="60" w:line="300" w:lineRule="auto"/>
      </w:pPr>
      <w:r>
        <w:rPr>
          <w:rFonts w:eastAsia="Times New Roman"/>
        </w:rPr>
        <w:t xml:space="preserve">(2) Per-culture / per-region breakdown: we will report the per-culture-region breakdown in the revision </w:t>
      </w:r>
      <w:r>
        <w:rPr>
          <w:rFonts w:eastAsia="Times New Roman"/>
        </w:rPr>
        <w:lastRenderedPageBreak/>
        <w:t>(</w:t>
      </w:r>
      <w:proofErr w:type="spellStart"/>
      <w:r>
        <w:rPr>
          <w:rFonts w:eastAsia="Times New Roman"/>
        </w:rPr>
        <w:t>CulturalBench</w:t>
      </w:r>
      <w:proofErr w:type="spellEnd"/>
      <w:r>
        <w:rPr>
          <w:rFonts w:eastAsia="Times New Roman"/>
        </w:rPr>
        <w:t xml:space="preserve"> grouped by 45 countries/regions and aggregated by continent; </w:t>
      </w:r>
      <w:proofErr w:type="spellStart"/>
      <w:r>
        <w:rPr>
          <w:rFonts w:eastAsia="Times New Roman"/>
        </w:rPr>
        <w:t>CultureLLM</w:t>
      </w:r>
      <w:proofErr w:type="spellEnd"/>
      <w:r>
        <w:rPr>
          <w:rFonts w:eastAsia="Times New Roman"/>
        </w:rPr>
        <w:t xml:space="preserve"> by 9 languages; </w:t>
      </w:r>
      <w:proofErr w:type="spellStart"/>
      <w:r>
        <w:rPr>
          <w:rFonts w:eastAsia="Times New Roman"/>
        </w:rPr>
        <w:t>NormAd</w:t>
      </w:r>
      <w:proofErr w:type="spellEnd"/>
      <w:r>
        <w:rPr>
          <w:rFonts w:eastAsia="Times New Roman"/>
        </w:rPr>
        <w:t xml:space="preserve"> and </w:t>
      </w:r>
      <w:proofErr w:type="spellStart"/>
      <w:r>
        <w:rPr>
          <w:rFonts w:eastAsia="Times New Roman"/>
        </w:rPr>
        <w:t>CultureAtlas</w:t>
      </w:r>
      <w:proofErr w:type="spellEnd"/>
      <w:r>
        <w:rPr>
          <w:rFonts w:eastAsia="Times New Roman"/>
        </w:rPr>
        <w:t xml:space="preserve"> by cultural theme).</w:t>
      </w:r>
    </w:p>
    <w:p w:rsidR="00FC0BB1" w:rsidRDefault="00000000">
      <w:pPr>
        <w:spacing w:before="200" w:after="100"/>
      </w:pPr>
      <w:r>
        <w:rPr>
          <w:rFonts w:ascii="宋体" w:eastAsia="宋体" w:hAnsi="宋体" w:cs="宋体"/>
          <w:b/>
          <w:bCs/>
          <w:color w:val="1F3864"/>
          <w:sz w:val="24"/>
          <w:szCs w:val="24"/>
        </w:rPr>
        <w:t>Weakness 6（R1-W6）：缺直接证据证明两条路径分别捕获共识与文化特定模式</w:t>
      </w:r>
    </w:p>
    <w:p w:rsidR="00FC0BB1" w:rsidRDefault="00000000">
      <w:pPr>
        <w:spacing w:before="160" w:after="60"/>
      </w:pPr>
      <w:r>
        <w:rPr>
          <w:rFonts w:ascii="宋体" w:eastAsia="宋体" w:hAnsi="宋体" w:cs="宋体"/>
          <w:b/>
          <w:bCs/>
          <w:color w:val="C00000"/>
        </w:rPr>
        <w:t>【原文 / Original】</w:t>
      </w:r>
    </w:p>
    <w:p w:rsidR="00FC0BB1" w:rsidRDefault="00000000">
      <w:pPr>
        <w:spacing w:before="60" w:after="60" w:line="300" w:lineRule="auto"/>
        <w:ind w:left="360"/>
      </w:pPr>
      <w:r>
        <w:rPr>
          <w:rFonts w:eastAsia="Times New Roman"/>
          <w:i/>
          <w:iCs/>
          <w:color w:val="404040"/>
          <w:sz w:val="20"/>
          <w:szCs w:val="20"/>
        </w:rPr>
        <w:t>While the overall performance improvements are promising, the paper does not provide sufficiently transparent evidence that the proposed method works for the reasons claimed. In particular, it remains unclear whether cross-cultural consensus and culture-specific patterns are truly captured by different pathways. The current analysis mainly relies on aggregate performance and representation-distance visualizations, but more direct evidence is needed, such as pathway-specific evaluations, counterfactual cultural cue replacement, or tests separating consensus-oriented questions from culture-specific questions.</w:t>
      </w:r>
    </w:p>
    <w:p w:rsidR="00FC0BB1" w:rsidRDefault="00000000">
      <w:pPr>
        <w:spacing w:before="160" w:after="60"/>
      </w:pPr>
      <w:r>
        <w:rPr>
          <w:rFonts w:ascii="宋体" w:eastAsia="宋体" w:hAnsi="宋体" w:cs="宋体"/>
          <w:b/>
          <w:bCs/>
          <w:color w:val="C00000"/>
        </w:rPr>
        <w:t>【中文翻译】</w:t>
      </w:r>
    </w:p>
    <w:p w:rsidR="00FC0BB1" w:rsidRDefault="00000000">
      <w:pPr>
        <w:spacing w:before="60" w:after="60" w:line="340" w:lineRule="auto"/>
      </w:pPr>
      <w:r>
        <w:rPr>
          <w:rFonts w:ascii="宋体" w:eastAsia="宋体" w:hAnsi="宋体" w:cs="宋体"/>
        </w:rPr>
        <w:t>虽然整体性能提升令人鼓舞，但论文没有提供足够透明的证据表明方法因所声称的原因而生效。特别是，跨文化共识与文化特定模式是否真正由不同路径分别捕获仍不清楚。现有分析主要依赖聚合性能与表示距离可视化，需要更直接的证据，例如路径特定评估、反事实文化线索替换，或将共识导向与文化特定问题分离的测试。</w:t>
      </w:r>
    </w:p>
    <w:p w:rsidR="00FC0BB1" w:rsidRDefault="00000000">
      <w:pPr>
        <w:spacing w:before="160" w:after="60"/>
      </w:pPr>
      <w:r>
        <w:rPr>
          <w:rFonts w:ascii="宋体" w:eastAsia="宋体" w:hAnsi="宋体" w:cs="宋体"/>
          <w:b/>
          <w:bCs/>
          <w:color w:val="C00000"/>
        </w:rPr>
        <w:t>【中文回复】</w:t>
      </w:r>
    </w:p>
    <w:p w:rsidR="00FC0BB1" w:rsidRDefault="00000000">
      <w:pPr>
        <w:spacing w:before="60" w:after="60" w:line="340" w:lineRule="auto"/>
      </w:pPr>
      <w:r>
        <w:rPr>
          <w:rFonts w:ascii="宋体" w:eastAsia="宋体" w:hAnsi="宋体" w:cs="宋体"/>
        </w:rPr>
        <w:t>感谢审稿人提出这一核心关切，与 R3-W1 相呼应。我们承诺在修改版补做以下三类直接证据：</w:t>
      </w:r>
    </w:p>
    <w:p w:rsidR="00FC0BB1" w:rsidRDefault="00000000">
      <w:pPr>
        <w:spacing w:before="60" w:after="60" w:line="340" w:lineRule="auto"/>
      </w:pPr>
      <w:r>
        <w:rPr>
          <w:rFonts w:ascii="宋体" w:eastAsia="宋体" w:hAnsi="宋体" w:cs="宋体"/>
        </w:rPr>
        <w:t>(1) pathway-specific 量化评估：将题目划分为共识型与文化特异型两个子集，分别评估 shared-only、specific-only 与融合模型的准确率；</w:t>
      </w:r>
    </w:p>
    <w:p w:rsidR="00FC0BB1" w:rsidRDefault="00000000">
      <w:pPr>
        <w:spacing w:before="60" w:after="60" w:line="340" w:lineRule="auto"/>
      </w:pPr>
      <w:r>
        <w:rPr>
          <w:rFonts w:ascii="宋体" w:eastAsia="宋体" w:hAnsi="宋体" w:cs="宋体"/>
        </w:rPr>
        <w:t>(2) counterfactual 文化线索替换：替换文化实体后观察两条路径输出的稳定性差异；</w:t>
      </w:r>
    </w:p>
    <w:p w:rsidR="00FC0BB1" w:rsidRDefault="00000000">
      <w:pPr>
        <w:spacing w:before="60" w:after="60" w:line="340" w:lineRule="auto"/>
      </w:pPr>
      <w:r>
        <w:rPr>
          <w:rFonts w:ascii="宋体" w:eastAsia="宋体" w:hAnsi="宋体" w:cs="宋体"/>
        </w:rPr>
        <w:t>(3) probing 实验：在两条路径的表示上训练线性探针预测文化标签与共识标签，验证语义层面的解耦。</w:t>
      </w:r>
    </w:p>
    <w:p w:rsidR="00FC0BB1" w:rsidRDefault="00000000">
      <w:pPr>
        <w:spacing w:before="60" w:after="60" w:line="340" w:lineRule="auto"/>
      </w:pPr>
      <w:r>
        <w:rPr>
          <w:rFonts w:ascii="宋体" w:eastAsia="宋体" w:hAnsi="宋体" w:cs="宋体"/>
        </w:rPr>
        <w:t>此外，我们会在论文正文相应位置加入一段「mechanism validation」小节，集中呈现上述三类证据，使读者可直接检验「方法因所声称的原因而生效」。</w:t>
      </w:r>
    </w:p>
    <w:p w:rsidR="00FC0BB1" w:rsidRDefault="00000000">
      <w:pPr>
        <w:spacing w:before="160" w:after="60"/>
      </w:pPr>
      <w:r>
        <w:rPr>
          <w:rFonts w:ascii="宋体" w:eastAsia="宋体" w:hAnsi="宋体" w:cs="宋体"/>
          <w:b/>
          <w:bCs/>
          <w:color w:val="C00000"/>
        </w:rPr>
        <w:t>【English Response】</w:t>
      </w:r>
    </w:p>
    <w:p w:rsidR="00FC0BB1" w:rsidRDefault="00000000">
      <w:pPr>
        <w:spacing w:before="60" w:after="60" w:line="300" w:lineRule="auto"/>
      </w:pPr>
      <w:r>
        <w:rPr>
          <w:rFonts w:eastAsia="Times New Roman"/>
        </w:rPr>
        <w:t>We thank the reviewer for this central concern, which echoes R3-W1. We will add three kinds of direct evidence in the revision:</w:t>
      </w:r>
    </w:p>
    <w:p w:rsidR="00FC0BB1" w:rsidRDefault="00000000">
      <w:pPr>
        <w:spacing w:before="60" w:after="60" w:line="300" w:lineRule="auto"/>
      </w:pPr>
      <w:r>
        <w:rPr>
          <w:rFonts w:eastAsia="Times New Roman"/>
        </w:rPr>
        <w:t>(1) Pathway-specific quantitative evaluation: split the questions into consensus-type and culture-specific-type subsets and evaluate shared-only, specific-only, and the fused model separately;</w:t>
      </w:r>
    </w:p>
    <w:p w:rsidR="00FC0BB1" w:rsidRDefault="00000000">
      <w:pPr>
        <w:spacing w:before="60" w:after="60" w:line="300" w:lineRule="auto"/>
      </w:pPr>
      <w:r>
        <w:rPr>
          <w:rFonts w:eastAsia="Times New Roman"/>
        </w:rPr>
        <w:t>(2) Counterfactual cultural-cue replacement: replace cultural entities and measure the differential stability of the two pathways' outputs;</w:t>
      </w:r>
    </w:p>
    <w:p w:rsidR="00FC0BB1" w:rsidRDefault="00000000">
      <w:pPr>
        <w:spacing w:before="60" w:after="60" w:line="300" w:lineRule="auto"/>
      </w:pPr>
      <w:r>
        <w:rPr>
          <w:rFonts w:eastAsia="Times New Roman"/>
        </w:rPr>
        <w:t>(3) Probing experiments: train linear probes on the two pathways' representations to predict cultural-label and consensus-label, verifying semantic-level disentanglement.</w:t>
      </w:r>
    </w:p>
    <w:p w:rsidR="00FC0BB1" w:rsidRDefault="00000000">
      <w:pPr>
        <w:spacing w:before="60" w:after="60" w:line="300" w:lineRule="auto"/>
      </w:pPr>
      <w:r>
        <w:rPr>
          <w:rFonts w:eastAsia="Times New Roman"/>
        </w:rPr>
        <w:t>In addition, we will add a dedicated "Mechanism Validation" subsection in the main text that consolidates these three pieces of evidence, so that readers can directly verify that the method works for the reasons claimed.</w:t>
      </w:r>
    </w:p>
    <w:p w:rsidR="00FC0BB1" w:rsidRDefault="00000000">
      <w:pPr>
        <w:pStyle w:val="1"/>
        <w:spacing w:before="240" w:after="120"/>
      </w:pPr>
      <w:r>
        <w:t>Reviewer 2 — Weaknesses &amp; Responses</w:t>
      </w:r>
    </w:p>
    <w:p w:rsidR="00FC0BB1" w:rsidRDefault="00000000">
      <w:pPr>
        <w:spacing w:before="200" w:after="100"/>
      </w:pPr>
      <w:r>
        <w:rPr>
          <w:rFonts w:ascii="宋体" w:eastAsia="宋体" w:hAnsi="宋体" w:cs="宋体"/>
          <w:b/>
          <w:bCs/>
          <w:color w:val="1F3864"/>
          <w:sz w:val="24"/>
          <w:szCs w:val="24"/>
        </w:rPr>
        <w:lastRenderedPageBreak/>
        <w:t>Weakness 1（R2-W1）：masking 机制对显式标注的强依赖</w:t>
      </w:r>
    </w:p>
    <w:p w:rsidR="00FC0BB1" w:rsidRDefault="00000000">
      <w:pPr>
        <w:spacing w:before="160" w:after="60"/>
      </w:pPr>
      <w:r>
        <w:rPr>
          <w:rFonts w:ascii="宋体" w:eastAsia="宋体" w:hAnsi="宋体" w:cs="宋体"/>
          <w:b/>
          <w:bCs/>
          <w:color w:val="C00000"/>
        </w:rPr>
        <w:t>【原文 / Original】</w:t>
      </w:r>
    </w:p>
    <w:p w:rsidR="00FC0BB1" w:rsidRDefault="00000000">
      <w:pPr>
        <w:spacing w:before="60" w:after="60" w:line="300" w:lineRule="auto"/>
        <w:ind w:left="360"/>
      </w:pPr>
      <w:r>
        <w:rPr>
          <w:rFonts w:eastAsia="Times New Roman"/>
          <w:i/>
          <w:iCs/>
          <w:color w:val="404040"/>
          <w:sz w:val="20"/>
          <w:szCs w:val="20"/>
        </w:rPr>
        <w:t xml:space="preserve">The masking mechanism heavily relies on manually annotated prior cultural knowledge and exhibits poor adaptability under weak supervision scenarios. Masking requires explicit, identifiable cultural markers such as geographic terms, religious concepts, festivals, and customs within input texts. If cultural cues are implicit, without clear named entities, or paired with incomplete/noisy annotations, the masking strategy will degrade drastically. Consequently, the dual-path decoupling performance may deteriorate severely, reducing the framework to a standard </w:t>
      </w:r>
      <w:proofErr w:type="spellStart"/>
      <w:r>
        <w:rPr>
          <w:rFonts w:eastAsia="Times New Roman"/>
          <w:i/>
          <w:iCs/>
          <w:color w:val="404040"/>
          <w:sz w:val="20"/>
          <w:szCs w:val="20"/>
        </w:rPr>
        <w:t>MoE-LoRA</w:t>
      </w:r>
      <w:proofErr w:type="spellEnd"/>
      <w:r>
        <w:rPr>
          <w:rFonts w:eastAsia="Times New Roman"/>
          <w:i/>
          <w:iCs/>
          <w:color w:val="404040"/>
          <w:sz w:val="20"/>
          <w:szCs w:val="20"/>
        </w:rPr>
        <w:t xml:space="preserve"> baseline.</w:t>
      </w:r>
    </w:p>
    <w:p w:rsidR="00FC0BB1" w:rsidRDefault="00000000">
      <w:pPr>
        <w:spacing w:before="160" w:after="60"/>
      </w:pPr>
      <w:r>
        <w:rPr>
          <w:rFonts w:ascii="宋体" w:eastAsia="宋体" w:hAnsi="宋体" w:cs="宋体"/>
          <w:b/>
          <w:bCs/>
          <w:color w:val="C00000"/>
        </w:rPr>
        <w:t>【中文翻译】</w:t>
      </w:r>
    </w:p>
    <w:p w:rsidR="00FC0BB1" w:rsidRDefault="00000000">
      <w:pPr>
        <w:spacing w:before="60" w:after="60" w:line="340" w:lineRule="auto"/>
      </w:pPr>
      <w:r>
        <w:rPr>
          <w:rFonts w:ascii="宋体" w:eastAsia="宋体" w:hAnsi="宋体" w:cs="宋体"/>
        </w:rPr>
        <w:t xml:space="preserve">masking 机制严重依赖人工标注的先验文化知识，在弱监督场景下适应性差。masking 要求输入文本中存在地理名词、宗教概念、节日、习俗等显式可识别的文化标记。若文化线索是隐式的、缺少明确命名实体，或标注不完整 / 含噪，masking 策略将显著退化。由此，双路径解耦性能可能严重下降，使框架退化为标准 </w:t>
      </w:r>
      <w:proofErr w:type="spellStart"/>
      <w:r>
        <w:rPr>
          <w:rFonts w:ascii="宋体" w:eastAsia="宋体" w:hAnsi="宋体" w:cs="宋体"/>
        </w:rPr>
        <w:t>MoE-LoRA</w:t>
      </w:r>
      <w:proofErr w:type="spellEnd"/>
      <w:r>
        <w:rPr>
          <w:rFonts w:ascii="宋体" w:eastAsia="宋体" w:hAnsi="宋体" w:cs="宋体"/>
        </w:rPr>
        <w:t xml:space="preserve"> 基线。</w:t>
      </w:r>
    </w:p>
    <w:p w:rsidR="00FC0BB1" w:rsidRDefault="00000000">
      <w:pPr>
        <w:spacing w:before="160" w:after="60"/>
      </w:pPr>
      <w:r>
        <w:rPr>
          <w:rFonts w:ascii="宋体" w:eastAsia="宋体" w:hAnsi="宋体" w:cs="宋体"/>
          <w:b/>
          <w:bCs/>
          <w:color w:val="C00000"/>
        </w:rPr>
        <w:t>【中文回复】</w:t>
      </w:r>
    </w:p>
    <w:p w:rsidR="00FC0BB1" w:rsidRDefault="00000000">
      <w:pPr>
        <w:spacing w:before="60" w:after="60" w:line="340" w:lineRule="auto"/>
      </w:pPr>
      <w:r>
        <w:rPr>
          <w:rFonts w:ascii="宋体" w:eastAsia="宋体" w:hAnsi="宋体" w:cs="宋体"/>
        </w:rPr>
        <w:t>感谢审稿人指出 masking 的脆弱性。我们承认在文化线索完全隐式或标注缺失的极端情形下 masking 会失效，但论文已有的实验与设计部分回应了「严重退化」这一担忧：</w:t>
      </w:r>
    </w:p>
    <w:p w:rsidR="00FC0BB1" w:rsidRDefault="00000000">
      <w:pPr>
        <w:spacing w:before="60" w:after="60" w:line="340" w:lineRule="auto"/>
      </w:pPr>
      <w:r>
        <w:rPr>
          <w:rFonts w:ascii="宋体" w:eastAsia="宋体" w:hAnsi="宋体" w:cs="宋体"/>
        </w:rPr>
        <w:t xml:space="preserve">(1) 鲁棒性实验（附录 B.5，Table 5）：随机删除 10%/20%/30% 词典条目，四个数据集上性能下降均在 1.5% 以内，并未出现「退化至 </w:t>
      </w:r>
      <w:proofErr w:type="spellStart"/>
      <w:r>
        <w:rPr>
          <w:rFonts w:ascii="宋体" w:eastAsia="宋体" w:hAnsi="宋体" w:cs="宋体"/>
        </w:rPr>
        <w:t>MoE-LoRA</w:t>
      </w:r>
      <w:proofErr w:type="spellEnd"/>
      <w:r>
        <w:rPr>
          <w:rFonts w:ascii="宋体" w:eastAsia="宋体" w:hAnsi="宋体" w:cs="宋体"/>
        </w:rPr>
        <w:t xml:space="preserve"> 基线」的情况；这说明即便标注不完整，双路径结构 + CSL 仍能维持解耦能力。</w:t>
      </w:r>
    </w:p>
    <w:p w:rsidR="00FC0BB1" w:rsidRDefault="00000000">
      <w:pPr>
        <w:spacing w:before="60" w:after="60" w:line="340" w:lineRule="auto"/>
      </w:pPr>
      <w:r>
        <w:rPr>
          <w:rFonts w:ascii="宋体" w:eastAsia="宋体" w:hAnsi="宋体" w:cs="宋体"/>
        </w:rPr>
        <w:t>(2) masking 与双路径解耦是正交组件：即便 masking 失效，模型仍保留 shared / specific 双路径 + CRL + CDL；论文 Table 2 中 w/o mask 的配置仅小幅下降（</w:t>
      </w:r>
      <w:proofErr w:type="spellStart"/>
      <w:r>
        <w:rPr>
          <w:rFonts w:ascii="宋体" w:eastAsia="宋体" w:hAnsi="宋体" w:cs="宋体"/>
        </w:rPr>
        <w:t>CulturalBench</w:t>
      </w:r>
      <w:proofErr w:type="spellEnd"/>
      <w:r>
        <w:rPr>
          <w:rFonts w:ascii="宋体" w:eastAsia="宋体" w:hAnsi="宋体" w:cs="宋体"/>
        </w:rPr>
        <w:t xml:space="preserve"> 82.46→81.15；</w:t>
      </w:r>
      <w:proofErr w:type="spellStart"/>
      <w:r>
        <w:rPr>
          <w:rFonts w:ascii="宋体" w:eastAsia="宋体" w:hAnsi="宋体" w:cs="宋体"/>
        </w:rPr>
        <w:t>CultureLLM</w:t>
      </w:r>
      <w:proofErr w:type="spellEnd"/>
      <w:r>
        <w:rPr>
          <w:rFonts w:ascii="宋体" w:eastAsia="宋体" w:hAnsi="宋体" w:cs="宋体"/>
        </w:rPr>
        <w:t xml:space="preserve"> 91.43→91.11），并未塌缩至 Vanilla </w:t>
      </w:r>
      <w:proofErr w:type="spellStart"/>
      <w:r>
        <w:rPr>
          <w:rFonts w:ascii="宋体" w:eastAsia="宋体" w:hAnsi="宋体" w:cs="宋体"/>
        </w:rPr>
        <w:t>MoE</w:t>
      </w:r>
      <w:proofErr w:type="spellEnd"/>
      <w:r>
        <w:rPr>
          <w:rFonts w:ascii="宋体" w:eastAsia="宋体" w:hAnsi="宋体" w:cs="宋体"/>
        </w:rPr>
        <w:t>（78.20/89.91）。</w:t>
      </w:r>
    </w:p>
    <w:p w:rsidR="00FC0BB1" w:rsidRDefault="00000000">
      <w:pPr>
        <w:spacing w:before="60" w:after="60" w:line="340" w:lineRule="auto"/>
      </w:pPr>
      <w:r>
        <w:rPr>
          <w:rFonts w:ascii="宋体" w:eastAsia="宋体" w:hAnsi="宋体" w:cs="宋体"/>
        </w:rPr>
        <w:t xml:space="preserve">(3) 关于「完全隐式文化线索」场景，我们认为它不属于 </w:t>
      </w:r>
      <w:proofErr w:type="spellStart"/>
      <w:r>
        <w:rPr>
          <w:rFonts w:ascii="宋体" w:eastAsia="宋体" w:hAnsi="宋体" w:cs="宋体"/>
        </w:rPr>
        <w:t>CulDPD</w:t>
      </w:r>
      <w:proofErr w:type="spellEnd"/>
      <w:r>
        <w:rPr>
          <w:rFonts w:ascii="宋体" w:eastAsia="宋体" w:hAnsi="宋体" w:cs="宋体"/>
        </w:rPr>
        <w:t xml:space="preserve"> 的设计目标范围，理由如下：</w:t>
      </w:r>
      <w:proofErr w:type="spellStart"/>
      <w:r>
        <w:rPr>
          <w:rFonts w:ascii="宋体" w:eastAsia="宋体" w:hAnsi="宋体" w:cs="宋体"/>
        </w:rPr>
        <w:t>CulDPD</w:t>
      </w:r>
      <w:proofErr w:type="spellEnd"/>
      <w:r>
        <w:rPr>
          <w:rFonts w:ascii="宋体" w:eastAsia="宋体" w:hAnsi="宋体" w:cs="宋体"/>
        </w:rPr>
        <w:t xml:space="preserve"> 的设计前提是输入中存在可识别的文化标记（地理名词、宗教概念、节日、习俗等），这与现有主流文化评测基准（</w:t>
      </w:r>
      <w:proofErr w:type="spellStart"/>
      <w:r>
        <w:rPr>
          <w:rFonts w:ascii="宋体" w:eastAsia="宋体" w:hAnsi="宋体" w:cs="宋体"/>
        </w:rPr>
        <w:t>CulturalBench</w:t>
      </w:r>
      <w:proofErr w:type="spellEnd"/>
      <w:r>
        <w:rPr>
          <w:rFonts w:ascii="宋体" w:eastAsia="宋体" w:hAnsi="宋体" w:cs="宋体"/>
        </w:rPr>
        <w:t>、</w:t>
      </w:r>
      <w:proofErr w:type="spellStart"/>
      <w:r>
        <w:rPr>
          <w:rFonts w:ascii="宋体" w:eastAsia="宋体" w:hAnsi="宋体" w:cs="宋体"/>
        </w:rPr>
        <w:t>CultureLLM</w:t>
      </w:r>
      <w:proofErr w:type="spellEnd"/>
      <w:r>
        <w:rPr>
          <w:rFonts w:ascii="宋体" w:eastAsia="宋体" w:hAnsi="宋体" w:cs="宋体"/>
        </w:rPr>
        <w:t>、</w:t>
      </w:r>
      <w:proofErr w:type="spellStart"/>
      <w:r>
        <w:rPr>
          <w:rFonts w:ascii="宋体" w:eastAsia="宋体" w:hAnsi="宋体" w:cs="宋体"/>
        </w:rPr>
        <w:t>NormAd</w:t>
      </w:r>
      <w:proofErr w:type="spellEnd"/>
      <w:r>
        <w:rPr>
          <w:rFonts w:ascii="宋体" w:eastAsia="宋体" w:hAnsi="宋体" w:cs="宋体"/>
        </w:rPr>
        <w:t>、</w:t>
      </w:r>
      <w:proofErr w:type="spellStart"/>
      <w:r>
        <w:rPr>
          <w:rFonts w:ascii="宋体" w:eastAsia="宋体" w:hAnsi="宋体" w:cs="宋体"/>
        </w:rPr>
        <w:t>CultureAtlas</w:t>
      </w:r>
      <w:proofErr w:type="spellEnd"/>
      <w:r>
        <w:rPr>
          <w:rFonts w:ascii="宋体" w:eastAsia="宋体" w:hAnsi="宋体" w:cs="宋体"/>
        </w:rPr>
        <w:t xml:space="preserve">）的构造方式一致——这些基准均显式地在 prompt 中给出文化上下文（如 "This question is for a country or language that is Arabic"），因此 masking 在这些基准上始终可触发。若输入中完全没有任何可识别的文化信号，则任何文化对齐方法（包括 </w:t>
      </w:r>
      <w:proofErr w:type="spellStart"/>
      <w:r>
        <w:rPr>
          <w:rFonts w:ascii="宋体" w:eastAsia="宋体" w:hAnsi="宋体" w:cs="宋体"/>
        </w:rPr>
        <w:t>CulDPD</w:t>
      </w:r>
      <w:proofErr w:type="spellEnd"/>
      <w:r>
        <w:rPr>
          <w:rFonts w:ascii="宋体" w:eastAsia="宋体" w:hAnsi="宋体" w:cs="宋体"/>
        </w:rPr>
        <w:t xml:space="preserve">）都无从区分样本的文化归属，此时问题在信息论意义上是欠定的——模型只能依赖先验，无法做到文化感知。换言之，「完全隐式文化线索」是一个对所有文化对齐方法都无解的 ill-posed 场景，而非 </w:t>
      </w:r>
      <w:proofErr w:type="spellStart"/>
      <w:r>
        <w:rPr>
          <w:rFonts w:ascii="宋体" w:eastAsia="宋体" w:hAnsi="宋体" w:cs="宋体"/>
        </w:rPr>
        <w:t>CulDPD</w:t>
      </w:r>
      <w:proofErr w:type="spellEnd"/>
      <w:r>
        <w:rPr>
          <w:rFonts w:ascii="宋体" w:eastAsia="宋体" w:hAnsi="宋体" w:cs="宋体"/>
        </w:rPr>
        <w:t xml:space="preserve"> 特有的缺陷。我们将在 Limitations 中明确将这一场景列为 </w:t>
      </w:r>
      <w:proofErr w:type="spellStart"/>
      <w:r>
        <w:rPr>
          <w:rFonts w:ascii="宋体" w:eastAsia="宋体" w:hAnsi="宋体" w:cs="宋体"/>
        </w:rPr>
        <w:t>CulDPD</w:t>
      </w:r>
      <w:proofErr w:type="spellEnd"/>
      <w:r>
        <w:rPr>
          <w:rFonts w:ascii="宋体" w:eastAsia="宋体" w:hAnsi="宋体" w:cs="宋体"/>
        </w:rPr>
        <w:t xml:space="preserve"> 的设计范围外假设，而非通过对照实验将其掩盖。</w:t>
      </w:r>
    </w:p>
    <w:p w:rsidR="00FC0BB1" w:rsidRDefault="00000000">
      <w:pPr>
        <w:spacing w:before="160" w:after="60"/>
      </w:pPr>
      <w:r>
        <w:rPr>
          <w:rFonts w:ascii="宋体" w:eastAsia="宋体" w:hAnsi="宋体" w:cs="宋体"/>
          <w:b/>
          <w:bCs/>
          <w:color w:val="C00000"/>
        </w:rPr>
        <w:t>【English Response】</w:t>
      </w:r>
    </w:p>
    <w:p w:rsidR="00FC0BB1" w:rsidRDefault="00000000">
      <w:pPr>
        <w:spacing w:before="60" w:after="60" w:line="300" w:lineRule="auto"/>
      </w:pPr>
      <w:r>
        <w:rPr>
          <w:rFonts w:eastAsia="Times New Roman"/>
        </w:rPr>
        <w:t xml:space="preserve">We thank the reviewer for raising the fragility of masking. We agree that in the extreme case where cultural cues are fully implicit or annotations are entirely missing, masking degrades. However, existing experiments in the paper already address the concern about "severe deterioration to the </w:t>
      </w:r>
      <w:proofErr w:type="spellStart"/>
      <w:r>
        <w:rPr>
          <w:rFonts w:eastAsia="Times New Roman"/>
        </w:rPr>
        <w:t>MoE-LoRA</w:t>
      </w:r>
      <w:proofErr w:type="spellEnd"/>
      <w:r>
        <w:rPr>
          <w:rFonts w:eastAsia="Times New Roman"/>
        </w:rPr>
        <w:t xml:space="preserve"> baseline":</w:t>
      </w:r>
    </w:p>
    <w:p w:rsidR="00FC0BB1" w:rsidRDefault="00000000">
      <w:pPr>
        <w:spacing w:before="60" w:after="60" w:line="300" w:lineRule="auto"/>
      </w:pPr>
      <w:r>
        <w:rPr>
          <w:rFonts w:eastAsia="Times New Roman"/>
        </w:rPr>
        <w:lastRenderedPageBreak/>
        <w:t xml:space="preserve">(1) Robustness study (Appendix B.5, Table 5): randomly removing 10%/20%/30% of lexicon entries yields less than 1.5% degradation on all four datasets — far from collapsing to the </w:t>
      </w:r>
      <w:proofErr w:type="spellStart"/>
      <w:r>
        <w:rPr>
          <w:rFonts w:eastAsia="Times New Roman"/>
        </w:rPr>
        <w:t>MoE-LoRA</w:t>
      </w:r>
      <w:proofErr w:type="spellEnd"/>
      <w:r>
        <w:rPr>
          <w:rFonts w:eastAsia="Times New Roman"/>
        </w:rPr>
        <w:t xml:space="preserve"> baseline. This shows that the dual-path structure plus CSL preserves the decoupling capability even with incomplete annotations.</w:t>
      </w:r>
    </w:p>
    <w:p w:rsidR="00FC0BB1" w:rsidRDefault="00000000">
      <w:pPr>
        <w:spacing w:before="60" w:after="60" w:line="300" w:lineRule="auto"/>
      </w:pPr>
      <w:r>
        <w:rPr>
          <w:rFonts w:eastAsia="Times New Roman"/>
        </w:rPr>
        <w:t>(2) Masking and dual-path decoupling are orthogonal components: even when masking is disabled, the model retains the shared/specific dual-pathway plus CRL/CDL. In Table 2, "w/o mask" only causes a small drop (</w:t>
      </w:r>
      <w:proofErr w:type="spellStart"/>
      <w:r>
        <w:rPr>
          <w:rFonts w:eastAsia="Times New Roman"/>
        </w:rPr>
        <w:t>CulturalBench</w:t>
      </w:r>
      <w:proofErr w:type="spellEnd"/>
      <w:r>
        <w:rPr>
          <w:rFonts w:eastAsia="Times New Roman"/>
        </w:rPr>
        <w:t xml:space="preserve"> 82.46→81.15; </w:t>
      </w:r>
      <w:proofErr w:type="spellStart"/>
      <w:r>
        <w:rPr>
          <w:rFonts w:eastAsia="Times New Roman"/>
        </w:rPr>
        <w:t>CultureLLM</w:t>
      </w:r>
      <w:proofErr w:type="spellEnd"/>
      <w:r>
        <w:rPr>
          <w:rFonts w:eastAsia="Times New Roman"/>
        </w:rPr>
        <w:t xml:space="preserve"> 91.43→91.11), nowhere near collapsing to Vanilla </w:t>
      </w:r>
      <w:proofErr w:type="spellStart"/>
      <w:r>
        <w:rPr>
          <w:rFonts w:eastAsia="Times New Roman"/>
        </w:rPr>
        <w:t>MoE</w:t>
      </w:r>
      <w:proofErr w:type="spellEnd"/>
      <w:r>
        <w:rPr>
          <w:rFonts w:eastAsia="Times New Roman"/>
        </w:rPr>
        <w:t xml:space="preserve"> (78.20/89.91).</w:t>
      </w:r>
    </w:p>
    <w:p w:rsidR="00FC0BB1" w:rsidRDefault="00000000">
      <w:pPr>
        <w:spacing w:before="60" w:after="60" w:line="300" w:lineRule="auto"/>
      </w:pPr>
      <w:r>
        <w:rPr>
          <w:rFonts w:eastAsia="Times New Roman"/>
        </w:rPr>
        <w:t xml:space="preserve">(3) Regarding the "fully-implicit-cue" scenario, we argue that it falls outside </w:t>
      </w:r>
      <w:proofErr w:type="spellStart"/>
      <w:r>
        <w:rPr>
          <w:rFonts w:eastAsia="Times New Roman"/>
        </w:rPr>
        <w:t>CulDPD's</w:t>
      </w:r>
      <w:proofErr w:type="spellEnd"/>
      <w:r>
        <w:rPr>
          <w:rFonts w:eastAsia="Times New Roman"/>
        </w:rPr>
        <w:t xml:space="preserve"> intended design scope, for the following reason: </w:t>
      </w:r>
      <w:proofErr w:type="spellStart"/>
      <w:r>
        <w:rPr>
          <w:rFonts w:eastAsia="Times New Roman"/>
        </w:rPr>
        <w:t>CulDPD</w:t>
      </w:r>
      <w:proofErr w:type="spellEnd"/>
      <w:r>
        <w:rPr>
          <w:rFonts w:eastAsia="Times New Roman"/>
        </w:rPr>
        <w:t xml:space="preserve"> is premised on the input containing identifiable cultural markers (geographic terms, religious concepts, festivals, customs, etc.), which is consistent with how all mainstream cultural-alignment benchmarks are constructed — </w:t>
      </w:r>
      <w:proofErr w:type="spellStart"/>
      <w:r>
        <w:rPr>
          <w:rFonts w:eastAsia="Times New Roman"/>
        </w:rPr>
        <w:t>CulturalBench</w:t>
      </w:r>
      <w:proofErr w:type="spellEnd"/>
      <w:r>
        <w:rPr>
          <w:rFonts w:eastAsia="Times New Roman"/>
        </w:rPr>
        <w:t xml:space="preserve">, </w:t>
      </w:r>
      <w:proofErr w:type="spellStart"/>
      <w:r>
        <w:rPr>
          <w:rFonts w:eastAsia="Times New Roman"/>
        </w:rPr>
        <w:t>CultureLLM</w:t>
      </w:r>
      <w:proofErr w:type="spellEnd"/>
      <w:r>
        <w:rPr>
          <w:rFonts w:eastAsia="Times New Roman"/>
        </w:rPr>
        <w:t xml:space="preserve">, </w:t>
      </w:r>
      <w:proofErr w:type="spellStart"/>
      <w:r>
        <w:rPr>
          <w:rFonts w:eastAsia="Times New Roman"/>
        </w:rPr>
        <w:t>NormAd</w:t>
      </w:r>
      <w:proofErr w:type="spellEnd"/>
      <w:r>
        <w:rPr>
          <w:rFonts w:eastAsia="Times New Roman"/>
        </w:rPr>
        <w:t xml:space="preserve">, and </w:t>
      </w:r>
      <w:proofErr w:type="spellStart"/>
      <w:r>
        <w:rPr>
          <w:rFonts w:eastAsia="Times New Roman"/>
        </w:rPr>
        <w:t>CultureAtlas</w:t>
      </w:r>
      <w:proofErr w:type="spellEnd"/>
      <w:r>
        <w:rPr>
          <w:rFonts w:eastAsia="Times New Roman"/>
        </w:rPr>
        <w:t xml:space="preserve"> all explicitly state the cultural context in the prompt (e.g., "This question is for a country or language that is Arabic"), so masking is always triggerable on these benchmarks. If an input contains no identifiable cultural signal whatsoever, then no cultural-alignment method (including </w:t>
      </w:r>
      <w:proofErr w:type="spellStart"/>
      <w:r>
        <w:rPr>
          <w:rFonts w:eastAsia="Times New Roman"/>
        </w:rPr>
        <w:t>CulDPD</w:t>
      </w:r>
      <w:proofErr w:type="spellEnd"/>
      <w:r>
        <w:rPr>
          <w:rFonts w:eastAsia="Times New Roman"/>
        </w:rPr>
        <w:t xml:space="preserve">) can distinguish the sample's cultural origin — the problem is information-theoretically under-determined, and the model can only fall back on its prior rather than perform culture-aware reasoning. In other words, the fully-implicit-cue setting is an ill-posed scenario for every cultural-alignment method, not a deficiency specific to </w:t>
      </w:r>
      <w:proofErr w:type="spellStart"/>
      <w:r>
        <w:rPr>
          <w:rFonts w:eastAsia="Times New Roman"/>
        </w:rPr>
        <w:t>CulDPD</w:t>
      </w:r>
      <w:proofErr w:type="spellEnd"/>
      <w:r>
        <w:rPr>
          <w:rFonts w:eastAsia="Times New Roman"/>
        </w:rPr>
        <w:t>. We will explicitly list this scenario as an out-of-scope assumption in the Limitations section, rather than mask it via a controlled experiment.</w:t>
      </w:r>
    </w:p>
    <w:p w:rsidR="00FC0BB1" w:rsidRDefault="00000000">
      <w:pPr>
        <w:spacing w:before="200" w:after="100"/>
      </w:pPr>
      <w:r>
        <w:rPr>
          <w:rFonts w:ascii="宋体" w:eastAsia="宋体" w:hAnsi="宋体" w:cs="宋体"/>
          <w:b/>
          <w:bCs/>
          <w:color w:val="1F3864"/>
          <w:sz w:val="24"/>
          <w:szCs w:val="24"/>
        </w:rPr>
        <w:t>Weakness 2（R2-W2）：缺少可训练参数量对比</w:t>
      </w:r>
    </w:p>
    <w:p w:rsidR="00FC0BB1" w:rsidRDefault="00000000">
      <w:pPr>
        <w:spacing w:before="160" w:after="60"/>
      </w:pPr>
      <w:r>
        <w:rPr>
          <w:rFonts w:ascii="宋体" w:eastAsia="宋体" w:hAnsi="宋体" w:cs="宋体"/>
          <w:b/>
          <w:bCs/>
          <w:color w:val="C00000"/>
        </w:rPr>
        <w:t>【原文 / Original】</w:t>
      </w:r>
    </w:p>
    <w:p w:rsidR="00FC0BB1" w:rsidRDefault="00000000">
      <w:pPr>
        <w:spacing w:before="60" w:after="60" w:line="300" w:lineRule="auto"/>
        <w:ind w:left="360"/>
      </w:pPr>
      <w:r>
        <w:rPr>
          <w:rFonts w:eastAsia="Times New Roman"/>
          <w:i/>
          <w:iCs/>
          <w:color w:val="404040"/>
          <w:sz w:val="20"/>
          <w:szCs w:val="20"/>
        </w:rPr>
        <w:t xml:space="preserve">Among the compared baselines, DC-Finetune, Vanilla </w:t>
      </w:r>
      <w:proofErr w:type="spellStart"/>
      <w:r>
        <w:rPr>
          <w:rFonts w:eastAsia="Times New Roman"/>
          <w:i/>
          <w:iCs/>
          <w:color w:val="404040"/>
          <w:sz w:val="20"/>
          <w:szCs w:val="20"/>
        </w:rPr>
        <w:t>MoE</w:t>
      </w:r>
      <w:proofErr w:type="spellEnd"/>
      <w:r>
        <w:rPr>
          <w:rFonts w:eastAsia="Times New Roman"/>
          <w:i/>
          <w:iCs/>
          <w:color w:val="404040"/>
          <w:sz w:val="20"/>
          <w:szCs w:val="20"/>
        </w:rPr>
        <w:t xml:space="preserve">, </w:t>
      </w:r>
      <w:proofErr w:type="spellStart"/>
      <w:r>
        <w:rPr>
          <w:rFonts w:eastAsia="Times New Roman"/>
          <w:i/>
          <w:iCs/>
          <w:color w:val="404040"/>
          <w:sz w:val="20"/>
          <w:szCs w:val="20"/>
        </w:rPr>
        <w:t>MixLoRA</w:t>
      </w:r>
      <w:proofErr w:type="spellEnd"/>
      <w:r>
        <w:rPr>
          <w:rFonts w:eastAsia="Times New Roman"/>
          <w:i/>
          <w:iCs/>
          <w:color w:val="404040"/>
          <w:sz w:val="20"/>
          <w:szCs w:val="20"/>
        </w:rPr>
        <w:t xml:space="preserve">, and the proposed </w:t>
      </w:r>
      <w:proofErr w:type="spellStart"/>
      <w:r>
        <w:rPr>
          <w:rFonts w:eastAsia="Times New Roman"/>
          <w:i/>
          <w:iCs/>
          <w:color w:val="404040"/>
          <w:sz w:val="20"/>
          <w:szCs w:val="20"/>
        </w:rPr>
        <w:t>CulDPD</w:t>
      </w:r>
      <w:proofErr w:type="spellEnd"/>
      <w:r>
        <w:rPr>
          <w:rFonts w:eastAsia="Times New Roman"/>
          <w:i/>
          <w:iCs/>
          <w:color w:val="404040"/>
          <w:sz w:val="20"/>
          <w:szCs w:val="20"/>
        </w:rPr>
        <w:t xml:space="preserve"> all fall under PEFT fine-tuning pipelines. However, no table or discussion is provided to compare the number of trainable </w:t>
      </w:r>
      <w:proofErr w:type="spellStart"/>
      <w:r>
        <w:rPr>
          <w:rFonts w:eastAsia="Times New Roman"/>
          <w:i/>
          <w:iCs/>
          <w:color w:val="404040"/>
          <w:sz w:val="20"/>
          <w:szCs w:val="20"/>
        </w:rPr>
        <w:t>LoRA</w:t>
      </w:r>
      <w:proofErr w:type="spellEnd"/>
      <w:r>
        <w:rPr>
          <w:rFonts w:eastAsia="Times New Roman"/>
          <w:i/>
          <w:iCs/>
          <w:color w:val="404040"/>
          <w:sz w:val="20"/>
          <w:szCs w:val="20"/>
        </w:rPr>
        <w:t xml:space="preserve"> parameters across all methods. </w:t>
      </w:r>
      <w:proofErr w:type="spellStart"/>
      <w:r>
        <w:rPr>
          <w:rFonts w:eastAsia="Times New Roman"/>
          <w:i/>
          <w:iCs/>
          <w:color w:val="404040"/>
          <w:sz w:val="20"/>
          <w:szCs w:val="20"/>
        </w:rPr>
        <w:t>CulDPD</w:t>
      </w:r>
      <w:proofErr w:type="spellEnd"/>
      <w:r>
        <w:rPr>
          <w:rFonts w:eastAsia="Times New Roman"/>
          <w:i/>
          <w:iCs/>
          <w:color w:val="404040"/>
          <w:sz w:val="20"/>
          <w:szCs w:val="20"/>
        </w:rPr>
        <w:t xml:space="preserve"> incorporates one shared </w:t>
      </w:r>
      <w:proofErr w:type="spellStart"/>
      <w:r>
        <w:rPr>
          <w:rFonts w:eastAsia="Times New Roman"/>
          <w:i/>
          <w:iCs/>
          <w:color w:val="404040"/>
          <w:sz w:val="20"/>
          <w:szCs w:val="20"/>
        </w:rPr>
        <w:t>LoRA</w:t>
      </w:r>
      <w:proofErr w:type="spellEnd"/>
      <w:r>
        <w:rPr>
          <w:rFonts w:eastAsia="Times New Roman"/>
          <w:i/>
          <w:iCs/>
          <w:color w:val="404040"/>
          <w:sz w:val="20"/>
          <w:szCs w:val="20"/>
        </w:rPr>
        <w:t xml:space="preserve"> plus multiple culture-specific expert </w:t>
      </w:r>
      <w:proofErr w:type="spellStart"/>
      <w:r>
        <w:rPr>
          <w:rFonts w:eastAsia="Times New Roman"/>
          <w:i/>
          <w:iCs/>
          <w:color w:val="404040"/>
          <w:sz w:val="20"/>
          <w:szCs w:val="20"/>
        </w:rPr>
        <w:t>LoRAs</w:t>
      </w:r>
      <w:proofErr w:type="spellEnd"/>
      <w:r>
        <w:rPr>
          <w:rFonts w:eastAsia="Times New Roman"/>
          <w:i/>
          <w:iCs/>
          <w:color w:val="404040"/>
          <w:sz w:val="20"/>
          <w:szCs w:val="20"/>
        </w:rPr>
        <w:t>, which likely introduces more trainable parameters than competing baselines. The authors are required to elaborate on the trainable parameter count of each baseline; without such comparisons, it is impossible to determine whether the performance improvements stem from the decoupled architecture itself or merely from an expansion of trainable parameters.</w:t>
      </w:r>
    </w:p>
    <w:p w:rsidR="00FC0BB1" w:rsidRDefault="00000000">
      <w:pPr>
        <w:spacing w:before="160" w:after="60"/>
      </w:pPr>
      <w:r>
        <w:rPr>
          <w:rFonts w:ascii="宋体" w:eastAsia="宋体" w:hAnsi="宋体" w:cs="宋体"/>
          <w:b/>
          <w:bCs/>
          <w:color w:val="C00000"/>
        </w:rPr>
        <w:t>【中文翻译】</w:t>
      </w:r>
    </w:p>
    <w:p w:rsidR="00FC0BB1" w:rsidRDefault="00000000">
      <w:pPr>
        <w:spacing w:before="60" w:after="60" w:line="340" w:lineRule="auto"/>
      </w:pPr>
      <w:r>
        <w:rPr>
          <w:rFonts w:ascii="宋体" w:eastAsia="宋体" w:hAnsi="宋体" w:cs="宋体"/>
        </w:rPr>
        <w:t xml:space="preserve">在所比较的基线中，DC-Finetune、Vanilla </w:t>
      </w:r>
      <w:proofErr w:type="spellStart"/>
      <w:r>
        <w:rPr>
          <w:rFonts w:ascii="宋体" w:eastAsia="宋体" w:hAnsi="宋体" w:cs="宋体"/>
        </w:rPr>
        <w:t>MoE</w:t>
      </w:r>
      <w:proofErr w:type="spellEnd"/>
      <w:r>
        <w:rPr>
          <w:rFonts w:ascii="宋体" w:eastAsia="宋体" w:hAnsi="宋体" w:cs="宋体"/>
        </w:rPr>
        <w:t>、</w:t>
      </w:r>
      <w:proofErr w:type="spellStart"/>
      <w:r>
        <w:rPr>
          <w:rFonts w:ascii="宋体" w:eastAsia="宋体" w:hAnsi="宋体" w:cs="宋体"/>
        </w:rPr>
        <w:t>MixLoRA</w:t>
      </w:r>
      <w:proofErr w:type="spellEnd"/>
      <w:r>
        <w:rPr>
          <w:rFonts w:ascii="宋体" w:eastAsia="宋体" w:hAnsi="宋体" w:cs="宋体"/>
        </w:rPr>
        <w:t xml:space="preserve"> 以及所提 </w:t>
      </w:r>
      <w:proofErr w:type="spellStart"/>
      <w:r>
        <w:rPr>
          <w:rFonts w:ascii="宋体" w:eastAsia="宋体" w:hAnsi="宋体" w:cs="宋体"/>
        </w:rPr>
        <w:t>CulDPD</w:t>
      </w:r>
      <w:proofErr w:type="spellEnd"/>
      <w:r>
        <w:rPr>
          <w:rFonts w:ascii="宋体" w:eastAsia="宋体" w:hAnsi="宋体" w:cs="宋体"/>
        </w:rPr>
        <w:t xml:space="preserve"> 都属于 PEFT 微调流程，但论文未提供任何表格或讨论来比较各方法的可训练 </w:t>
      </w:r>
      <w:proofErr w:type="spellStart"/>
      <w:r>
        <w:rPr>
          <w:rFonts w:ascii="宋体" w:eastAsia="宋体" w:hAnsi="宋体" w:cs="宋体"/>
        </w:rPr>
        <w:t>LoRA</w:t>
      </w:r>
      <w:proofErr w:type="spellEnd"/>
      <w:r>
        <w:rPr>
          <w:rFonts w:ascii="宋体" w:eastAsia="宋体" w:hAnsi="宋体" w:cs="宋体"/>
        </w:rPr>
        <w:t xml:space="preserve"> 参数量。</w:t>
      </w:r>
      <w:proofErr w:type="spellStart"/>
      <w:r>
        <w:rPr>
          <w:rFonts w:ascii="宋体" w:eastAsia="宋体" w:hAnsi="宋体" w:cs="宋体"/>
        </w:rPr>
        <w:t>CulDPD</w:t>
      </w:r>
      <w:proofErr w:type="spellEnd"/>
      <w:r>
        <w:rPr>
          <w:rFonts w:ascii="宋体" w:eastAsia="宋体" w:hAnsi="宋体" w:cs="宋体"/>
        </w:rPr>
        <w:t xml:space="preserve"> 包含一个共享 </w:t>
      </w:r>
      <w:proofErr w:type="spellStart"/>
      <w:r>
        <w:rPr>
          <w:rFonts w:ascii="宋体" w:eastAsia="宋体" w:hAnsi="宋体" w:cs="宋体"/>
        </w:rPr>
        <w:t>LoRA</w:t>
      </w:r>
      <w:proofErr w:type="spellEnd"/>
      <w:r>
        <w:rPr>
          <w:rFonts w:ascii="宋体" w:eastAsia="宋体" w:hAnsi="宋体" w:cs="宋体"/>
        </w:rPr>
        <w:t xml:space="preserve"> 加多个文化特定专家 </w:t>
      </w:r>
      <w:proofErr w:type="spellStart"/>
      <w:r>
        <w:rPr>
          <w:rFonts w:ascii="宋体" w:eastAsia="宋体" w:hAnsi="宋体" w:cs="宋体"/>
        </w:rPr>
        <w:t>LoRA</w:t>
      </w:r>
      <w:proofErr w:type="spellEnd"/>
      <w:r>
        <w:rPr>
          <w:rFonts w:ascii="宋体" w:eastAsia="宋体" w:hAnsi="宋体" w:cs="宋体"/>
        </w:rPr>
        <w:t>，可训练参数很可能多于其他基线。作者需要详细说明各基线的可训练参数量；缺少此对比，无法判断性能提升究竟来自解耦架构本身，还是仅仅来自可训练参数量的扩张。</w:t>
      </w:r>
    </w:p>
    <w:p w:rsidR="00FC0BB1" w:rsidRDefault="00000000">
      <w:pPr>
        <w:spacing w:before="160" w:after="60"/>
      </w:pPr>
      <w:r>
        <w:rPr>
          <w:rFonts w:ascii="宋体" w:eastAsia="宋体" w:hAnsi="宋体" w:cs="宋体"/>
          <w:b/>
          <w:bCs/>
          <w:color w:val="C00000"/>
        </w:rPr>
        <w:t>【中文回复】</w:t>
      </w:r>
    </w:p>
    <w:p w:rsidR="00FC0BB1" w:rsidRDefault="00000000">
      <w:pPr>
        <w:spacing w:before="60" w:after="60" w:line="340" w:lineRule="auto"/>
      </w:pPr>
      <w:r>
        <w:rPr>
          <w:rFonts w:ascii="宋体" w:eastAsia="宋体" w:hAnsi="宋体" w:cs="宋体"/>
        </w:rPr>
        <w:t xml:space="preserve">感谢审稿人提出这一关键对比。我们基于论文 Section 3.2 与 Appendix D 的配置，精确计算了各方法的可训练参数量（所有方法均为 per-layer </w:t>
      </w:r>
      <w:proofErr w:type="spellStart"/>
      <w:r>
        <w:rPr>
          <w:rFonts w:ascii="宋体" w:eastAsia="宋体" w:hAnsi="宋体" w:cs="宋体"/>
        </w:rPr>
        <w:t>LoRA</w:t>
      </w:r>
      <w:proofErr w:type="spellEnd"/>
      <w:r>
        <w:rPr>
          <w:rFonts w:ascii="宋体" w:eastAsia="宋体" w:hAnsi="宋体" w:cs="宋体"/>
        </w:rPr>
        <w:t xml:space="preserve"> experts 设计；</w:t>
      </w:r>
      <w:proofErr w:type="spellStart"/>
      <w:r>
        <w:rPr>
          <w:rFonts w:ascii="宋体" w:eastAsia="宋体" w:hAnsi="宋体" w:cs="宋体"/>
        </w:rPr>
        <w:t>CulDPD</w:t>
      </w:r>
      <w:proofErr w:type="spellEnd"/>
      <w:r>
        <w:rPr>
          <w:rFonts w:ascii="宋体" w:eastAsia="宋体" w:hAnsi="宋体" w:cs="宋体"/>
        </w:rPr>
        <w:t xml:space="preserve">/Vanilla </w:t>
      </w:r>
      <w:proofErr w:type="spellStart"/>
      <w:r>
        <w:rPr>
          <w:rFonts w:ascii="宋体" w:eastAsia="宋体" w:hAnsi="宋体" w:cs="宋体"/>
        </w:rPr>
        <w:t>MoE</w:t>
      </w:r>
      <w:proofErr w:type="spellEnd"/>
      <w:r>
        <w:rPr>
          <w:rFonts w:ascii="宋体" w:eastAsia="宋体" w:hAnsi="宋体" w:cs="宋体"/>
        </w:rPr>
        <w:t>/DC-Finetune: rank=16, alpha=32；</w:t>
      </w:r>
      <w:proofErr w:type="spellStart"/>
      <w:r>
        <w:rPr>
          <w:rFonts w:ascii="宋体" w:eastAsia="宋体" w:hAnsi="宋体" w:cs="宋体"/>
        </w:rPr>
        <w:t>CulDPD</w:t>
      </w:r>
      <w:proofErr w:type="spellEnd"/>
      <w:r>
        <w:rPr>
          <w:rFonts w:ascii="宋体" w:eastAsia="宋体" w:hAnsi="宋体" w:cs="宋体"/>
        </w:rPr>
        <w:t xml:space="preserve"> 的 culture-shared pathway 为 1 个 </w:t>
      </w:r>
      <w:proofErr w:type="spellStart"/>
      <w:r>
        <w:rPr>
          <w:rFonts w:ascii="宋体" w:eastAsia="宋体" w:hAnsi="宋体" w:cs="宋体"/>
        </w:rPr>
        <w:t>LoRA</w:t>
      </w:r>
      <w:proofErr w:type="spellEnd"/>
      <w:r>
        <w:rPr>
          <w:rFonts w:ascii="宋体" w:eastAsia="宋体" w:hAnsi="宋体" w:cs="宋体"/>
        </w:rPr>
        <w:t xml:space="preserve"> on q/k/v/o，culture-specific pathway 为 4 个 </w:t>
      </w:r>
      <w:proofErr w:type="spellStart"/>
      <w:r>
        <w:rPr>
          <w:rFonts w:ascii="宋体" w:eastAsia="宋体" w:hAnsi="宋体" w:cs="宋体"/>
        </w:rPr>
        <w:t>LoRA</w:t>
      </w:r>
      <w:proofErr w:type="spellEnd"/>
      <w:r>
        <w:rPr>
          <w:rFonts w:ascii="宋体" w:eastAsia="宋体" w:hAnsi="宋体" w:cs="宋体"/>
        </w:rPr>
        <w:t xml:space="preserve"> experts on FFN(gate/up/down) + router + fusion gate；</w:t>
      </w:r>
      <w:proofErr w:type="spellStart"/>
      <w:r>
        <w:rPr>
          <w:rFonts w:ascii="宋体" w:eastAsia="宋体" w:hAnsi="宋体" w:cs="宋体"/>
        </w:rPr>
        <w:t>MixLoRA</w:t>
      </w:r>
      <w:proofErr w:type="spellEnd"/>
      <w:r>
        <w:rPr>
          <w:rFonts w:ascii="宋体" w:eastAsia="宋体" w:hAnsi="宋体" w:cs="宋体"/>
        </w:rPr>
        <w:t>: rank=32, alpha=16, 4 experts）：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3"/>
        <w:gridCol w:w="2326"/>
        <w:gridCol w:w="2330"/>
        <w:gridCol w:w="2325"/>
      </w:tblGrid>
      <w:tr w:rsidR="00FC0BB1">
        <w:tblPrEx>
          <w:tblCellMar>
            <w:top w:w="0" w:type="dxa"/>
            <w:bottom w:w="0" w:type="dxa"/>
          </w:tblCellMar>
        </w:tblPrEx>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D5E8F0"/>
            <w:vAlign w:val="center"/>
          </w:tcPr>
          <w:p w:rsidR="00FC0BB1" w:rsidRDefault="00000000">
            <w:pPr>
              <w:jc w:val="center"/>
            </w:pPr>
            <w:r>
              <w:rPr>
                <w:rFonts w:eastAsia="Times New Roman"/>
                <w:b/>
                <w:bCs/>
                <w:sz w:val="20"/>
                <w:szCs w:val="20"/>
              </w:rPr>
              <w:lastRenderedPageBreak/>
              <w:t>Method</w:t>
            </w:r>
          </w:p>
        </w:tc>
        <w:tc>
          <w:tcPr>
            <w:tcW w:w="2400" w:type="dxa"/>
            <w:tcBorders>
              <w:top w:val="single" w:sz="1" w:space="0" w:color="AAAAAA"/>
              <w:left w:val="single" w:sz="1" w:space="0" w:color="AAAAAA"/>
              <w:bottom w:val="single" w:sz="1" w:space="0" w:color="AAAAAA"/>
              <w:right w:val="single" w:sz="1" w:space="0" w:color="AAAAAA"/>
            </w:tcBorders>
            <w:shd w:val="clear" w:color="auto" w:fill="D5E8F0"/>
            <w:vAlign w:val="center"/>
          </w:tcPr>
          <w:p w:rsidR="00FC0BB1" w:rsidRDefault="00000000">
            <w:pPr>
              <w:jc w:val="center"/>
            </w:pPr>
            <w:r>
              <w:rPr>
                <w:rFonts w:eastAsia="Times New Roman"/>
                <w:b/>
                <w:bCs/>
                <w:sz w:val="20"/>
                <w:szCs w:val="20"/>
              </w:rPr>
              <w:t>Llama-3.1-8B</w:t>
            </w:r>
          </w:p>
        </w:tc>
        <w:tc>
          <w:tcPr>
            <w:tcW w:w="2400" w:type="dxa"/>
            <w:tcBorders>
              <w:top w:val="single" w:sz="1" w:space="0" w:color="AAAAAA"/>
              <w:left w:val="single" w:sz="1" w:space="0" w:color="AAAAAA"/>
              <w:bottom w:val="single" w:sz="1" w:space="0" w:color="AAAAAA"/>
              <w:right w:val="single" w:sz="1" w:space="0" w:color="AAAAAA"/>
            </w:tcBorders>
            <w:shd w:val="clear" w:color="auto" w:fill="D5E8F0"/>
            <w:vAlign w:val="center"/>
          </w:tcPr>
          <w:p w:rsidR="00FC0BB1" w:rsidRDefault="00000000">
            <w:pPr>
              <w:jc w:val="center"/>
            </w:pPr>
            <w:r>
              <w:rPr>
                <w:rFonts w:eastAsia="Times New Roman"/>
                <w:b/>
                <w:bCs/>
                <w:sz w:val="20"/>
                <w:szCs w:val="20"/>
              </w:rPr>
              <w:t>Qwen2.5-7B</w:t>
            </w:r>
          </w:p>
        </w:tc>
        <w:tc>
          <w:tcPr>
            <w:tcW w:w="2400" w:type="dxa"/>
            <w:tcBorders>
              <w:top w:val="single" w:sz="1" w:space="0" w:color="AAAAAA"/>
              <w:left w:val="single" w:sz="1" w:space="0" w:color="AAAAAA"/>
              <w:bottom w:val="single" w:sz="1" w:space="0" w:color="AAAAAA"/>
              <w:right w:val="single" w:sz="1" w:space="0" w:color="AAAAAA"/>
            </w:tcBorders>
            <w:shd w:val="clear" w:color="auto" w:fill="D5E8F0"/>
            <w:vAlign w:val="center"/>
          </w:tcPr>
          <w:p w:rsidR="00FC0BB1" w:rsidRDefault="00000000">
            <w:pPr>
              <w:jc w:val="center"/>
            </w:pPr>
            <w:r>
              <w:rPr>
                <w:rFonts w:eastAsia="Times New Roman"/>
                <w:b/>
                <w:bCs/>
                <w:sz w:val="20"/>
                <w:szCs w:val="20"/>
              </w:rPr>
              <w:t>Note</w:t>
            </w:r>
          </w:p>
        </w:tc>
      </w:tr>
      <w:tr w:rsidR="00FC0BB1">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DC-Finetune</w:t>
            </w:r>
          </w:p>
        </w:tc>
        <w:tc>
          <w:tcPr>
            <w:tcW w:w="24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16.78M</w:t>
            </w:r>
          </w:p>
        </w:tc>
        <w:tc>
          <w:tcPr>
            <w:tcW w:w="24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12.85M</w:t>
            </w:r>
          </w:p>
        </w:tc>
        <w:tc>
          <w:tcPr>
            <w:tcW w:w="24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 xml:space="preserve">single </w:t>
            </w:r>
            <w:proofErr w:type="spellStart"/>
            <w:r>
              <w:rPr>
                <w:rFonts w:eastAsia="Times New Roman"/>
                <w:sz w:val="20"/>
                <w:szCs w:val="20"/>
              </w:rPr>
              <w:t>LoRA</w:t>
            </w:r>
            <w:proofErr w:type="spellEnd"/>
            <w:r>
              <w:rPr>
                <w:rFonts w:eastAsia="Times New Roman"/>
                <w:sz w:val="20"/>
                <w:szCs w:val="20"/>
              </w:rPr>
              <w:t xml:space="preserve"> on q/k/v/o, r=16</w:t>
            </w:r>
          </w:p>
        </w:tc>
      </w:tr>
      <w:tr w:rsidR="00FC0BB1">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 xml:space="preserve">Vanilla </w:t>
            </w:r>
            <w:proofErr w:type="spellStart"/>
            <w:r>
              <w:rPr>
                <w:rFonts w:eastAsia="Times New Roman"/>
                <w:sz w:val="20"/>
                <w:szCs w:val="20"/>
              </w:rPr>
              <w:t>MoE</w:t>
            </w:r>
            <w:proofErr w:type="spellEnd"/>
          </w:p>
        </w:tc>
        <w:tc>
          <w:tcPr>
            <w:tcW w:w="24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113.77M</w:t>
            </w:r>
          </w:p>
        </w:tc>
        <w:tc>
          <w:tcPr>
            <w:tcW w:w="24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121.51M</w:t>
            </w:r>
          </w:p>
        </w:tc>
        <w:tc>
          <w:tcPr>
            <w:tcW w:w="24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 xml:space="preserve">4 </w:t>
            </w:r>
            <w:proofErr w:type="spellStart"/>
            <w:r>
              <w:rPr>
                <w:rFonts w:eastAsia="Times New Roman"/>
                <w:sz w:val="20"/>
                <w:szCs w:val="20"/>
              </w:rPr>
              <w:t>LoRA</w:t>
            </w:r>
            <w:proofErr w:type="spellEnd"/>
            <w:r>
              <w:rPr>
                <w:rFonts w:eastAsia="Times New Roman"/>
                <w:sz w:val="20"/>
                <w:szCs w:val="20"/>
              </w:rPr>
              <w:t xml:space="preserve"> experts on FFN + router (per-layer), r=16</w:t>
            </w:r>
          </w:p>
        </w:tc>
      </w:tr>
      <w:tr w:rsidR="00FC0BB1">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proofErr w:type="spellStart"/>
            <w:r>
              <w:rPr>
                <w:rFonts w:eastAsia="Times New Roman"/>
                <w:sz w:val="20"/>
                <w:szCs w:val="20"/>
              </w:rPr>
              <w:t>MixLoRA</w:t>
            </w:r>
            <w:proofErr w:type="spellEnd"/>
          </w:p>
        </w:tc>
        <w:tc>
          <w:tcPr>
            <w:tcW w:w="24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243.79M</w:t>
            </w:r>
          </w:p>
        </w:tc>
        <w:tc>
          <w:tcPr>
            <w:tcW w:w="24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255.47M</w:t>
            </w:r>
          </w:p>
        </w:tc>
        <w:tc>
          <w:tcPr>
            <w:tcW w:w="24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 xml:space="preserve">4 </w:t>
            </w:r>
            <w:proofErr w:type="spellStart"/>
            <w:r>
              <w:rPr>
                <w:rFonts w:eastAsia="Times New Roman"/>
                <w:sz w:val="20"/>
                <w:szCs w:val="20"/>
              </w:rPr>
              <w:t>LoRA</w:t>
            </w:r>
            <w:proofErr w:type="spellEnd"/>
            <w:r>
              <w:rPr>
                <w:rFonts w:eastAsia="Times New Roman"/>
                <w:sz w:val="20"/>
                <w:szCs w:val="20"/>
              </w:rPr>
              <w:t xml:space="preserve"> experts on FFN + shared attn </w:t>
            </w:r>
            <w:proofErr w:type="spellStart"/>
            <w:r>
              <w:rPr>
                <w:rFonts w:eastAsia="Times New Roman"/>
                <w:sz w:val="20"/>
                <w:szCs w:val="20"/>
              </w:rPr>
              <w:t>LoRA</w:t>
            </w:r>
            <w:proofErr w:type="spellEnd"/>
            <w:r>
              <w:rPr>
                <w:rFonts w:eastAsia="Times New Roman"/>
                <w:sz w:val="20"/>
                <w:szCs w:val="20"/>
              </w:rPr>
              <w:t xml:space="preserve"> (per-layer), r=32</w:t>
            </w:r>
          </w:p>
        </w:tc>
      </w:tr>
      <w:tr w:rsidR="00FC0BB1">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proofErr w:type="spellStart"/>
            <w:r>
              <w:rPr>
                <w:rFonts w:eastAsia="Times New Roman"/>
                <w:sz w:val="20"/>
                <w:szCs w:val="20"/>
              </w:rPr>
              <w:t>CulDPD</w:t>
            </w:r>
            <w:proofErr w:type="spellEnd"/>
            <w:r>
              <w:rPr>
                <w:rFonts w:eastAsia="Times New Roman"/>
                <w:sz w:val="20"/>
                <w:szCs w:val="20"/>
              </w:rPr>
              <w:t xml:space="preserve"> (Ours)</w:t>
            </w:r>
          </w:p>
        </w:tc>
        <w:tc>
          <w:tcPr>
            <w:tcW w:w="24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130.81M</w:t>
            </w:r>
          </w:p>
        </w:tc>
        <w:tc>
          <w:tcPr>
            <w:tcW w:w="24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134.56M</w:t>
            </w:r>
          </w:p>
        </w:tc>
        <w:tc>
          <w:tcPr>
            <w:tcW w:w="24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 xml:space="preserve">shared </w:t>
            </w:r>
            <w:proofErr w:type="spellStart"/>
            <w:r>
              <w:rPr>
                <w:rFonts w:eastAsia="Times New Roman"/>
                <w:sz w:val="20"/>
                <w:szCs w:val="20"/>
              </w:rPr>
              <w:t>LoRA</w:t>
            </w:r>
            <w:proofErr w:type="spellEnd"/>
            <w:r>
              <w:rPr>
                <w:rFonts w:eastAsia="Times New Roman"/>
                <w:sz w:val="20"/>
                <w:szCs w:val="20"/>
              </w:rPr>
              <w:t xml:space="preserve"> (q/k/v/o) + 4 </w:t>
            </w:r>
            <w:proofErr w:type="spellStart"/>
            <w:r>
              <w:rPr>
                <w:rFonts w:eastAsia="Times New Roman"/>
                <w:sz w:val="20"/>
                <w:szCs w:val="20"/>
              </w:rPr>
              <w:t>LoRA</w:t>
            </w:r>
            <w:proofErr w:type="spellEnd"/>
            <w:r>
              <w:rPr>
                <w:rFonts w:eastAsia="Times New Roman"/>
                <w:sz w:val="20"/>
                <w:szCs w:val="20"/>
              </w:rPr>
              <w:t xml:space="preserve"> experts on FFN + router + fusion gate (per-layer), r=16</w:t>
            </w:r>
          </w:p>
        </w:tc>
      </w:tr>
    </w:tbl>
    <w:p w:rsidR="00FC0BB1" w:rsidRDefault="00000000">
      <w:pPr>
        <w:spacing w:before="60" w:after="60" w:line="340" w:lineRule="auto"/>
      </w:pPr>
      <w:r>
        <w:rPr>
          <w:rFonts w:ascii="宋体" w:eastAsia="宋体" w:hAnsi="宋体" w:cs="宋体"/>
        </w:rPr>
        <w:t xml:space="preserve">关键观察：(1) </w:t>
      </w:r>
      <w:proofErr w:type="spellStart"/>
      <w:r>
        <w:rPr>
          <w:rFonts w:ascii="宋体" w:eastAsia="宋体" w:hAnsi="宋体" w:cs="宋体"/>
        </w:rPr>
        <w:t>CulDPD</w:t>
      </w:r>
      <w:proofErr w:type="spellEnd"/>
      <w:r>
        <w:rPr>
          <w:rFonts w:ascii="宋体" w:eastAsia="宋体" w:hAnsi="宋体" w:cs="宋体"/>
        </w:rPr>
        <w:t xml:space="preserve">（130.81M / 134.56M）显著低于 </w:t>
      </w:r>
      <w:proofErr w:type="spellStart"/>
      <w:r>
        <w:rPr>
          <w:rFonts w:ascii="宋体" w:eastAsia="宋体" w:hAnsi="宋体" w:cs="宋体"/>
        </w:rPr>
        <w:t>MixLoRA</w:t>
      </w:r>
      <w:proofErr w:type="spellEnd"/>
      <w:r>
        <w:rPr>
          <w:rFonts w:ascii="宋体" w:eastAsia="宋体" w:hAnsi="宋体" w:cs="宋体"/>
        </w:rPr>
        <w:t xml:space="preserve">（243.79M / 255.47M），少约 46%，但在四个数据集上均持续优于 </w:t>
      </w:r>
      <w:proofErr w:type="spellStart"/>
      <w:r>
        <w:rPr>
          <w:rFonts w:ascii="宋体" w:eastAsia="宋体" w:hAnsi="宋体" w:cs="宋体"/>
        </w:rPr>
        <w:t>MixLoRA</w:t>
      </w:r>
      <w:proofErr w:type="spellEnd"/>
      <w:r>
        <w:rPr>
          <w:rFonts w:ascii="宋体" w:eastAsia="宋体" w:hAnsi="宋体" w:cs="宋体"/>
        </w:rPr>
        <w:t xml:space="preserve">（如 </w:t>
      </w:r>
      <w:proofErr w:type="spellStart"/>
      <w:r>
        <w:rPr>
          <w:rFonts w:ascii="宋体" w:eastAsia="宋体" w:hAnsi="宋体" w:cs="宋体"/>
        </w:rPr>
        <w:t>CultureLLM</w:t>
      </w:r>
      <w:proofErr w:type="spellEnd"/>
      <w:r>
        <w:rPr>
          <w:rFonts w:ascii="宋体" w:eastAsia="宋体" w:hAnsi="宋体" w:cs="宋体"/>
        </w:rPr>
        <w:t xml:space="preserve"> 91.43 vs 89.93，+1.5pt；</w:t>
      </w:r>
      <w:proofErr w:type="spellStart"/>
      <w:r>
        <w:rPr>
          <w:rFonts w:ascii="宋体" w:eastAsia="宋体" w:hAnsi="宋体" w:cs="宋体"/>
        </w:rPr>
        <w:t>NormAd</w:t>
      </w:r>
      <w:proofErr w:type="spellEnd"/>
      <w:r>
        <w:rPr>
          <w:rFonts w:ascii="宋体" w:eastAsia="宋体" w:hAnsi="宋体" w:cs="宋体"/>
        </w:rPr>
        <w:t xml:space="preserve"> 99.24 vs 98.48，+0.76pt），排除参数扩张作为性能来源；(2) </w:t>
      </w:r>
      <w:proofErr w:type="spellStart"/>
      <w:r>
        <w:rPr>
          <w:rFonts w:ascii="宋体" w:eastAsia="宋体" w:hAnsi="宋体" w:cs="宋体"/>
        </w:rPr>
        <w:t>CulDPD</w:t>
      </w:r>
      <w:proofErr w:type="spellEnd"/>
      <w:r>
        <w:rPr>
          <w:rFonts w:ascii="宋体" w:eastAsia="宋体" w:hAnsi="宋体" w:cs="宋体"/>
        </w:rPr>
        <w:t xml:space="preserve"> 与 Vanilla </w:t>
      </w:r>
      <w:proofErr w:type="spellStart"/>
      <w:r>
        <w:rPr>
          <w:rFonts w:ascii="宋体" w:eastAsia="宋体" w:hAnsi="宋体" w:cs="宋体"/>
        </w:rPr>
        <w:t>MoE</w:t>
      </w:r>
      <w:proofErr w:type="spellEnd"/>
      <w:r>
        <w:rPr>
          <w:rFonts w:ascii="宋体" w:eastAsia="宋体" w:hAnsi="宋体" w:cs="宋体"/>
        </w:rPr>
        <w:t xml:space="preserve"> 均使用 4 个 per-layer </w:t>
      </w:r>
      <w:proofErr w:type="spellStart"/>
      <w:r>
        <w:rPr>
          <w:rFonts w:ascii="宋体" w:eastAsia="宋体" w:hAnsi="宋体" w:cs="宋体"/>
        </w:rPr>
        <w:t>LoRA</w:t>
      </w:r>
      <w:proofErr w:type="spellEnd"/>
      <w:r>
        <w:rPr>
          <w:rFonts w:ascii="宋体" w:eastAsia="宋体" w:hAnsi="宋体" w:cs="宋体"/>
        </w:rPr>
        <w:t xml:space="preserve"> experts (rank=16)，</w:t>
      </w:r>
      <w:proofErr w:type="spellStart"/>
      <w:r>
        <w:rPr>
          <w:rFonts w:ascii="宋体" w:eastAsia="宋体" w:hAnsi="宋体" w:cs="宋体"/>
        </w:rPr>
        <w:t>CulDPD</w:t>
      </w:r>
      <w:proofErr w:type="spellEnd"/>
      <w:r>
        <w:rPr>
          <w:rFonts w:ascii="宋体" w:eastAsia="宋体" w:hAnsi="宋体" w:cs="宋体"/>
        </w:rPr>
        <w:t xml:space="preserve"> 仅多约 15% 参数——源于 shared </w:t>
      </w:r>
      <w:proofErr w:type="spellStart"/>
      <w:r>
        <w:rPr>
          <w:rFonts w:ascii="宋体" w:eastAsia="宋体" w:hAnsi="宋体" w:cs="宋体"/>
        </w:rPr>
        <w:t>LoRA</w:t>
      </w:r>
      <w:proofErr w:type="spellEnd"/>
      <w:r>
        <w:rPr>
          <w:rFonts w:ascii="宋体" w:eastAsia="宋体" w:hAnsi="宋体" w:cs="宋体"/>
        </w:rPr>
        <w:t xml:space="preserve"> pathway 与 fusion gate，即双路径解耦的核心组件，而消融 (Table 2, w/o shared path / w/o gate) 表明移除它们会损害性能，证实增益来自解耦架构而非参数堆叠；(3) </w:t>
      </w:r>
      <w:proofErr w:type="spellStart"/>
      <w:r>
        <w:rPr>
          <w:rFonts w:ascii="宋体" w:eastAsia="宋体" w:hAnsi="宋体" w:cs="宋体"/>
        </w:rPr>
        <w:t>MixLoRA</w:t>
      </w:r>
      <w:proofErr w:type="spellEnd"/>
      <w:r>
        <w:rPr>
          <w:rFonts w:ascii="宋体" w:eastAsia="宋体" w:hAnsi="宋体" w:cs="宋体"/>
        </w:rPr>
        <w:t xml:space="preserve"> 用更大 rank (32 vs 16) 和更多参数仍未超越 </w:t>
      </w:r>
      <w:proofErr w:type="spellStart"/>
      <w:r>
        <w:rPr>
          <w:rFonts w:ascii="宋体" w:eastAsia="宋体" w:hAnsi="宋体" w:cs="宋体"/>
        </w:rPr>
        <w:t>CulDPD</w:t>
      </w:r>
      <w:proofErr w:type="spellEnd"/>
      <w:r>
        <w:rPr>
          <w:rFonts w:ascii="宋体" w:eastAsia="宋体" w:hAnsi="宋体" w:cs="宋体"/>
        </w:rPr>
        <w:t>，进一步证实优势来自架构设计。</w:t>
      </w:r>
    </w:p>
    <w:p w:rsidR="00FC0BB1" w:rsidRDefault="00000000">
      <w:pPr>
        <w:spacing w:before="60" w:after="60" w:line="340" w:lineRule="auto"/>
      </w:pPr>
      <w:r>
        <w:rPr>
          <w:rFonts w:ascii="宋体" w:eastAsia="宋体" w:hAnsi="宋体" w:cs="宋体"/>
        </w:rPr>
        <w:t>我们将在修改版正式加入该参数量对比表（置于 Section 4.2 之后），并补充相应讨论。</w:t>
      </w:r>
    </w:p>
    <w:p w:rsidR="00FC0BB1" w:rsidRDefault="00000000">
      <w:pPr>
        <w:spacing w:before="160" w:after="60"/>
      </w:pPr>
      <w:r>
        <w:rPr>
          <w:rFonts w:ascii="宋体" w:eastAsia="宋体" w:hAnsi="宋体" w:cs="宋体"/>
          <w:b/>
          <w:bCs/>
          <w:color w:val="C00000"/>
        </w:rPr>
        <w:t>【English Response】</w:t>
      </w:r>
    </w:p>
    <w:p w:rsidR="00FC0BB1" w:rsidRDefault="00000000">
      <w:pPr>
        <w:spacing w:before="60" w:after="60" w:line="300" w:lineRule="auto"/>
      </w:pPr>
      <w:r>
        <w:rPr>
          <w:rFonts w:eastAsia="Times New Roman"/>
        </w:rPr>
        <w:t xml:space="preserve">We thank the reviewer for this important comparison. We computed the exact trainable parameter counts of all PEFT baselines based on the configurations described in Section 3.2 and Appendix D of the paper (all methods use per-layer </w:t>
      </w:r>
      <w:proofErr w:type="spellStart"/>
      <w:r>
        <w:rPr>
          <w:rFonts w:eastAsia="Times New Roman"/>
        </w:rPr>
        <w:t>LoRA</w:t>
      </w:r>
      <w:proofErr w:type="spellEnd"/>
      <w:r>
        <w:rPr>
          <w:rFonts w:eastAsia="Times New Roman"/>
        </w:rPr>
        <w:t xml:space="preserve"> experts; </w:t>
      </w:r>
      <w:proofErr w:type="spellStart"/>
      <w:r>
        <w:rPr>
          <w:rFonts w:eastAsia="Times New Roman"/>
        </w:rPr>
        <w:t>CulDPD</w:t>
      </w:r>
      <w:proofErr w:type="spellEnd"/>
      <w:r>
        <w:rPr>
          <w:rFonts w:eastAsia="Times New Roman"/>
        </w:rPr>
        <w:t xml:space="preserve">/Vanilla </w:t>
      </w:r>
      <w:proofErr w:type="spellStart"/>
      <w:r>
        <w:rPr>
          <w:rFonts w:eastAsia="Times New Roman"/>
        </w:rPr>
        <w:t>MoE</w:t>
      </w:r>
      <w:proofErr w:type="spellEnd"/>
      <w:r>
        <w:rPr>
          <w:rFonts w:eastAsia="Times New Roman"/>
        </w:rPr>
        <w:t xml:space="preserve">/DC-Finetune: rank=16, alpha=32; </w:t>
      </w:r>
      <w:proofErr w:type="spellStart"/>
      <w:r>
        <w:rPr>
          <w:rFonts w:eastAsia="Times New Roman"/>
        </w:rPr>
        <w:t>CulDPD's</w:t>
      </w:r>
      <w:proofErr w:type="spellEnd"/>
      <w:r>
        <w:rPr>
          <w:rFonts w:eastAsia="Times New Roman"/>
        </w:rPr>
        <w:t xml:space="preserve"> culture-shared pathway = 1 </w:t>
      </w:r>
      <w:proofErr w:type="spellStart"/>
      <w:r>
        <w:rPr>
          <w:rFonts w:eastAsia="Times New Roman"/>
        </w:rPr>
        <w:t>LoRA</w:t>
      </w:r>
      <w:proofErr w:type="spellEnd"/>
      <w:r>
        <w:rPr>
          <w:rFonts w:eastAsia="Times New Roman"/>
        </w:rPr>
        <w:t xml:space="preserve"> on q/k/v/o, culture-specific pathway = 4 </w:t>
      </w:r>
      <w:proofErr w:type="spellStart"/>
      <w:r>
        <w:rPr>
          <w:rFonts w:eastAsia="Times New Roman"/>
        </w:rPr>
        <w:t>LoRA</w:t>
      </w:r>
      <w:proofErr w:type="spellEnd"/>
      <w:r>
        <w:rPr>
          <w:rFonts w:eastAsia="Times New Roman"/>
        </w:rPr>
        <w:t xml:space="preserve"> experts on FFN(gate/up/down) + router + fusion gate; </w:t>
      </w:r>
      <w:proofErr w:type="spellStart"/>
      <w:r>
        <w:rPr>
          <w:rFonts w:eastAsia="Times New Roman"/>
        </w:rPr>
        <w:t>MixLoRA</w:t>
      </w:r>
      <w:proofErr w:type="spellEnd"/>
      <w:r>
        <w:rPr>
          <w:rFonts w:eastAsia="Times New Roman"/>
        </w:rPr>
        <w:t>: rank=32, alpha=16, 4 experts):</w:t>
      </w:r>
    </w:p>
    <w:p w:rsidR="00FC0BB1" w:rsidRDefault="00000000">
      <w:pPr>
        <w:spacing w:before="60" w:after="60" w:line="300" w:lineRule="auto"/>
      </w:pPr>
      <w:r>
        <w:rPr>
          <w:rFonts w:eastAsia="Times New Roman"/>
        </w:rPr>
        <w:t xml:space="preserve">Key observations: (1) </w:t>
      </w:r>
      <w:proofErr w:type="spellStart"/>
      <w:r>
        <w:rPr>
          <w:rFonts w:eastAsia="Times New Roman"/>
        </w:rPr>
        <w:t>CulDPD</w:t>
      </w:r>
      <w:proofErr w:type="spellEnd"/>
      <w:r>
        <w:rPr>
          <w:rFonts w:eastAsia="Times New Roman"/>
        </w:rPr>
        <w:t xml:space="preserve"> (130.81M / 134.56M) uses substantially fewer parameters than </w:t>
      </w:r>
      <w:proofErr w:type="spellStart"/>
      <w:r>
        <w:rPr>
          <w:rFonts w:eastAsia="Times New Roman"/>
        </w:rPr>
        <w:t>MixLoRA</w:t>
      </w:r>
      <w:proofErr w:type="spellEnd"/>
      <w:r>
        <w:rPr>
          <w:rFonts w:eastAsia="Times New Roman"/>
        </w:rPr>
        <w:t xml:space="preserve"> (243.79M / 255.47M) — about 46% fewer — yet </w:t>
      </w:r>
      <w:proofErr w:type="spellStart"/>
      <w:r>
        <w:rPr>
          <w:rFonts w:eastAsia="Times New Roman"/>
        </w:rPr>
        <w:t>CulDPD</w:t>
      </w:r>
      <w:proofErr w:type="spellEnd"/>
      <w:r>
        <w:rPr>
          <w:rFonts w:eastAsia="Times New Roman"/>
        </w:rPr>
        <w:t xml:space="preserve"> consistently outperforms </w:t>
      </w:r>
      <w:proofErr w:type="spellStart"/>
      <w:r>
        <w:rPr>
          <w:rFonts w:eastAsia="Times New Roman"/>
        </w:rPr>
        <w:t>MixLoRA</w:t>
      </w:r>
      <w:proofErr w:type="spellEnd"/>
      <w:r>
        <w:rPr>
          <w:rFonts w:eastAsia="Times New Roman"/>
        </w:rPr>
        <w:t xml:space="preserve"> on all four datasets (e.g., </w:t>
      </w:r>
      <w:proofErr w:type="spellStart"/>
      <w:r>
        <w:rPr>
          <w:rFonts w:eastAsia="Times New Roman"/>
        </w:rPr>
        <w:t>CultureLLM</w:t>
      </w:r>
      <w:proofErr w:type="spellEnd"/>
      <w:r>
        <w:rPr>
          <w:rFonts w:eastAsia="Times New Roman"/>
        </w:rPr>
        <w:t xml:space="preserve"> 91.43 vs 89.93, +1.5pt; </w:t>
      </w:r>
      <w:proofErr w:type="spellStart"/>
      <w:r>
        <w:rPr>
          <w:rFonts w:eastAsia="Times New Roman"/>
        </w:rPr>
        <w:t>NormAd</w:t>
      </w:r>
      <w:proofErr w:type="spellEnd"/>
      <w:r>
        <w:rPr>
          <w:rFonts w:eastAsia="Times New Roman"/>
        </w:rPr>
        <w:t xml:space="preserve"> 99.24 vs 98.48, +0.76pt), ruling out parameter inflation as the cause of the gains. (2) </w:t>
      </w:r>
      <w:proofErr w:type="spellStart"/>
      <w:r>
        <w:rPr>
          <w:rFonts w:eastAsia="Times New Roman"/>
        </w:rPr>
        <w:t>CulDPD</w:t>
      </w:r>
      <w:proofErr w:type="spellEnd"/>
      <w:r>
        <w:rPr>
          <w:rFonts w:eastAsia="Times New Roman"/>
        </w:rPr>
        <w:t xml:space="preserve"> and Vanilla </w:t>
      </w:r>
      <w:proofErr w:type="spellStart"/>
      <w:r>
        <w:rPr>
          <w:rFonts w:eastAsia="Times New Roman"/>
        </w:rPr>
        <w:t>MoE</w:t>
      </w:r>
      <w:proofErr w:type="spellEnd"/>
      <w:r>
        <w:rPr>
          <w:rFonts w:eastAsia="Times New Roman"/>
        </w:rPr>
        <w:t xml:space="preserve"> both use 4 per-layer </w:t>
      </w:r>
      <w:proofErr w:type="spellStart"/>
      <w:r>
        <w:rPr>
          <w:rFonts w:eastAsia="Times New Roman"/>
        </w:rPr>
        <w:t>LoRA</w:t>
      </w:r>
      <w:proofErr w:type="spellEnd"/>
      <w:r>
        <w:rPr>
          <w:rFonts w:eastAsia="Times New Roman"/>
        </w:rPr>
        <w:t xml:space="preserve"> experts at rank=16; </w:t>
      </w:r>
      <w:proofErr w:type="spellStart"/>
      <w:r>
        <w:rPr>
          <w:rFonts w:eastAsia="Times New Roman"/>
        </w:rPr>
        <w:t>CulDPD's</w:t>
      </w:r>
      <w:proofErr w:type="spellEnd"/>
      <w:r>
        <w:rPr>
          <w:rFonts w:eastAsia="Times New Roman"/>
        </w:rPr>
        <w:t xml:space="preserve"> ~15% extra parameters come from the shared-</w:t>
      </w:r>
      <w:proofErr w:type="spellStart"/>
      <w:r>
        <w:rPr>
          <w:rFonts w:eastAsia="Times New Roman"/>
        </w:rPr>
        <w:t>LoRA</w:t>
      </w:r>
      <w:proofErr w:type="spellEnd"/>
      <w:r>
        <w:rPr>
          <w:rFonts w:eastAsia="Times New Roman"/>
        </w:rPr>
        <w:t xml:space="preserve"> pathway and fusion gate — exactly the dual-path decoupling components — and the ablation (Table 2, w/o shared path / w/o gate) confirms that removing them hurts performance, so the gain stems from decoupling rather than parameter stacking. (3) </w:t>
      </w:r>
      <w:proofErr w:type="spellStart"/>
      <w:r>
        <w:rPr>
          <w:rFonts w:eastAsia="Times New Roman"/>
        </w:rPr>
        <w:t>MixLoRA</w:t>
      </w:r>
      <w:proofErr w:type="spellEnd"/>
      <w:r>
        <w:rPr>
          <w:rFonts w:eastAsia="Times New Roman"/>
        </w:rPr>
        <w:t xml:space="preserve"> uses a larger rank (32 vs 16) and more parameters, yet still falls behind </w:t>
      </w:r>
      <w:proofErr w:type="spellStart"/>
      <w:r>
        <w:rPr>
          <w:rFonts w:eastAsia="Times New Roman"/>
        </w:rPr>
        <w:t>CulDPD</w:t>
      </w:r>
      <w:proofErr w:type="spellEnd"/>
      <w:r>
        <w:rPr>
          <w:rFonts w:eastAsia="Times New Roman"/>
        </w:rPr>
        <w:t>, further evidencing that the advantage comes from architectural design.</w:t>
      </w:r>
    </w:p>
    <w:p w:rsidR="00FC0BB1" w:rsidRDefault="00000000">
      <w:pPr>
        <w:spacing w:before="60" w:after="60" w:line="300" w:lineRule="auto"/>
      </w:pPr>
      <w:r>
        <w:rPr>
          <w:rFonts w:eastAsia="Times New Roman"/>
        </w:rPr>
        <w:t>We will include this parameter-count table in the revision (placed after Section 4.2) with a corresponding discussion.</w:t>
      </w:r>
    </w:p>
    <w:p w:rsidR="00FC0BB1" w:rsidRDefault="00000000">
      <w:pPr>
        <w:spacing w:before="200" w:after="100"/>
      </w:pPr>
      <w:r>
        <w:rPr>
          <w:rFonts w:ascii="宋体" w:eastAsia="宋体" w:hAnsi="宋体" w:cs="宋体"/>
          <w:b/>
          <w:bCs/>
          <w:color w:val="1F3864"/>
          <w:sz w:val="24"/>
          <w:szCs w:val="24"/>
        </w:rPr>
        <w:t>Weakness 3（R2-W3）：专家分析不足（Figure 3 仅证明路由聚类）</w:t>
      </w:r>
    </w:p>
    <w:p w:rsidR="00FC0BB1" w:rsidRDefault="00000000">
      <w:pPr>
        <w:spacing w:before="160" w:after="60"/>
      </w:pPr>
      <w:r>
        <w:rPr>
          <w:rFonts w:ascii="宋体" w:eastAsia="宋体" w:hAnsi="宋体" w:cs="宋体"/>
          <w:b/>
          <w:bCs/>
          <w:color w:val="C00000"/>
        </w:rPr>
        <w:t>【原文 / Original】</w:t>
      </w:r>
    </w:p>
    <w:p w:rsidR="00FC0BB1" w:rsidRDefault="00000000">
      <w:pPr>
        <w:spacing w:before="60" w:after="60" w:line="300" w:lineRule="auto"/>
        <w:ind w:left="360"/>
      </w:pPr>
      <w:r>
        <w:rPr>
          <w:rFonts w:eastAsia="Times New Roman"/>
          <w:i/>
          <w:iCs/>
          <w:color w:val="404040"/>
          <w:sz w:val="20"/>
          <w:szCs w:val="20"/>
        </w:rPr>
        <w:t>Figure 3 only visualizes the Euclidean distance heatmap of routing weights for samples grouped by continents, which merely proves that CRL tightens the clustering of samples from identical cultural backgrounds. The figure fails to intuitively illustrate the degree of expert differentiation and expert load balancing. We recommend plotting the activation magnitude or activation ratio of each expert at layers close to the output, grouped by task categories or clustering labels, to better support the claimed mechanism.</w:t>
      </w:r>
    </w:p>
    <w:p w:rsidR="00FC0BB1" w:rsidRDefault="00000000">
      <w:pPr>
        <w:spacing w:before="160" w:after="60"/>
      </w:pPr>
      <w:r>
        <w:rPr>
          <w:rFonts w:ascii="宋体" w:eastAsia="宋体" w:hAnsi="宋体" w:cs="宋体"/>
          <w:b/>
          <w:bCs/>
          <w:color w:val="C00000"/>
        </w:rPr>
        <w:lastRenderedPageBreak/>
        <w:t>【中文翻译】</w:t>
      </w:r>
    </w:p>
    <w:p w:rsidR="00FC0BB1" w:rsidRDefault="00000000">
      <w:pPr>
        <w:spacing w:before="60" w:after="60" w:line="340" w:lineRule="auto"/>
      </w:pPr>
      <w:r>
        <w:rPr>
          <w:rFonts w:ascii="宋体" w:eastAsia="宋体" w:hAnsi="宋体" w:cs="宋体"/>
        </w:rPr>
        <w:t>Figure 3 仅可视化了按大洲分组的样本路由权重的欧氏距离热图，这只证明 CRL 让同文化背景样本的路由更紧凑，并未直观展示专家分化程度与专家负载均衡情况。建议按任务类别或聚类标签，绘制接近输出层处每个专家的激活幅度或激活比例图，以更好地支撑所声称的机制。</w:t>
      </w:r>
    </w:p>
    <w:p w:rsidR="00FC0BB1" w:rsidRDefault="00000000">
      <w:pPr>
        <w:spacing w:before="160" w:after="60"/>
      </w:pPr>
      <w:r>
        <w:rPr>
          <w:rFonts w:ascii="宋体" w:eastAsia="宋体" w:hAnsi="宋体" w:cs="宋体"/>
          <w:b/>
          <w:bCs/>
          <w:color w:val="C00000"/>
        </w:rPr>
        <w:t>【中文回复】</w:t>
      </w:r>
    </w:p>
    <w:p w:rsidR="00FC0BB1" w:rsidRDefault="00000000">
      <w:pPr>
        <w:spacing w:before="60" w:after="60" w:line="340" w:lineRule="auto"/>
      </w:pPr>
      <w:r>
        <w:rPr>
          <w:rFonts w:ascii="宋体" w:eastAsia="宋体" w:hAnsi="宋体" w:cs="宋体"/>
        </w:rPr>
        <w:t xml:space="preserve">感谢审稿人的具体建议，我们完全采纳。我们已在 </w:t>
      </w:r>
      <w:proofErr w:type="spellStart"/>
      <w:r>
        <w:rPr>
          <w:rFonts w:ascii="宋体" w:eastAsia="宋体" w:hAnsi="宋体" w:cs="宋体"/>
        </w:rPr>
        <w:t>CulturalBench</w:t>
      </w:r>
      <w:proofErr w:type="spellEnd"/>
      <w:r>
        <w:rPr>
          <w:rFonts w:ascii="宋体" w:eastAsia="宋体" w:hAnsi="宋体" w:cs="宋体"/>
        </w:rPr>
        <w:t xml:space="preserve">-Easy 上跑出专家 × 文化区域激活比例热图，下图为 Llama 骨干上完整 </w:t>
      </w:r>
      <w:proofErr w:type="spellStart"/>
      <w:r>
        <w:rPr>
          <w:rFonts w:ascii="宋体" w:eastAsia="宋体" w:hAnsi="宋体" w:cs="宋体"/>
        </w:rPr>
        <w:t>CulDPD</w:t>
      </w:r>
      <w:proofErr w:type="spellEnd"/>
      <w:r>
        <w:rPr>
          <w:rFonts w:ascii="宋体" w:eastAsia="宋体" w:hAnsi="宋体" w:cs="宋体"/>
        </w:rPr>
        <w:t xml:space="preserve"> 与 w/o CRL 对照组的结果：</w:t>
      </w:r>
    </w:p>
    <w:p w:rsidR="00FC0BB1" w:rsidRDefault="00000000">
      <w:pPr>
        <w:spacing w:before="80" w:after="80"/>
        <w:jc w:val="center"/>
      </w:pPr>
      <w:r>
        <w:rPr>
          <w:noProof/>
        </w:rPr>
        <w:drawing>
          <wp:inline distT="0" distB="0" distL="0" distR="0">
            <wp:extent cx="5334000" cy="2219325"/>
            <wp:effectExtent l="0" t="0" r="0" b="0"/>
            <wp:docPr id="1335444317" name="图片 1335444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219325"/>
                    </a:xfrm>
                    <a:prstGeom prst="rect">
                      <a:avLst/>
                    </a:prstGeom>
                  </pic:spPr>
                </pic:pic>
              </a:graphicData>
            </a:graphic>
          </wp:inline>
        </w:drawing>
      </w:r>
    </w:p>
    <w:p w:rsidR="00FC0BB1" w:rsidRDefault="00000000">
      <w:pPr>
        <w:spacing w:before="60" w:after="60" w:line="340" w:lineRule="auto"/>
      </w:pPr>
      <w:r>
        <w:rPr>
          <w:rFonts w:ascii="宋体" w:eastAsia="宋体" w:hAnsi="宋体" w:cs="宋体"/>
        </w:rPr>
        <w:t xml:space="preserve">结论：完整 </w:t>
      </w:r>
      <w:proofErr w:type="spellStart"/>
      <w:r>
        <w:rPr>
          <w:rFonts w:ascii="宋体" w:eastAsia="宋体" w:hAnsi="宋体" w:cs="宋体"/>
        </w:rPr>
        <w:t>CulDPD</w:t>
      </w:r>
      <w:proofErr w:type="spellEnd"/>
      <w:r>
        <w:rPr>
          <w:rFonts w:ascii="宋体" w:eastAsia="宋体" w:hAnsi="宋体" w:cs="宋体"/>
        </w:rPr>
        <w:t xml:space="preserve"> 中每个专家呈现清晰的文化区域专精；w/o CRL 对照中激活比例聚集在 [0.29, 0.72] 无明显峰值，证明 CRL 是驱动专家文化专门化的关键损失组件。</w:t>
      </w:r>
    </w:p>
    <w:p w:rsidR="00FC0BB1" w:rsidRDefault="00000000">
      <w:pPr>
        <w:spacing w:before="60" w:after="60" w:line="340" w:lineRule="auto"/>
      </w:pPr>
      <w:r>
        <w:rPr>
          <w:rFonts w:ascii="宋体" w:eastAsia="宋体" w:hAnsi="宋体" w:cs="宋体"/>
        </w:rPr>
        <w:t>此外，我们将在修改版中增补以下两类可视化以完整回应审稿人建议：</w:t>
      </w:r>
    </w:p>
    <w:p w:rsidR="00FC0BB1" w:rsidRDefault="00000000">
      <w:pPr>
        <w:spacing w:before="60" w:after="60" w:line="340" w:lineRule="auto"/>
      </w:pPr>
      <w:r>
        <w:rPr>
          <w:rFonts w:ascii="宋体" w:eastAsia="宋体" w:hAnsi="宋体" w:cs="宋体"/>
        </w:rPr>
        <w:t xml:space="preserve">(1) 专家激活幅度 / 激活比例热图（专家 × 文化主题）：在最后一个 transformer block 处，对 </w:t>
      </w:r>
      <w:proofErr w:type="spellStart"/>
      <w:r>
        <w:rPr>
          <w:rFonts w:ascii="宋体" w:eastAsia="宋体" w:hAnsi="宋体" w:cs="宋体"/>
        </w:rPr>
        <w:t>CulturalBench</w:t>
      </w:r>
      <w:proofErr w:type="spellEnd"/>
      <w:r>
        <w:rPr>
          <w:rFonts w:ascii="宋体" w:eastAsia="宋体" w:hAnsi="宋体" w:cs="宋体"/>
        </w:rPr>
        <w:t xml:space="preserve"> 17 个文化主题分别统计每个专家的平均激活幅度与 top-k 命中比例，绘制「专家 × 文化主题」矩阵，以直观展示专家是否在主题层面发生分化；</w:t>
      </w:r>
    </w:p>
    <w:p w:rsidR="00FC0BB1" w:rsidRDefault="00000000">
      <w:pPr>
        <w:spacing w:before="60" w:after="60" w:line="340" w:lineRule="auto"/>
      </w:pPr>
      <w:r>
        <w:rPr>
          <w:rFonts w:ascii="宋体" w:eastAsia="宋体" w:hAnsi="宋体" w:cs="宋体"/>
        </w:rPr>
        <w:t>(2) 专家负载均衡曲线：报告训练过程中每个专家的 token 分配比例随训练步数的演化，验证负载均衡损失确实防止了路由崩溃，同时配合各专家激活分布的熵值表，量化分化程度。</w:t>
      </w:r>
    </w:p>
    <w:p w:rsidR="00FC0BB1" w:rsidRDefault="00000000">
      <w:pPr>
        <w:spacing w:before="60" w:after="60" w:line="340" w:lineRule="auto"/>
      </w:pPr>
      <w:r>
        <w:rPr>
          <w:rFonts w:ascii="宋体" w:eastAsia="宋体" w:hAnsi="宋体" w:cs="宋体"/>
        </w:rPr>
        <w:t>这些图将共同支撑「CRL 在保持负载均衡的同时促进了专家文化专门化」这一论断。</w:t>
      </w:r>
    </w:p>
    <w:p w:rsidR="00FC0BB1" w:rsidRDefault="00000000">
      <w:pPr>
        <w:spacing w:before="160" w:after="60"/>
      </w:pPr>
      <w:r>
        <w:rPr>
          <w:rFonts w:ascii="宋体" w:eastAsia="宋体" w:hAnsi="宋体" w:cs="宋体"/>
          <w:b/>
          <w:bCs/>
          <w:color w:val="C00000"/>
        </w:rPr>
        <w:t>【English Response】</w:t>
      </w:r>
    </w:p>
    <w:p w:rsidR="00FC0BB1" w:rsidRDefault="00000000">
      <w:pPr>
        <w:spacing w:before="60" w:after="60" w:line="300" w:lineRule="auto"/>
      </w:pPr>
      <w:r>
        <w:rPr>
          <w:rFonts w:eastAsia="Times New Roman"/>
        </w:rPr>
        <w:t xml:space="preserve">We thank the reviewer for the concrete suggestion and fully adopt it. We have already run the Expert × Cultural-Region activation-ratio analysis on </w:t>
      </w:r>
      <w:proofErr w:type="spellStart"/>
      <w:r>
        <w:rPr>
          <w:rFonts w:eastAsia="Times New Roman"/>
        </w:rPr>
        <w:t>CulturalBench</w:t>
      </w:r>
      <w:proofErr w:type="spellEnd"/>
      <w:r>
        <w:rPr>
          <w:rFonts w:eastAsia="Times New Roman"/>
        </w:rPr>
        <w:t>-Easy. The figure below shows the full-</w:t>
      </w:r>
      <w:proofErr w:type="spellStart"/>
      <w:r>
        <w:rPr>
          <w:rFonts w:eastAsia="Times New Roman"/>
        </w:rPr>
        <w:t>CulDPD</w:t>
      </w:r>
      <w:proofErr w:type="spellEnd"/>
      <w:r>
        <w:rPr>
          <w:rFonts w:eastAsia="Times New Roman"/>
        </w:rPr>
        <w:t xml:space="preserve"> and w/o-CRL control results on the Llama backbone:</w:t>
      </w:r>
    </w:p>
    <w:p w:rsidR="00FC0BB1" w:rsidRDefault="00000000">
      <w:pPr>
        <w:spacing w:before="80" w:after="80"/>
        <w:jc w:val="center"/>
      </w:pPr>
      <w:r>
        <w:rPr>
          <w:noProof/>
        </w:rPr>
        <w:lastRenderedPageBreak/>
        <w:drawing>
          <wp:inline distT="0" distB="0" distL="0" distR="0">
            <wp:extent cx="5334000" cy="2219325"/>
            <wp:effectExtent l="0" t="0" r="0" b="0"/>
            <wp:docPr id="1015066684" name="图片 1015066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219325"/>
                    </a:xfrm>
                    <a:prstGeom prst="rect">
                      <a:avLst/>
                    </a:prstGeom>
                  </pic:spPr>
                </pic:pic>
              </a:graphicData>
            </a:graphic>
          </wp:inline>
        </w:drawing>
      </w:r>
    </w:p>
    <w:p w:rsidR="00FC0BB1" w:rsidRDefault="00000000">
      <w:pPr>
        <w:spacing w:before="60" w:after="60" w:line="300" w:lineRule="auto"/>
      </w:pPr>
      <w:r>
        <w:rPr>
          <w:rFonts w:eastAsia="Times New Roman"/>
        </w:rPr>
        <w:t xml:space="preserve">Conclusion: in the full </w:t>
      </w:r>
      <w:proofErr w:type="spellStart"/>
      <w:r>
        <w:rPr>
          <w:rFonts w:eastAsia="Times New Roman"/>
        </w:rPr>
        <w:t>CulDPD</w:t>
      </w:r>
      <w:proofErr w:type="spellEnd"/>
      <w:r>
        <w:rPr>
          <w:rFonts w:eastAsia="Times New Roman"/>
        </w:rPr>
        <w:t xml:space="preserve"> model, each expert exhibits clear cultural-region </w:t>
      </w:r>
      <w:proofErr w:type="spellStart"/>
      <w:r>
        <w:rPr>
          <w:rFonts w:eastAsia="Times New Roman"/>
        </w:rPr>
        <w:t>specialisation</w:t>
      </w:r>
      <w:proofErr w:type="spellEnd"/>
      <w:r>
        <w:rPr>
          <w:rFonts w:eastAsia="Times New Roman"/>
        </w:rPr>
        <w:t xml:space="preserve">; in the w/o-CRL control, all activation ratios collapse to [0.29, 0.72] with no clear peaks, confirming that CRL is the key loss component driving cultural </w:t>
      </w:r>
      <w:proofErr w:type="spellStart"/>
      <w:r>
        <w:rPr>
          <w:rFonts w:eastAsia="Times New Roman"/>
        </w:rPr>
        <w:t>specialisation</w:t>
      </w:r>
      <w:proofErr w:type="spellEnd"/>
      <w:r>
        <w:rPr>
          <w:rFonts w:eastAsia="Times New Roman"/>
        </w:rPr>
        <w:t>.</w:t>
      </w:r>
    </w:p>
    <w:p w:rsidR="00FC0BB1" w:rsidRDefault="00000000">
      <w:pPr>
        <w:spacing w:before="60" w:after="60" w:line="300" w:lineRule="auto"/>
      </w:pPr>
      <w:r>
        <w:rPr>
          <w:rFonts w:eastAsia="Times New Roman"/>
        </w:rPr>
        <w:t xml:space="preserve">In addition, we will add the following two </w:t>
      </w:r>
      <w:proofErr w:type="spellStart"/>
      <w:r>
        <w:rPr>
          <w:rFonts w:eastAsia="Times New Roman"/>
        </w:rPr>
        <w:t>visualisations</w:t>
      </w:r>
      <w:proofErr w:type="spellEnd"/>
      <w:r>
        <w:rPr>
          <w:rFonts w:eastAsia="Times New Roman"/>
        </w:rPr>
        <w:t xml:space="preserve"> in the revision to fully address the reviewer's suggestion:</w:t>
      </w:r>
    </w:p>
    <w:p w:rsidR="00FC0BB1" w:rsidRDefault="00000000">
      <w:pPr>
        <w:spacing w:before="60" w:after="60" w:line="300" w:lineRule="auto"/>
      </w:pPr>
      <w:r>
        <w:rPr>
          <w:rFonts w:eastAsia="Times New Roman"/>
        </w:rPr>
        <w:t xml:space="preserve">(1) Expert activation magnitude / ratio heatmaps (Expert × Cultural Theme): at the last transformer block, we will compute, for each of the 17 </w:t>
      </w:r>
      <w:proofErr w:type="spellStart"/>
      <w:r>
        <w:rPr>
          <w:rFonts w:eastAsia="Times New Roman"/>
        </w:rPr>
        <w:t>CulturalBench</w:t>
      </w:r>
      <w:proofErr w:type="spellEnd"/>
      <w:r>
        <w:rPr>
          <w:rFonts w:eastAsia="Times New Roman"/>
        </w:rPr>
        <w:t xml:space="preserve"> cultural themes, the average activation magnitude and the top-k hit ratio of each expert, and plot an "expert × cultural theme" matrix to directly show whether experts differentiate at the thematic level;</w:t>
      </w:r>
    </w:p>
    <w:p w:rsidR="00FC0BB1" w:rsidRDefault="00000000">
      <w:pPr>
        <w:spacing w:before="60" w:after="60" w:line="300" w:lineRule="auto"/>
      </w:pPr>
      <w:r>
        <w:rPr>
          <w:rFonts w:eastAsia="Times New Roman"/>
        </w:rPr>
        <w:t>(2) Expert load-balancing curves: we will report how each expert's token-routing ratio evolves during training, verifying that the load-balancing loss prevents routing collapse; an entropy of the per-expert activation distribution will be reported as a quantitative differentiation measure.</w:t>
      </w:r>
    </w:p>
    <w:p w:rsidR="00FC0BB1" w:rsidRDefault="00000000">
      <w:pPr>
        <w:spacing w:before="60" w:after="60" w:line="300" w:lineRule="auto"/>
      </w:pPr>
      <w:r>
        <w:rPr>
          <w:rFonts w:eastAsia="Times New Roman"/>
        </w:rPr>
        <w:t xml:space="preserve">Together these plots will support the claim that CRL promotes cultural </w:t>
      </w:r>
      <w:proofErr w:type="spellStart"/>
      <w:r>
        <w:rPr>
          <w:rFonts w:eastAsia="Times New Roman"/>
        </w:rPr>
        <w:t>specialisation</w:t>
      </w:r>
      <w:proofErr w:type="spellEnd"/>
      <w:r>
        <w:rPr>
          <w:rFonts w:eastAsia="Times New Roman"/>
        </w:rPr>
        <w:t xml:space="preserve"> while preserving load balance.</w:t>
      </w:r>
    </w:p>
    <w:p w:rsidR="00FC0BB1" w:rsidRDefault="00000000">
      <w:pPr>
        <w:pStyle w:val="1"/>
        <w:spacing w:before="240" w:after="120"/>
      </w:pPr>
      <w:r>
        <w:t>Reviewer 3 — Weaknesses &amp; Responses</w:t>
      </w:r>
    </w:p>
    <w:p w:rsidR="00FC0BB1" w:rsidRDefault="00000000">
      <w:pPr>
        <w:spacing w:before="200" w:after="100"/>
      </w:pPr>
      <w:r>
        <w:rPr>
          <w:rFonts w:ascii="宋体" w:eastAsia="宋体" w:hAnsi="宋体" w:cs="宋体"/>
          <w:b/>
          <w:bCs/>
          <w:color w:val="1F3864"/>
          <w:sz w:val="24"/>
          <w:szCs w:val="24"/>
        </w:rPr>
        <w:t>Weakness 1（R3-W1）：表示分离 ≠ 语义解耦，缺 pathway-specific 量化证据</w:t>
      </w:r>
    </w:p>
    <w:p w:rsidR="00FC0BB1" w:rsidRDefault="00000000">
      <w:pPr>
        <w:spacing w:before="160" w:after="60"/>
      </w:pPr>
      <w:r>
        <w:rPr>
          <w:rFonts w:ascii="宋体" w:eastAsia="宋体" w:hAnsi="宋体" w:cs="宋体"/>
          <w:b/>
          <w:bCs/>
          <w:color w:val="C00000"/>
        </w:rPr>
        <w:t>【原文 / Original】</w:t>
      </w:r>
    </w:p>
    <w:p w:rsidR="00FC0BB1" w:rsidRDefault="00000000">
      <w:pPr>
        <w:spacing w:before="60" w:after="60" w:line="300" w:lineRule="auto"/>
        <w:ind w:left="360"/>
      </w:pPr>
      <w:r>
        <w:rPr>
          <w:rFonts w:eastAsia="Times New Roman"/>
          <w:i/>
          <w:iCs/>
          <w:color w:val="404040"/>
          <w:sz w:val="20"/>
          <w:szCs w:val="20"/>
        </w:rPr>
        <w:t>While the representation analysis demonstrates increased geometric separation between culture-shared and culture-specific representations, it does not directly verify that the two pathways capture cross-cultural consensus and culture-specific knowledge, respectively. Additional quantitative analyses, such as pathway-specific evaluation or probing experiments, would provide stronger evidence for semantic disentanglement.</w:t>
      </w:r>
    </w:p>
    <w:p w:rsidR="00FC0BB1" w:rsidRDefault="00000000">
      <w:pPr>
        <w:spacing w:before="160" w:after="60"/>
      </w:pPr>
      <w:r>
        <w:rPr>
          <w:rFonts w:ascii="宋体" w:eastAsia="宋体" w:hAnsi="宋体" w:cs="宋体"/>
          <w:b/>
          <w:bCs/>
          <w:color w:val="C00000"/>
        </w:rPr>
        <w:t>【中文翻译】</w:t>
      </w:r>
    </w:p>
    <w:p w:rsidR="00FC0BB1" w:rsidRDefault="00000000">
      <w:pPr>
        <w:spacing w:before="60" w:after="60" w:line="340" w:lineRule="auto"/>
      </w:pPr>
      <w:r>
        <w:rPr>
          <w:rFonts w:ascii="宋体" w:eastAsia="宋体" w:hAnsi="宋体" w:cs="宋体"/>
        </w:rPr>
        <w:t>虽然表示分析表明 culture-shared 与 culture-specific 表示之间的几何分离增大，但并未直接验证两条路径分别捕获了跨文化共识与文化特定知识。需要额外的定量分析，例如路径特定评估或探针实验，以提供更强的语义解耦证据。</w:t>
      </w:r>
    </w:p>
    <w:p w:rsidR="00FC0BB1" w:rsidRDefault="00000000">
      <w:pPr>
        <w:spacing w:before="160" w:after="60"/>
      </w:pPr>
      <w:r>
        <w:rPr>
          <w:rFonts w:ascii="宋体" w:eastAsia="宋体" w:hAnsi="宋体" w:cs="宋体"/>
          <w:b/>
          <w:bCs/>
          <w:color w:val="C00000"/>
        </w:rPr>
        <w:t>【中文回复】</w:t>
      </w:r>
    </w:p>
    <w:p w:rsidR="00FC0BB1" w:rsidRDefault="00000000">
      <w:pPr>
        <w:spacing w:before="60" w:after="60" w:line="340" w:lineRule="auto"/>
      </w:pPr>
      <w:r>
        <w:rPr>
          <w:rFonts w:ascii="宋体" w:eastAsia="宋体" w:hAnsi="宋体" w:cs="宋体"/>
        </w:rPr>
        <w:t>感谢审稿人指出「几何分离」与「语义解耦」之间的差距。论文 Figure 6 已给出定性的 case study 表明 shared-only 在跨文化共识问题上稳定、specific-only 在文化特定问题上更准，但确实缺少量化评估。我们承诺在修改版补做以下量化实验：</w:t>
      </w:r>
    </w:p>
    <w:p w:rsidR="00FC0BB1" w:rsidRDefault="00000000">
      <w:pPr>
        <w:spacing w:before="60" w:after="60" w:line="340" w:lineRule="auto"/>
      </w:pPr>
      <w:r>
        <w:rPr>
          <w:rFonts w:ascii="宋体" w:eastAsia="宋体" w:hAnsi="宋体" w:cs="宋体"/>
        </w:rPr>
        <w:lastRenderedPageBreak/>
        <w:t xml:space="preserve">(1) pathway-specific 量化评估：将 </w:t>
      </w:r>
      <w:proofErr w:type="spellStart"/>
      <w:r>
        <w:rPr>
          <w:rFonts w:ascii="宋体" w:eastAsia="宋体" w:hAnsi="宋体" w:cs="宋体"/>
        </w:rPr>
        <w:t>CulturalBench</w:t>
      </w:r>
      <w:proofErr w:type="spellEnd"/>
      <w:r>
        <w:rPr>
          <w:rFonts w:ascii="宋体" w:eastAsia="宋体" w:hAnsi="宋体" w:cs="宋体"/>
        </w:rPr>
        <w:t xml:space="preserve"> 题目按「跨文化共识型 / 文化特定型」划分为两个子集（依据答案在不同文化下的方差），分别评估 shared-only、specific-only 与融合模型在两个子集上的准确率，预期 shared-only 在共识子集上接近融合模型，specific-only 在特定子集上接近融合模型；</w:t>
      </w:r>
    </w:p>
    <w:p w:rsidR="00FC0BB1" w:rsidRDefault="00000000">
      <w:pPr>
        <w:spacing w:before="60" w:after="60" w:line="340" w:lineRule="auto"/>
      </w:pPr>
      <w:r>
        <w:rPr>
          <w:rFonts w:ascii="宋体" w:eastAsia="宋体" w:hAnsi="宋体" w:cs="宋体"/>
        </w:rPr>
        <w:t>(2) probing 实验：在 shared 与 specific 表示上训练一个线性探针预测「文化标签」与「答案一致性标签」，预期 shared 表示上文化标签的探针准确率显著低于 specific 表示，而答案一致性探针则相反；</w:t>
      </w:r>
    </w:p>
    <w:p w:rsidR="00FC0BB1" w:rsidRDefault="00000000">
      <w:pPr>
        <w:spacing w:before="60" w:after="60" w:line="340" w:lineRule="auto"/>
      </w:pPr>
      <w:r>
        <w:rPr>
          <w:rFonts w:ascii="宋体" w:eastAsia="宋体" w:hAnsi="宋体" w:cs="宋体"/>
        </w:rPr>
        <w:t>(3) counterfactual 文化线索替换：对同一问题替换文化实体（如将 "Moroccan" 替换为 "Japanese"），观察 specific 路径输出是否随之改变而 shared 路径输出保持稳定。</w:t>
      </w:r>
    </w:p>
    <w:p w:rsidR="00FC0BB1" w:rsidRDefault="00000000">
      <w:pPr>
        <w:spacing w:before="160" w:after="60"/>
      </w:pPr>
      <w:r>
        <w:rPr>
          <w:rFonts w:ascii="宋体" w:eastAsia="宋体" w:hAnsi="宋体" w:cs="宋体"/>
          <w:b/>
          <w:bCs/>
          <w:color w:val="C00000"/>
        </w:rPr>
        <w:t>【English Response】</w:t>
      </w:r>
    </w:p>
    <w:p w:rsidR="00FC0BB1" w:rsidRDefault="00000000">
      <w:pPr>
        <w:spacing w:before="60" w:after="60" w:line="300" w:lineRule="auto"/>
      </w:pPr>
      <w:r>
        <w:rPr>
          <w:rFonts w:eastAsia="Times New Roman"/>
        </w:rPr>
        <w:t>We thank the reviewer for pointing out the gap between geometric separation and semantic disentanglement. Figure 6 in the paper already provides a qualitative case study showing that the shared-only pathway is stable on consensus questions while the specific-only pathway is more accurate on culture-specific questions. We agree that a quantitative evaluation is missing and will add the following experiments in the revision:</w:t>
      </w:r>
    </w:p>
    <w:p w:rsidR="00FC0BB1" w:rsidRDefault="00000000">
      <w:pPr>
        <w:spacing w:before="60" w:after="60" w:line="300" w:lineRule="auto"/>
      </w:pPr>
      <w:r>
        <w:rPr>
          <w:rFonts w:eastAsia="Times New Roman"/>
        </w:rPr>
        <w:t xml:space="preserve">(1) Pathway-specific quantitative evaluation: we will split </w:t>
      </w:r>
      <w:proofErr w:type="spellStart"/>
      <w:r>
        <w:rPr>
          <w:rFonts w:eastAsia="Times New Roman"/>
        </w:rPr>
        <w:t>CulturalBench</w:t>
      </w:r>
      <w:proofErr w:type="spellEnd"/>
      <w:r>
        <w:rPr>
          <w:rFonts w:eastAsia="Times New Roman"/>
        </w:rPr>
        <w:t xml:space="preserve"> into a cross-cultural-consensus subset and a culture-specific subset (based on the variance of the gold answer across cultural contexts) and report accuracy of shared-only, specific-only, and the fused model on each subset. We expect shared-only to approach the fused model on the consensus subset and specific-only to approach the fused model on the culture-specific subset.</w:t>
      </w:r>
    </w:p>
    <w:p w:rsidR="00FC0BB1" w:rsidRDefault="00000000">
      <w:pPr>
        <w:spacing w:before="60" w:after="60" w:line="300" w:lineRule="auto"/>
      </w:pPr>
      <w:r>
        <w:rPr>
          <w:rFonts w:eastAsia="Times New Roman"/>
        </w:rPr>
        <w:t>(2) Probing experiments: we will train linear probes on the shared and specific representations to predict "cultural label" and "answer-consensus label". We expect the cultural-label probe accuracy on the shared representation to be significantly lower than on the specific representation, and the reverse for the consensus-label probe.</w:t>
      </w:r>
    </w:p>
    <w:p w:rsidR="00FC0BB1" w:rsidRDefault="00000000">
      <w:pPr>
        <w:spacing w:before="60" w:after="60" w:line="300" w:lineRule="auto"/>
      </w:pPr>
      <w:r>
        <w:rPr>
          <w:rFonts w:eastAsia="Times New Roman"/>
        </w:rPr>
        <w:t>(3) Counterfactual cultural-cue replacement: for the same question we will replace the cultural entity (e.g., "Moroccan" → "Japanese") and verify that the specific-pathway output changes accordingly while the shared-pathway output stays stable.</w:t>
      </w:r>
    </w:p>
    <w:p w:rsidR="00FC0BB1" w:rsidRDefault="00000000">
      <w:pPr>
        <w:spacing w:before="200" w:after="100"/>
      </w:pPr>
      <w:r>
        <w:rPr>
          <w:rFonts w:ascii="宋体" w:eastAsia="宋体" w:hAnsi="宋体" w:cs="宋体"/>
          <w:b/>
          <w:bCs/>
          <w:color w:val="1F3864"/>
          <w:sz w:val="24"/>
          <w:szCs w:val="24"/>
        </w:rPr>
        <w:t>Weakness 2（R3-W2）：专家数量及其可扩展性影响缺失</w:t>
      </w:r>
    </w:p>
    <w:p w:rsidR="00FC0BB1" w:rsidRDefault="00000000">
      <w:pPr>
        <w:spacing w:before="160" w:after="60"/>
      </w:pPr>
      <w:r>
        <w:rPr>
          <w:rFonts w:ascii="宋体" w:eastAsia="宋体" w:hAnsi="宋体" w:cs="宋体"/>
          <w:b/>
          <w:bCs/>
          <w:color w:val="C00000"/>
        </w:rPr>
        <w:t>【原文 / Original】</w:t>
      </w:r>
    </w:p>
    <w:p w:rsidR="00FC0BB1" w:rsidRDefault="00000000">
      <w:pPr>
        <w:spacing w:before="60" w:after="60" w:line="300" w:lineRule="auto"/>
        <w:ind w:left="360"/>
      </w:pPr>
      <w:r>
        <w:rPr>
          <w:rFonts w:eastAsia="Times New Roman"/>
          <w:i/>
          <w:iCs/>
          <w:color w:val="404040"/>
          <w:sz w:val="20"/>
          <w:szCs w:val="20"/>
        </w:rPr>
        <w:t>It seems like the experts are crucial components of the proposed architecture, but the paper is missing the effect of the # of these experts and their scalability.</w:t>
      </w:r>
    </w:p>
    <w:p w:rsidR="00FC0BB1" w:rsidRDefault="00000000">
      <w:pPr>
        <w:spacing w:before="160" w:after="60"/>
      </w:pPr>
      <w:r>
        <w:rPr>
          <w:rFonts w:ascii="宋体" w:eastAsia="宋体" w:hAnsi="宋体" w:cs="宋体"/>
          <w:b/>
          <w:bCs/>
          <w:color w:val="C00000"/>
        </w:rPr>
        <w:t>【中文翻译】</w:t>
      </w:r>
    </w:p>
    <w:p w:rsidR="00FC0BB1" w:rsidRDefault="00000000">
      <w:pPr>
        <w:spacing w:before="60" w:after="60" w:line="340" w:lineRule="auto"/>
      </w:pPr>
      <w:r>
        <w:rPr>
          <w:rFonts w:ascii="宋体" w:eastAsia="宋体" w:hAnsi="宋体" w:cs="宋体"/>
        </w:rPr>
        <w:t>专家似乎是所提架构的关键组件，但论文缺失了对专家数量及其可扩展性影响的研究。</w:t>
      </w:r>
    </w:p>
    <w:p w:rsidR="00FC0BB1" w:rsidRDefault="00000000">
      <w:pPr>
        <w:spacing w:before="160" w:after="60"/>
      </w:pPr>
      <w:r>
        <w:rPr>
          <w:rFonts w:ascii="宋体" w:eastAsia="宋体" w:hAnsi="宋体" w:cs="宋体"/>
          <w:b/>
          <w:bCs/>
          <w:color w:val="C00000"/>
        </w:rPr>
        <w:t>【中文回复】</w:t>
      </w:r>
    </w:p>
    <w:p w:rsidR="00FC0BB1" w:rsidRDefault="00000000">
      <w:pPr>
        <w:spacing w:before="60" w:after="60" w:line="340" w:lineRule="auto"/>
      </w:pPr>
      <w:r>
        <w:rPr>
          <w:rFonts w:ascii="宋体" w:eastAsia="宋体" w:hAnsi="宋体" w:cs="宋体"/>
        </w:rPr>
        <w:t>感谢审稿人指出此缺失。我们已补做专家数量 N ∈ {1, 2, 3, 4, 5, 6} 的消融实验（与 R1-W2 的回复一致），激活专家数 top-k 同步调整，结果见下图（左：Llama-3.1-8B 骨干；右：Qwen2.5-7B 骨干）：</w:t>
      </w:r>
    </w:p>
    <w:p w:rsidR="00FC0BB1" w:rsidRDefault="00000000">
      <w:pPr>
        <w:spacing w:before="80" w:after="80"/>
        <w:jc w:val="center"/>
      </w:pPr>
      <w:r>
        <w:rPr>
          <w:noProof/>
        </w:rPr>
        <w:lastRenderedPageBreak/>
        <w:drawing>
          <wp:inline distT="0" distB="0" distL="0" distR="0">
            <wp:extent cx="5334000" cy="1914525"/>
            <wp:effectExtent l="0" t="0" r="0" b="0"/>
            <wp:docPr id="500495115" name="图片 500495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1914525"/>
                    </a:xfrm>
                    <a:prstGeom prst="rect">
                      <a:avLst/>
                    </a:prstGeom>
                  </pic:spPr>
                </pic:pic>
              </a:graphicData>
            </a:graphic>
          </wp:inline>
        </w:drawing>
      </w:r>
    </w:p>
    <w:p w:rsidR="00FC0BB1" w:rsidRDefault="00000000">
      <w:pPr>
        <w:spacing w:before="60" w:after="60" w:line="340" w:lineRule="auto"/>
      </w:pPr>
      <w:r>
        <w:rPr>
          <w:rFonts w:ascii="宋体" w:eastAsia="宋体" w:hAnsi="宋体" w:cs="宋体"/>
        </w:rPr>
        <w:t>N=4 是性能—效率折中的最优点；N≥5 时各数据集准确率不再上升；N=1 时模型仍保留 shared/specific 双路径结构，仅 culture-specific 路径退化为单专家、失去路由多样性，性能低于 N≥2 的配置。</w:t>
      </w:r>
    </w:p>
    <w:p w:rsidR="00FC0BB1" w:rsidRDefault="00000000">
      <w:pPr>
        <w:spacing w:before="60" w:after="60" w:line="340" w:lineRule="auto"/>
      </w:pPr>
      <w:r>
        <w:rPr>
          <w:rFonts w:ascii="宋体" w:eastAsia="宋体" w:hAnsi="宋体" w:cs="宋体"/>
        </w:rPr>
        <w:t>我们将在修订版的附录部分增加上述专家数量消融实验结果。</w:t>
      </w:r>
    </w:p>
    <w:p w:rsidR="00FC0BB1" w:rsidRDefault="00000000">
      <w:pPr>
        <w:spacing w:before="160" w:after="60"/>
      </w:pPr>
      <w:r>
        <w:rPr>
          <w:rFonts w:ascii="宋体" w:eastAsia="宋体" w:hAnsi="宋体" w:cs="宋体"/>
          <w:b/>
          <w:bCs/>
          <w:color w:val="C00000"/>
        </w:rPr>
        <w:t>【English Response】</w:t>
      </w:r>
    </w:p>
    <w:p w:rsidR="00FC0BB1" w:rsidRDefault="00000000">
      <w:pPr>
        <w:spacing w:before="60" w:after="60" w:line="300" w:lineRule="auto"/>
      </w:pPr>
      <w:r>
        <w:rPr>
          <w:rFonts w:eastAsia="Times New Roman"/>
        </w:rPr>
        <w:t>We thank the reviewer for flagging this gap. We have run an ablation on the number of experts N ∈ {1, 2, 3, 4, 5, 6} (consistent with our response to R1-W2), with the number of activated experts top-k adjusted accordingly. The result is shown in the figure below (left: Llama-3.1-8B backbone; right: Qwen2.5-7B backbone):</w:t>
      </w:r>
    </w:p>
    <w:p w:rsidR="00FC0BB1" w:rsidRDefault="00000000">
      <w:pPr>
        <w:spacing w:before="80" w:after="80"/>
        <w:jc w:val="center"/>
      </w:pPr>
      <w:r>
        <w:rPr>
          <w:noProof/>
        </w:rPr>
        <w:drawing>
          <wp:inline distT="0" distB="0" distL="0" distR="0">
            <wp:extent cx="5334000" cy="1914525"/>
            <wp:effectExtent l="0" t="0" r="0" b="0"/>
            <wp:docPr id="2093775340" name="图片 2093775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1914525"/>
                    </a:xfrm>
                    <a:prstGeom prst="rect">
                      <a:avLst/>
                    </a:prstGeom>
                  </pic:spPr>
                </pic:pic>
              </a:graphicData>
            </a:graphic>
          </wp:inline>
        </w:drawing>
      </w:r>
    </w:p>
    <w:p w:rsidR="00FC0BB1" w:rsidRDefault="00000000">
      <w:pPr>
        <w:spacing w:before="60" w:after="60" w:line="300" w:lineRule="auto"/>
      </w:pPr>
      <w:r>
        <w:rPr>
          <w:rFonts w:eastAsia="Times New Roman"/>
        </w:rPr>
        <w:t>N=4 is the performance-efficiency sweet spot; for N≥5, accuracy on all datasets stops increasing; at N=1 the model still preserves the shared/specific dual-pathway structure, but the culture-specific pathway degenerates to a single expert and loses routing diversity, leading to lower performance than N≥2 configurations.</w:t>
      </w:r>
    </w:p>
    <w:p w:rsidR="00FC0BB1" w:rsidRDefault="00000000">
      <w:pPr>
        <w:spacing w:before="60" w:after="60" w:line="300" w:lineRule="auto"/>
      </w:pPr>
      <w:r>
        <w:rPr>
          <w:rFonts w:eastAsia="Times New Roman"/>
        </w:rPr>
        <w:t>We will add this expert-count ablation result to the appendix of the revision.</w:t>
      </w:r>
    </w:p>
    <w:p w:rsidR="00FC0BB1" w:rsidRDefault="00000000">
      <w:pPr>
        <w:spacing w:before="200" w:after="100"/>
      </w:pPr>
      <w:r>
        <w:rPr>
          <w:rFonts w:ascii="宋体" w:eastAsia="宋体" w:hAnsi="宋体" w:cs="宋体"/>
          <w:b/>
          <w:bCs/>
          <w:color w:val="1F3864"/>
          <w:sz w:val="24"/>
          <w:szCs w:val="24"/>
        </w:rPr>
        <w:t xml:space="preserve">Weakness 3（R3-W3）：缺 baselines 总结 + 为何 </w:t>
      </w:r>
      <w:proofErr w:type="spellStart"/>
      <w:r>
        <w:rPr>
          <w:rFonts w:ascii="宋体" w:eastAsia="宋体" w:hAnsi="宋体" w:cs="宋体"/>
          <w:b/>
          <w:bCs/>
          <w:color w:val="1F3864"/>
          <w:sz w:val="24"/>
          <w:szCs w:val="24"/>
        </w:rPr>
        <w:t>CulDPD</w:t>
      </w:r>
      <w:proofErr w:type="spellEnd"/>
      <w:r>
        <w:rPr>
          <w:rFonts w:ascii="宋体" w:eastAsia="宋体" w:hAnsi="宋体" w:cs="宋体"/>
          <w:b/>
          <w:bCs/>
          <w:color w:val="1F3864"/>
          <w:sz w:val="24"/>
          <w:szCs w:val="24"/>
        </w:rPr>
        <w:t xml:space="preserve"> 优于每个基线的深入讨论</w:t>
      </w:r>
    </w:p>
    <w:p w:rsidR="00FC0BB1" w:rsidRDefault="00000000">
      <w:pPr>
        <w:spacing w:before="160" w:after="60"/>
      </w:pPr>
      <w:r>
        <w:rPr>
          <w:rFonts w:ascii="宋体" w:eastAsia="宋体" w:hAnsi="宋体" w:cs="宋体"/>
          <w:b/>
          <w:bCs/>
          <w:color w:val="C00000"/>
        </w:rPr>
        <w:t>【原文 / Original】</w:t>
      </w:r>
    </w:p>
    <w:p w:rsidR="00FC0BB1" w:rsidRDefault="00000000">
      <w:pPr>
        <w:spacing w:before="60" w:after="60" w:line="300" w:lineRule="auto"/>
        <w:ind w:left="360"/>
      </w:pPr>
      <w:r>
        <w:rPr>
          <w:rFonts w:eastAsia="Times New Roman"/>
          <w:i/>
          <w:iCs/>
          <w:color w:val="404040"/>
          <w:sz w:val="20"/>
          <w:szCs w:val="20"/>
        </w:rPr>
        <w:t xml:space="preserve">It might be better to include a summary of each of the baselines in Table 1 and also discuss in-depth why </w:t>
      </w:r>
      <w:proofErr w:type="spellStart"/>
      <w:r>
        <w:rPr>
          <w:rFonts w:eastAsia="Times New Roman"/>
          <w:i/>
          <w:iCs/>
          <w:color w:val="404040"/>
          <w:sz w:val="20"/>
          <w:szCs w:val="20"/>
        </w:rPr>
        <w:t>CulDPD</w:t>
      </w:r>
      <w:proofErr w:type="spellEnd"/>
      <w:r>
        <w:rPr>
          <w:rFonts w:eastAsia="Times New Roman"/>
          <w:i/>
          <w:iCs/>
          <w:color w:val="404040"/>
          <w:sz w:val="20"/>
          <w:szCs w:val="20"/>
        </w:rPr>
        <w:t xml:space="preserve"> outperforms each of these methods.</w:t>
      </w:r>
    </w:p>
    <w:p w:rsidR="00FC0BB1" w:rsidRDefault="00000000">
      <w:pPr>
        <w:spacing w:before="160" w:after="60"/>
      </w:pPr>
      <w:r>
        <w:rPr>
          <w:rFonts w:ascii="宋体" w:eastAsia="宋体" w:hAnsi="宋体" w:cs="宋体"/>
          <w:b/>
          <w:bCs/>
          <w:color w:val="C00000"/>
        </w:rPr>
        <w:t>【中文翻译】</w:t>
      </w:r>
    </w:p>
    <w:p w:rsidR="00FC0BB1" w:rsidRDefault="00000000">
      <w:pPr>
        <w:spacing w:before="60" w:after="60" w:line="340" w:lineRule="auto"/>
      </w:pPr>
      <w:r>
        <w:rPr>
          <w:rFonts w:ascii="宋体" w:eastAsia="宋体" w:hAnsi="宋体" w:cs="宋体"/>
        </w:rPr>
        <w:t xml:space="preserve">建议在 Table 1 中加入各基线的摘要说明，并深入讨论 </w:t>
      </w:r>
      <w:proofErr w:type="spellStart"/>
      <w:r>
        <w:rPr>
          <w:rFonts w:ascii="宋体" w:eastAsia="宋体" w:hAnsi="宋体" w:cs="宋体"/>
        </w:rPr>
        <w:t>CulDPD</w:t>
      </w:r>
      <w:proofErr w:type="spellEnd"/>
      <w:r>
        <w:rPr>
          <w:rFonts w:ascii="宋体" w:eastAsia="宋体" w:hAnsi="宋体" w:cs="宋体"/>
        </w:rPr>
        <w:t xml:space="preserve"> 为何优于每一个基线方法。</w:t>
      </w:r>
    </w:p>
    <w:p w:rsidR="00FC0BB1" w:rsidRDefault="00000000">
      <w:pPr>
        <w:spacing w:before="160" w:after="60"/>
      </w:pPr>
      <w:r>
        <w:rPr>
          <w:rFonts w:ascii="宋体" w:eastAsia="宋体" w:hAnsi="宋体" w:cs="宋体"/>
          <w:b/>
          <w:bCs/>
          <w:color w:val="C00000"/>
        </w:rPr>
        <w:t>【中文回复】</w:t>
      </w:r>
    </w:p>
    <w:p w:rsidR="00FC0BB1" w:rsidRDefault="00000000">
      <w:pPr>
        <w:spacing w:before="60" w:after="60" w:line="340" w:lineRule="auto"/>
      </w:pPr>
      <w:r>
        <w:rPr>
          <w:rFonts w:ascii="宋体" w:eastAsia="宋体" w:hAnsi="宋体" w:cs="宋体"/>
        </w:rPr>
        <w:lastRenderedPageBreak/>
        <w:t>感谢审稿人的建议。</w:t>
      </w:r>
    </w:p>
    <w:p w:rsidR="00FC0BB1" w:rsidRDefault="00000000">
      <w:pPr>
        <w:spacing w:before="60" w:after="60" w:line="340" w:lineRule="auto"/>
      </w:pPr>
      <w:r>
        <w:rPr>
          <w:rFonts w:ascii="宋体" w:eastAsia="宋体" w:hAnsi="宋体" w:cs="宋体"/>
        </w:rPr>
        <w:t xml:space="preserve">(1) 关于 baselines 摘要：原论文 Table 1 中已列出每个基线的范式（提示型 / 数据中心微调 / PEFT </w:t>
      </w:r>
      <w:proofErr w:type="spellStart"/>
      <w:r>
        <w:rPr>
          <w:rFonts w:ascii="宋体" w:eastAsia="宋体" w:hAnsi="宋体" w:cs="宋体"/>
        </w:rPr>
        <w:t>MoE</w:t>
      </w:r>
      <w:proofErr w:type="spellEnd"/>
      <w:r>
        <w:rPr>
          <w:rFonts w:ascii="宋体" w:eastAsia="宋体" w:hAnsi="宋体" w:cs="宋体"/>
        </w:rPr>
        <w:t xml:space="preserve">）、是否需要训练等关键属性，读者已可一目了然地看到 </w:t>
      </w:r>
      <w:proofErr w:type="spellStart"/>
      <w:r>
        <w:rPr>
          <w:rFonts w:ascii="宋体" w:eastAsia="宋体" w:hAnsi="宋体" w:cs="宋体"/>
        </w:rPr>
        <w:t>CulDPD</w:t>
      </w:r>
      <w:proofErr w:type="spellEnd"/>
      <w:r>
        <w:rPr>
          <w:rFonts w:ascii="宋体" w:eastAsia="宋体" w:hAnsi="宋体" w:cs="宋体"/>
        </w:rPr>
        <w:t xml:space="preserve"> 与各方法的结构性差异。我们将在修订版的附录部分继续补充各 baseline 的专家数与可训练参数量。可训练参数量对比如下：</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3"/>
        <w:gridCol w:w="2326"/>
        <w:gridCol w:w="2330"/>
        <w:gridCol w:w="2325"/>
      </w:tblGrid>
      <w:tr w:rsidR="00FC0BB1">
        <w:tblPrEx>
          <w:tblCellMar>
            <w:top w:w="0" w:type="dxa"/>
            <w:bottom w:w="0" w:type="dxa"/>
          </w:tblCellMar>
        </w:tblPrEx>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D5E8F0"/>
            <w:vAlign w:val="center"/>
          </w:tcPr>
          <w:p w:rsidR="00FC0BB1" w:rsidRDefault="00000000">
            <w:pPr>
              <w:jc w:val="center"/>
            </w:pPr>
            <w:r>
              <w:rPr>
                <w:rFonts w:eastAsia="Times New Roman"/>
                <w:b/>
                <w:bCs/>
                <w:sz w:val="20"/>
                <w:szCs w:val="20"/>
              </w:rPr>
              <w:t>Method</w:t>
            </w:r>
          </w:p>
        </w:tc>
        <w:tc>
          <w:tcPr>
            <w:tcW w:w="2400" w:type="dxa"/>
            <w:tcBorders>
              <w:top w:val="single" w:sz="1" w:space="0" w:color="AAAAAA"/>
              <w:left w:val="single" w:sz="1" w:space="0" w:color="AAAAAA"/>
              <w:bottom w:val="single" w:sz="1" w:space="0" w:color="AAAAAA"/>
              <w:right w:val="single" w:sz="1" w:space="0" w:color="AAAAAA"/>
            </w:tcBorders>
            <w:shd w:val="clear" w:color="auto" w:fill="D5E8F0"/>
            <w:vAlign w:val="center"/>
          </w:tcPr>
          <w:p w:rsidR="00FC0BB1" w:rsidRDefault="00000000">
            <w:pPr>
              <w:jc w:val="center"/>
            </w:pPr>
            <w:r>
              <w:rPr>
                <w:rFonts w:eastAsia="Times New Roman"/>
                <w:b/>
                <w:bCs/>
                <w:sz w:val="20"/>
                <w:szCs w:val="20"/>
              </w:rPr>
              <w:t>Llama-3.1-8B</w:t>
            </w:r>
          </w:p>
        </w:tc>
        <w:tc>
          <w:tcPr>
            <w:tcW w:w="2400" w:type="dxa"/>
            <w:tcBorders>
              <w:top w:val="single" w:sz="1" w:space="0" w:color="AAAAAA"/>
              <w:left w:val="single" w:sz="1" w:space="0" w:color="AAAAAA"/>
              <w:bottom w:val="single" w:sz="1" w:space="0" w:color="AAAAAA"/>
              <w:right w:val="single" w:sz="1" w:space="0" w:color="AAAAAA"/>
            </w:tcBorders>
            <w:shd w:val="clear" w:color="auto" w:fill="D5E8F0"/>
            <w:vAlign w:val="center"/>
          </w:tcPr>
          <w:p w:rsidR="00FC0BB1" w:rsidRDefault="00000000">
            <w:pPr>
              <w:jc w:val="center"/>
            </w:pPr>
            <w:r>
              <w:rPr>
                <w:rFonts w:eastAsia="Times New Roman"/>
                <w:b/>
                <w:bCs/>
                <w:sz w:val="20"/>
                <w:szCs w:val="20"/>
              </w:rPr>
              <w:t>Qwen2.5-7B</w:t>
            </w:r>
          </w:p>
        </w:tc>
        <w:tc>
          <w:tcPr>
            <w:tcW w:w="2400" w:type="dxa"/>
            <w:tcBorders>
              <w:top w:val="single" w:sz="1" w:space="0" w:color="AAAAAA"/>
              <w:left w:val="single" w:sz="1" w:space="0" w:color="AAAAAA"/>
              <w:bottom w:val="single" w:sz="1" w:space="0" w:color="AAAAAA"/>
              <w:right w:val="single" w:sz="1" w:space="0" w:color="AAAAAA"/>
            </w:tcBorders>
            <w:shd w:val="clear" w:color="auto" w:fill="D5E8F0"/>
            <w:vAlign w:val="center"/>
          </w:tcPr>
          <w:p w:rsidR="00FC0BB1" w:rsidRDefault="00000000">
            <w:pPr>
              <w:jc w:val="center"/>
            </w:pPr>
            <w:r>
              <w:rPr>
                <w:rFonts w:eastAsia="Times New Roman"/>
                <w:b/>
                <w:bCs/>
                <w:sz w:val="20"/>
                <w:szCs w:val="20"/>
              </w:rPr>
              <w:t>Note</w:t>
            </w:r>
          </w:p>
        </w:tc>
      </w:tr>
      <w:tr w:rsidR="00FC0BB1">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DC-Finetune</w:t>
            </w:r>
          </w:p>
        </w:tc>
        <w:tc>
          <w:tcPr>
            <w:tcW w:w="24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16.78M</w:t>
            </w:r>
          </w:p>
        </w:tc>
        <w:tc>
          <w:tcPr>
            <w:tcW w:w="24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12.85M</w:t>
            </w:r>
          </w:p>
        </w:tc>
        <w:tc>
          <w:tcPr>
            <w:tcW w:w="24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 xml:space="preserve">single </w:t>
            </w:r>
            <w:proofErr w:type="spellStart"/>
            <w:r>
              <w:rPr>
                <w:rFonts w:eastAsia="Times New Roman"/>
                <w:sz w:val="20"/>
                <w:szCs w:val="20"/>
              </w:rPr>
              <w:t>LoRA</w:t>
            </w:r>
            <w:proofErr w:type="spellEnd"/>
            <w:r>
              <w:rPr>
                <w:rFonts w:eastAsia="Times New Roman"/>
                <w:sz w:val="20"/>
                <w:szCs w:val="20"/>
              </w:rPr>
              <w:t xml:space="preserve"> on q/k/v/o, r=16</w:t>
            </w:r>
          </w:p>
        </w:tc>
      </w:tr>
      <w:tr w:rsidR="00FC0BB1">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 xml:space="preserve">Vanilla </w:t>
            </w:r>
            <w:proofErr w:type="spellStart"/>
            <w:r>
              <w:rPr>
                <w:rFonts w:eastAsia="Times New Roman"/>
                <w:sz w:val="20"/>
                <w:szCs w:val="20"/>
              </w:rPr>
              <w:t>MoE</w:t>
            </w:r>
            <w:proofErr w:type="spellEnd"/>
          </w:p>
        </w:tc>
        <w:tc>
          <w:tcPr>
            <w:tcW w:w="24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113.77M</w:t>
            </w:r>
          </w:p>
        </w:tc>
        <w:tc>
          <w:tcPr>
            <w:tcW w:w="24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121.51M</w:t>
            </w:r>
          </w:p>
        </w:tc>
        <w:tc>
          <w:tcPr>
            <w:tcW w:w="24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 xml:space="preserve">4 </w:t>
            </w:r>
            <w:proofErr w:type="spellStart"/>
            <w:r>
              <w:rPr>
                <w:rFonts w:eastAsia="Times New Roman"/>
                <w:sz w:val="20"/>
                <w:szCs w:val="20"/>
              </w:rPr>
              <w:t>LoRA</w:t>
            </w:r>
            <w:proofErr w:type="spellEnd"/>
            <w:r>
              <w:rPr>
                <w:rFonts w:eastAsia="Times New Roman"/>
                <w:sz w:val="20"/>
                <w:szCs w:val="20"/>
              </w:rPr>
              <w:t xml:space="preserve"> experts on FFN + router (per-layer), r=16</w:t>
            </w:r>
          </w:p>
        </w:tc>
      </w:tr>
      <w:tr w:rsidR="00FC0BB1">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proofErr w:type="spellStart"/>
            <w:r>
              <w:rPr>
                <w:rFonts w:eastAsia="Times New Roman"/>
                <w:sz w:val="20"/>
                <w:szCs w:val="20"/>
              </w:rPr>
              <w:t>MixLoRA</w:t>
            </w:r>
            <w:proofErr w:type="spellEnd"/>
          </w:p>
        </w:tc>
        <w:tc>
          <w:tcPr>
            <w:tcW w:w="24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243.79M</w:t>
            </w:r>
          </w:p>
        </w:tc>
        <w:tc>
          <w:tcPr>
            <w:tcW w:w="24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255.47M</w:t>
            </w:r>
          </w:p>
        </w:tc>
        <w:tc>
          <w:tcPr>
            <w:tcW w:w="24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 xml:space="preserve">4 </w:t>
            </w:r>
            <w:proofErr w:type="spellStart"/>
            <w:r>
              <w:rPr>
                <w:rFonts w:eastAsia="Times New Roman"/>
                <w:sz w:val="20"/>
                <w:szCs w:val="20"/>
              </w:rPr>
              <w:t>LoRA</w:t>
            </w:r>
            <w:proofErr w:type="spellEnd"/>
            <w:r>
              <w:rPr>
                <w:rFonts w:eastAsia="Times New Roman"/>
                <w:sz w:val="20"/>
                <w:szCs w:val="20"/>
              </w:rPr>
              <w:t xml:space="preserve"> experts on FFN + shared attn </w:t>
            </w:r>
            <w:proofErr w:type="spellStart"/>
            <w:r>
              <w:rPr>
                <w:rFonts w:eastAsia="Times New Roman"/>
                <w:sz w:val="20"/>
                <w:szCs w:val="20"/>
              </w:rPr>
              <w:t>LoRA</w:t>
            </w:r>
            <w:proofErr w:type="spellEnd"/>
            <w:r>
              <w:rPr>
                <w:rFonts w:eastAsia="Times New Roman"/>
                <w:sz w:val="20"/>
                <w:szCs w:val="20"/>
              </w:rPr>
              <w:t xml:space="preserve"> (per-layer), r=32</w:t>
            </w:r>
          </w:p>
        </w:tc>
      </w:tr>
      <w:tr w:rsidR="00FC0BB1">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proofErr w:type="spellStart"/>
            <w:r>
              <w:rPr>
                <w:rFonts w:eastAsia="Times New Roman"/>
                <w:sz w:val="20"/>
                <w:szCs w:val="20"/>
              </w:rPr>
              <w:t>CulDPD</w:t>
            </w:r>
            <w:proofErr w:type="spellEnd"/>
            <w:r>
              <w:rPr>
                <w:rFonts w:eastAsia="Times New Roman"/>
                <w:sz w:val="20"/>
                <w:szCs w:val="20"/>
              </w:rPr>
              <w:t xml:space="preserve"> (Ours)</w:t>
            </w:r>
          </w:p>
        </w:tc>
        <w:tc>
          <w:tcPr>
            <w:tcW w:w="24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130.81M</w:t>
            </w:r>
          </w:p>
        </w:tc>
        <w:tc>
          <w:tcPr>
            <w:tcW w:w="24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134.56M</w:t>
            </w:r>
          </w:p>
        </w:tc>
        <w:tc>
          <w:tcPr>
            <w:tcW w:w="24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 xml:space="preserve">shared </w:t>
            </w:r>
            <w:proofErr w:type="spellStart"/>
            <w:r>
              <w:rPr>
                <w:rFonts w:eastAsia="Times New Roman"/>
                <w:sz w:val="20"/>
                <w:szCs w:val="20"/>
              </w:rPr>
              <w:t>LoRA</w:t>
            </w:r>
            <w:proofErr w:type="spellEnd"/>
            <w:r>
              <w:rPr>
                <w:rFonts w:eastAsia="Times New Roman"/>
                <w:sz w:val="20"/>
                <w:szCs w:val="20"/>
              </w:rPr>
              <w:t xml:space="preserve"> (q/k/v/o) + 4 </w:t>
            </w:r>
            <w:proofErr w:type="spellStart"/>
            <w:r>
              <w:rPr>
                <w:rFonts w:eastAsia="Times New Roman"/>
                <w:sz w:val="20"/>
                <w:szCs w:val="20"/>
              </w:rPr>
              <w:t>LoRA</w:t>
            </w:r>
            <w:proofErr w:type="spellEnd"/>
            <w:r>
              <w:rPr>
                <w:rFonts w:eastAsia="Times New Roman"/>
                <w:sz w:val="20"/>
                <w:szCs w:val="20"/>
              </w:rPr>
              <w:t xml:space="preserve"> experts on FFN + router + fusion gate (per-layer), r=16</w:t>
            </w:r>
          </w:p>
        </w:tc>
      </w:tr>
    </w:tbl>
    <w:p w:rsidR="00FC0BB1" w:rsidRDefault="00000000">
      <w:pPr>
        <w:spacing w:before="60" w:after="60" w:line="340" w:lineRule="auto"/>
      </w:pPr>
      <w:r>
        <w:rPr>
          <w:rFonts w:ascii="宋体" w:eastAsia="宋体" w:hAnsi="宋体" w:cs="宋体"/>
        </w:rPr>
        <w:t xml:space="preserve">(2) 关于为何 </w:t>
      </w:r>
      <w:proofErr w:type="spellStart"/>
      <w:r>
        <w:rPr>
          <w:rFonts w:ascii="宋体" w:eastAsia="宋体" w:hAnsi="宋体" w:cs="宋体"/>
        </w:rPr>
        <w:t>CulDPD</w:t>
      </w:r>
      <w:proofErr w:type="spellEnd"/>
      <w:r>
        <w:rPr>
          <w:rFonts w:ascii="宋体" w:eastAsia="宋体" w:hAnsi="宋体" w:cs="宋体"/>
        </w:rPr>
        <w:t xml:space="preserve"> 优于各基线：原论文 Section 5.1 已给出几个关键论点（如双路径解耦 vs. 单参数空间、CRL 文化专门化约束、masking 视图扰动等）。我们将在修订版中继续给出更详细的逐基线解读，并结合 Table 1 的数值差异与 Table 2 的消融结果交叉印证。</w:t>
      </w:r>
    </w:p>
    <w:p w:rsidR="00FC0BB1" w:rsidRDefault="00000000">
      <w:pPr>
        <w:spacing w:before="160" w:after="60"/>
      </w:pPr>
      <w:r>
        <w:rPr>
          <w:rFonts w:ascii="宋体" w:eastAsia="宋体" w:hAnsi="宋体" w:cs="宋体"/>
          <w:b/>
          <w:bCs/>
          <w:color w:val="C00000"/>
        </w:rPr>
        <w:t>【English Response】</w:t>
      </w:r>
    </w:p>
    <w:p w:rsidR="00FC0BB1" w:rsidRDefault="00000000">
      <w:pPr>
        <w:spacing w:before="60" w:after="60" w:line="300" w:lineRule="auto"/>
      </w:pPr>
      <w:r>
        <w:rPr>
          <w:rFonts w:eastAsia="Times New Roman"/>
        </w:rPr>
        <w:t>We thank the reviewer for the suggestion.</w:t>
      </w:r>
    </w:p>
    <w:p w:rsidR="00FC0BB1" w:rsidRDefault="00000000">
      <w:pPr>
        <w:spacing w:before="60" w:after="60" w:line="300" w:lineRule="auto"/>
      </w:pPr>
      <w:r>
        <w:rPr>
          <w:rFonts w:eastAsia="Times New Roman"/>
        </w:rPr>
        <w:t xml:space="preserve">(1) Regarding the baseline summary: Table 1 of the paper already lists each baseline's paradigm (prompt-based / data-centric fine-tuning / PEFT </w:t>
      </w:r>
      <w:proofErr w:type="spellStart"/>
      <w:r>
        <w:rPr>
          <w:rFonts w:eastAsia="Times New Roman"/>
        </w:rPr>
        <w:t>MoE</w:t>
      </w:r>
      <w:proofErr w:type="spellEnd"/>
      <w:r>
        <w:rPr>
          <w:rFonts w:eastAsia="Times New Roman"/>
        </w:rPr>
        <w:t xml:space="preserve">) and whether training is required, so readers can already see the structural differences between </w:t>
      </w:r>
      <w:proofErr w:type="spellStart"/>
      <w:r>
        <w:rPr>
          <w:rFonts w:eastAsia="Times New Roman"/>
        </w:rPr>
        <w:t>CulDPD</w:t>
      </w:r>
      <w:proofErr w:type="spellEnd"/>
      <w:r>
        <w:rPr>
          <w:rFonts w:eastAsia="Times New Roman"/>
        </w:rPr>
        <w:t xml:space="preserve"> and each baseline at a glance. We will further supplement the appendix of the revision with the expert count and trainable parameter count of each baseline. The trainable-parameter comparison is shown below:</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3"/>
        <w:gridCol w:w="2326"/>
        <w:gridCol w:w="2330"/>
        <w:gridCol w:w="2325"/>
      </w:tblGrid>
      <w:tr w:rsidR="00FC0BB1">
        <w:tblPrEx>
          <w:tblCellMar>
            <w:top w:w="0" w:type="dxa"/>
            <w:bottom w:w="0" w:type="dxa"/>
          </w:tblCellMar>
        </w:tblPrEx>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D5E8F0"/>
            <w:vAlign w:val="center"/>
          </w:tcPr>
          <w:p w:rsidR="00FC0BB1" w:rsidRDefault="00000000">
            <w:pPr>
              <w:jc w:val="center"/>
            </w:pPr>
            <w:r>
              <w:rPr>
                <w:rFonts w:eastAsia="Times New Roman"/>
                <w:b/>
                <w:bCs/>
                <w:sz w:val="20"/>
                <w:szCs w:val="20"/>
              </w:rPr>
              <w:t>Method</w:t>
            </w:r>
          </w:p>
        </w:tc>
        <w:tc>
          <w:tcPr>
            <w:tcW w:w="2400" w:type="dxa"/>
            <w:tcBorders>
              <w:top w:val="single" w:sz="1" w:space="0" w:color="AAAAAA"/>
              <w:left w:val="single" w:sz="1" w:space="0" w:color="AAAAAA"/>
              <w:bottom w:val="single" w:sz="1" w:space="0" w:color="AAAAAA"/>
              <w:right w:val="single" w:sz="1" w:space="0" w:color="AAAAAA"/>
            </w:tcBorders>
            <w:shd w:val="clear" w:color="auto" w:fill="D5E8F0"/>
            <w:vAlign w:val="center"/>
          </w:tcPr>
          <w:p w:rsidR="00FC0BB1" w:rsidRDefault="00000000">
            <w:pPr>
              <w:jc w:val="center"/>
            </w:pPr>
            <w:r>
              <w:rPr>
                <w:rFonts w:eastAsia="Times New Roman"/>
                <w:b/>
                <w:bCs/>
                <w:sz w:val="20"/>
                <w:szCs w:val="20"/>
              </w:rPr>
              <w:t>Llama-3.1-8B</w:t>
            </w:r>
          </w:p>
        </w:tc>
        <w:tc>
          <w:tcPr>
            <w:tcW w:w="2400" w:type="dxa"/>
            <w:tcBorders>
              <w:top w:val="single" w:sz="1" w:space="0" w:color="AAAAAA"/>
              <w:left w:val="single" w:sz="1" w:space="0" w:color="AAAAAA"/>
              <w:bottom w:val="single" w:sz="1" w:space="0" w:color="AAAAAA"/>
              <w:right w:val="single" w:sz="1" w:space="0" w:color="AAAAAA"/>
            </w:tcBorders>
            <w:shd w:val="clear" w:color="auto" w:fill="D5E8F0"/>
            <w:vAlign w:val="center"/>
          </w:tcPr>
          <w:p w:rsidR="00FC0BB1" w:rsidRDefault="00000000">
            <w:pPr>
              <w:jc w:val="center"/>
            </w:pPr>
            <w:r>
              <w:rPr>
                <w:rFonts w:eastAsia="Times New Roman"/>
                <w:b/>
                <w:bCs/>
                <w:sz w:val="20"/>
                <w:szCs w:val="20"/>
              </w:rPr>
              <w:t>Qwen2.5-7B</w:t>
            </w:r>
          </w:p>
        </w:tc>
        <w:tc>
          <w:tcPr>
            <w:tcW w:w="2400" w:type="dxa"/>
            <w:tcBorders>
              <w:top w:val="single" w:sz="1" w:space="0" w:color="AAAAAA"/>
              <w:left w:val="single" w:sz="1" w:space="0" w:color="AAAAAA"/>
              <w:bottom w:val="single" w:sz="1" w:space="0" w:color="AAAAAA"/>
              <w:right w:val="single" w:sz="1" w:space="0" w:color="AAAAAA"/>
            </w:tcBorders>
            <w:shd w:val="clear" w:color="auto" w:fill="D5E8F0"/>
            <w:vAlign w:val="center"/>
          </w:tcPr>
          <w:p w:rsidR="00FC0BB1" w:rsidRDefault="00000000">
            <w:pPr>
              <w:jc w:val="center"/>
            </w:pPr>
            <w:r>
              <w:rPr>
                <w:rFonts w:eastAsia="Times New Roman"/>
                <w:b/>
                <w:bCs/>
                <w:sz w:val="20"/>
                <w:szCs w:val="20"/>
              </w:rPr>
              <w:t>Note</w:t>
            </w:r>
          </w:p>
        </w:tc>
      </w:tr>
      <w:tr w:rsidR="00FC0BB1">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DC-Finetune</w:t>
            </w:r>
          </w:p>
        </w:tc>
        <w:tc>
          <w:tcPr>
            <w:tcW w:w="24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16.78M</w:t>
            </w:r>
          </w:p>
        </w:tc>
        <w:tc>
          <w:tcPr>
            <w:tcW w:w="24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12.85M</w:t>
            </w:r>
          </w:p>
        </w:tc>
        <w:tc>
          <w:tcPr>
            <w:tcW w:w="24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 xml:space="preserve">single </w:t>
            </w:r>
            <w:proofErr w:type="spellStart"/>
            <w:r>
              <w:rPr>
                <w:rFonts w:eastAsia="Times New Roman"/>
                <w:sz w:val="20"/>
                <w:szCs w:val="20"/>
              </w:rPr>
              <w:t>LoRA</w:t>
            </w:r>
            <w:proofErr w:type="spellEnd"/>
            <w:r>
              <w:rPr>
                <w:rFonts w:eastAsia="Times New Roman"/>
                <w:sz w:val="20"/>
                <w:szCs w:val="20"/>
              </w:rPr>
              <w:t xml:space="preserve"> on q/k/v/o, r=16</w:t>
            </w:r>
          </w:p>
        </w:tc>
      </w:tr>
      <w:tr w:rsidR="00FC0BB1">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 xml:space="preserve">Vanilla </w:t>
            </w:r>
            <w:proofErr w:type="spellStart"/>
            <w:r>
              <w:rPr>
                <w:rFonts w:eastAsia="Times New Roman"/>
                <w:sz w:val="20"/>
                <w:szCs w:val="20"/>
              </w:rPr>
              <w:t>MoE</w:t>
            </w:r>
            <w:proofErr w:type="spellEnd"/>
          </w:p>
        </w:tc>
        <w:tc>
          <w:tcPr>
            <w:tcW w:w="24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113.77M</w:t>
            </w:r>
          </w:p>
        </w:tc>
        <w:tc>
          <w:tcPr>
            <w:tcW w:w="24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121.51M</w:t>
            </w:r>
          </w:p>
        </w:tc>
        <w:tc>
          <w:tcPr>
            <w:tcW w:w="24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 xml:space="preserve">4 </w:t>
            </w:r>
            <w:proofErr w:type="spellStart"/>
            <w:r>
              <w:rPr>
                <w:rFonts w:eastAsia="Times New Roman"/>
                <w:sz w:val="20"/>
                <w:szCs w:val="20"/>
              </w:rPr>
              <w:t>LoRA</w:t>
            </w:r>
            <w:proofErr w:type="spellEnd"/>
            <w:r>
              <w:rPr>
                <w:rFonts w:eastAsia="Times New Roman"/>
                <w:sz w:val="20"/>
                <w:szCs w:val="20"/>
              </w:rPr>
              <w:t xml:space="preserve"> experts on FFN + router (per-layer), r=16</w:t>
            </w:r>
          </w:p>
        </w:tc>
      </w:tr>
      <w:tr w:rsidR="00FC0BB1">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proofErr w:type="spellStart"/>
            <w:r>
              <w:rPr>
                <w:rFonts w:eastAsia="Times New Roman"/>
                <w:sz w:val="20"/>
                <w:szCs w:val="20"/>
              </w:rPr>
              <w:t>MixLoRA</w:t>
            </w:r>
            <w:proofErr w:type="spellEnd"/>
          </w:p>
        </w:tc>
        <w:tc>
          <w:tcPr>
            <w:tcW w:w="24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243.79M</w:t>
            </w:r>
          </w:p>
        </w:tc>
        <w:tc>
          <w:tcPr>
            <w:tcW w:w="24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255.47M</w:t>
            </w:r>
          </w:p>
        </w:tc>
        <w:tc>
          <w:tcPr>
            <w:tcW w:w="24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 xml:space="preserve">4 </w:t>
            </w:r>
            <w:proofErr w:type="spellStart"/>
            <w:r>
              <w:rPr>
                <w:rFonts w:eastAsia="Times New Roman"/>
                <w:sz w:val="20"/>
                <w:szCs w:val="20"/>
              </w:rPr>
              <w:t>LoRA</w:t>
            </w:r>
            <w:proofErr w:type="spellEnd"/>
            <w:r>
              <w:rPr>
                <w:rFonts w:eastAsia="Times New Roman"/>
                <w:sz w:val="20"/>
                <w:szCs w:val="20"/>
              </w:rPr>
              <w:t xml:space="preserve"> experts on FFN + shared attn </w:t>
            </w:r>
            <w:proofErr w:type="spellStart"/>
            <w:r>
              <w:rPr>
                <w:rFonts w:eastAsia="Times New Roman"/>
                <w:sz w:val="20"/>
                <w:szCs w:val="20"/>
              </w:rPr>
              <w:t>LoRA</w:t>
            </w:r>
            <w:proofErr w:type="spellEnd"/>
            <w:r>
              <w:rPr>
                <w:rFonts w:eastAsia="Times New Roman"/>
                <w:sz w:val="20"/>
                <w:szCs w:val="20"/>
              </w:rPr>
              <w:t xml:space="preserve"> (per-layer), r=32</w:t>
            </w:r>
          </w:p>
        </w:tc>
      </w:tr>
      <w:tr w:rsidR="00FC0BB1">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proofErr w:type="spellStart"/>
            <w:r>
              <w:rPr>
                <w:rFonts w:eastAsia="Times New Roman"/>
                <w:sz w:val="20"/>
                <w:szCs w:val="20"/>
              </w:rPr>
              <w:t>CulDPD</w:t>
            </w:r>
            <w:proofErr w:type="spellEnd"/>
            <w:r>
              <w:rPr>
                <w:rFonts w:eastAsia="Times New Roman"/>
                <w:sz w:val="20"/>
                <w:szCs w:val="20"/>
              </w:rPr>
              <w:t xml:space="preserve"> (Ours)</w:t>
            </w:r>
          </w:p>
        </w:tc>
        <w:tc>
          <w:tcPr>
            <w:tcW w:w="24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130.81M</w:t>
            </w:r>
          </w:p>
        </w:tc>
        <w:tc>
          <w:tcPr>
            <w:tcW w:w="24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134.56M</w:t>
            </w:r>
          </w:p>
        </w:tc>
        <w:tc>
          <w:tcPr>
            <w:tcW w:w="2400" w:type="dxa"/>
            <w:tcBorders>
              <w:top w:val="single" w:sz="1" w:space="0" w:color="AAAAAA"/>
              <w:left w:val="single" w:sz="1" w:space="0" w:color="AAAAAA"/>
              <w:bottom w:val="single" w:sz="1" w:space="0" w:color="AAAAAA"/>
              <w:right w:val="single" w:sz="1" w:space="0" w:color="AAAAAA"/>
            </w:tcBorders>
            <w:vAlign w:val="center"/>
          </w:tcPr>
          <w:p w:rsidR="00FC0BB1" w:rsidRDefault="00000000">
            <w:pPr>
              <w:jc w:val="center"/>
            </w:pPr>
            <w:r>
              <w:rPr>
                <w:rFonts w:eastAsia="Times New Roman"/>
                <w:sz w:val="20"/>
                <w:szCs w:val="20"/>
              </w:rPr>
              <w:t xml:space="preserve">shared </w:t>
            </w:r>
            <w:proofErr w:type="spellStart"/>
            <w:r>
              <w:rPr>
                <w:rFonts w:eastAsia="Times New Roman"/>
                <w:sz w:val="20"/>
                <w:szCs w:val="20"/>
              </w:rPr>
              <w:t>LoRA</w:t>
            </w:r>
            <w:proofErr w:type="spellEnd"/>
            <w:r>
              <w:rPr>
                <w:rFonts w:eastAsia="Times New Roman"/>
                <w:sz w:val="20"/>
                <w:szCs w:val="20"/>
              </w:rPr>
              <w:t xml:space="preserve"> (q/k/v/o) + 4 </w:t>
            </w:r>
            <w:proofErr w:type="spellStart"/>
            <w:r>
              <w:rPr>
                <w:rFonts w:eastAsia="Times New Roman"/>
                <w:sz w:val="20"/>
                <w:szCs w:val="20"/>
              </w:rPr>
              <w:t>LoRA</w:t>
            </w:r>
            <w:proofErr w:type="spellEnd"/>
            <w:r>
              <w:rPr>
                <w:rFonts w:eastAsia="Times New Roman"/>
                <w:sz w:val="20"/>
                <w:szCs w:val="20"/>
              </w:rPr>
              <w:t xml:space="preserve"> experts on FFN + router + fusion gate (per-layer), r=16</w:t>
            </w:r>
          </w:p>
        </w:tc>
      </w:tr>
    </w:tbl>
    <w:p w:rsidR="00FC0BB1" w:rsidRDefault="00000000">
      <w:pPr>
        <w:spacing w:before="60" w:after="60" w:line="300" w:lineRule="auto"/>
      </w:pPr>
      <w:r>
        <w:rPr>
          <w:rFonts w:eastAsia="Times New Roman"/>
        </w:rPr>
        <w:t xml:space="preserve">(2) Regarding why </w:t>
      </w:r>
      <w:proofErr w:type="spellStart"/>
      <w:r>
        <w:rPr>
          <w:rFonts w:eastAsia="Times New Roman"/>
        </w:rPr>
        <w:t>CulDPD</w:t>
      </w:r>
      <w:proofErr w:type="spellEnd"/>
      <w:r>
        <w:rPr>
          <w:rFonts w:eastAsia="Times New Roman"/>
        </w:rPr>
        <w:t xml:space="preserve"> outperforms each baseline: Section 5.1 of the paper already provides several key arguments (e.g., dual-path decoupling vs. a single parameter space, the cultural-</w:t>
      </w:r>
      <w:proofErr w:type="spellStart"/>
      <w:r>
        <w:rPr>
          <w:rFonts w:eastAsia="Times New Roman"/>
        </w:rPr>
        <w:t>specialisation</w:t>
      </w:r>
      <w:proofErr w:type="spellEnd"/>
      <w:r>
        <w:rPr>
          <w:rFonts w:eastAsia="Times New Roman"/>
        </w:rPr>
        <w:t xml:space="preserve"> constraint of CRL, the view-perturbation of masking, etc.). We will provide a more detailed per-baseline interpretation in the revision, cross-referenced with the numerical gaps in Table 1 and the ablation results in Table 2.</w:t>
      </w:r>
    </w:p>
    <w:sectPr w:rsidR="00FC0BB1">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281C91"/>
    <w:multiLevelType w:val="hybridMultilevel"/>
    <w:tmpl w:val="26CCC2A2"/>
    <w:lvl w:ilvl="0" w:tplc="7A30F516">
      <w:start w:val="1"/>
      <w:numFmt w:val="bullet"/>
      <w:lvlText w:val="●"/>
      <w:lvlJc w:val="left"/>
      <w:pPr>
        <w:ind w:left="720" w:hanging="360"/>
      </w:pPr>
    </w:lvl>
    <w:lvl w:ilvl="1" w:tplc="E3480068">
      <w:start w:val="1"/>
      <w:numFmt w:val="bullet"/>
      <w:lvlText w:val="○"/>
      <w:lvlJc w:val="left"/>
      <w:pPr>
        <w:ind w:left="1440" w:hanging="360"/>
      </w:pPr>
    </w:lvl>
    <w:lvl w:ilvl="2" w:tplc="D1868F1C">
      <w:start w:val="1"/>
      <w:numFmt w:val="bullet"/>
      <w:lvlText w:val="■"/>
      <w:lvlJc w:val="left"/>
      <w:pPr>
        <w:ind w:left="2160" w:hanging="360"/>
      </w:pPr>
    </w:lvl>
    <w:lvl w:ilvl="3" w:tplc="CCC8C2CE">
      <w:start w:val="1"/>
      <w:numFmt w:val="bullet"/>
      <w:lvlText w:val="●"/>
      <w:lvlJc w:val="left"/>
      <w:pPr>
        <w:ind w:left="2880" w:hanging="360"/>
      </w:pPr>
    </w:lvl>
    <w:lvl w:ilvl="4" w:tplc="0F8A79D2">
      <w:start w:val="1"/>
      <w:numFmt w:val="bullet"/>
      <w:lvlText w:val="○"/>
      <w:lvlJc w:val="left"/>
      <w:pPr>
        <w:ind w:left="3600" w:hanging="360"/>
      </w:pPr>
    </w:lvl>
    <w:lvl w:ilvl="5" w:tplc="DB12EB04">
      <w:start w:val="1"/>
      <w:numFmt w:val="bullet"/>
      <w:lvlText w:val="■"/>
      <w:lvlJc w:val="left"/>
      <w:pPr>
        <w:ind w:left="4320" w:hanging="360"/>
      </w:pPr>
    </w:lvl>
    <w:lvl w:ilvl="6" w:tplc="82D82268">
      <w:start w:val="1"/>
      <w:numFmt w:val="bullet"/>
      <w:lvlText w:val="●"/>
      <w:lvlJc w:val="left"/>
      <w:pPr>
        <w:ind w:left="5040" w:hanging="360"/>
      </w:pPr>
    </w:lvl>
    <w:lvl w:ilvl="7" w:tplc="6FD0F192">
      <w:start w:val="1"/>
      <w:numFmt w:val="bullet"/>
      <w:lvlText w:val="●"/>
      <w:lvlJc w:val="left"/>
      <w:pPr>
        <w:ind w:left="5760" w:hanging="360"/>
      </w:pPr>
    </w:lvl>
    <w:lvl w:ilvl="8" w:tplc="05E0D636">
      <w:start w:val="1"/>
      <w:numFmt w:val="bullet"/>
      <w:lvlText w:val="●"/>
      <w:lvlJc w:val="left"/>
      <w:pPr>
        <w:ind w:left="6480" w:hanging="360"/>
      </w:pPr>
    </w:lvl>
  </w:abstractNum>
  <w:num w:numId="1" w16cid:durableId="15328359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BB1"/>
    <w:rsid w:val="003A533B"/>
    <w:rsid w:val="007407E8"/>
    <w:rsid w:val="00B46D95"/>
    <w:rsid w:val="00D037CC"/>
    <w:rsid w:val="00FC0B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7C2DFD2"/>
  <w15:docId w15:val="{1DB1FEC2-1CD4-8B45-BEA0-A0D2941BA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20" w:after="160"/>
      <w:outlineLvl w:val="0"/>
    </w:pPr>
    <w:rPr>
      <w:rFonts w:eastAsia="Times New Roman"/>
      <w:b/>
      <w:bCs/>
      <w:color w:val="1F3864"/>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5301</Words>
  <Characters>30217</Characters>
  <Application>Microsoft Office Word</Application>
  <DocSecurity>0</DocSecurity>
  <Lines>251</Lines>
  <Paragraphs>70</Paragraphs>
  <ScaleCrop>false</ScaleCrop>
  <Company/>
  <LinksUpToDate>false</LinksUpToDate>
  <CharactersWithSpaces>35448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YZL</cp:lastModifiedBy>
  <cp:revision>4</cp:revision>
  <dcterms:created xsi:type="dcterms:W3CDTF">2026-07-12T14:52:00Z</dcterms:created>
  <dcterms:modified xsi:type="dcterms:W3CDTF">2026-07-12T15:00:00Z</dcterms:modified>
</cp:coreProperties>
</file>