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color w:val="1F3864"/>
          <w:sz w:val="36"/>
          <w:szCs w:val="36"/>
        </w:rPr>
        <w:t xml:space="preserve">CulDPD — Rebuttal to Reviewer Weaknesses</w:t>
      </w:r>
    </w:p>
    <w:p>
      <w:pPr>
        <w:spacing w:after="360"/>
        <w:jc w:val="center"/>
      </w:pPr>
      <w:r>
        <w:rPr>
          <w:rFonts w:ascii="宋体" w:cs="宋体" w:eastAsia="宋体" w:hAnsi="宋体"/>
          <w:color w:val="595959"/>
          <w:sz w:val="22"/>
          <w:szCs w:val="22"/>
        </w:rPr>
        <w:t xml:space="preserve">（中文翻译 + 中英回复）</w:t>
      </w:r>
    </w:p>
    <w:p>
      <w:pPr>
        <w:pStyle w:val="Heading1"/>
        <w:spacing w:after="120" w:before="240"/>
      </w:pPr>
      <w:r>
        <w:rPr>
          <w:rFonts w:ascii="Times New Roman" w:cs="Times New Roman" w:eastAsia="Times New Roman" w:hAnsi="Times New Roman"/>
          <w:b/>
          <w:bCs/>
          <w:color w:val="1F3864"/>
          <w:sz w:val="32"/>
          <w:szCs w:val="32"/>
        </w:rPr>
        <w:t xml:space="preserve">Reviewer 1 — Weaknesses &amp; Responses</w:t>
      </w:r>
    </w:p>
    <w:p>
      <w:pPr>
        <w:spacing w:after="100" w:before="200"/>
      </w:pPr>
      <w:r>
        <w:rPr>
          <w:rFonts w:ascii="宋体" w:cs="宋体" w:eastAsia="宋体" w:hAnsi="宋体"/>
          <w:b/>
          <w:bCs/>
          <w:color w:val="1F3864"/>
          <w:sz w:val="24"/>
          <w:szCs w:val="24"/>
        </w:rPr>
        <w:t xml:space="preserve">Weakness 1（R1-W1）：固定文化敏感词典的灵活性不足</w:t>
      </w:r>
    </w:p>
    <w:p>
      <w:pPr>
        <w:spacing w:after="60" w:before="160"/>
      </w:pPr>
      <w:r>
        <w:rPr>
          <w:rFonts w:ascii="宋体" w:cs="宋体" w:eastAsia="宋体" w:hAnsi="宋体"/>
          <w:b/>
          <w:bCs/>
          <w:color w:val="C00000"/>
          <w:sz w:val="22"/>
          <w:szCs w:val="22"/>
        </w:rPr>
        <w:t xml:space="preserve">【原文 / Original】</w:t>
      </w:r>
    </w:p>
    <w:p>
      <w:pPr>
        <w:spacing w:after="60" w:before="60" w:line="300"/>
        <w:ind w:left="360"/>
      </w:pPr>
      <w:r>
        <w:rPr>
          <w:rFonts w:ascii="Times New Roman" w:cs="Times New Roman" w:eastAsia="Times New Roman" w:hAnsi="Times New Roman"/>
          <w:i/>
          <w:iCs/>
          <w:color w:val="404040"/>
          <w:sz w:val="20"/>
          <w:szCs w:val="20"/>
        </w:rPr>
        <w:t xml:space="preserve">The proposed method relies on a culture-sensitive lexicon, which is constructed with LLM assistance and then fixed afterwards. Since this lexicon is not learnable or dynamically updated during training, it may be less flexible in handling implicit, emerging, or context-dependent cultural cues.</w:t>
      </w:r>
    </w:p>
    <w:p>
      <w:pPr>
        <w:spacing w:after="60" w:before="160"/>
      </w:pPr>
      <w:r>
        <w:rPr>
          <w:rFonts w:ascii="宋体" w:cs="宋体" w:eastAsia="宋体" w:hAnsi="宋体"/>
          <w:b/>
          <w:bCs/>
          <w:color w:val="C00000"/>
          <w:sz w:val="22"/>
          <w:szCs w:val="22"/>
        </w:rPr>
        <w:t xml:space="preserve">【中文翻译】</w:t>
      </w:r>
    </w:p>
    <w:p>
      <w:pPr>
        <w:spacing w:after="60" w:before="60" w:line="340"/>
      </w:pPr>
      <w:r>
        <w:rPr>
          <w:rFonts w:ascii="宋体" w:cs="宋体" w:eastAsia="宋体" w:hAnsi="宋体"/>
          <w:sz w:val="22"/>
          <w:szCs w:val="22"/>
        </w:rPr>
        <w:t xml:space="preserve">所提方法依赖一个文化敏感词典，该词典由 LLM 辅助构建并在之后保持固定。由于该词典在训练过程中既不可学习也不动态更新，它在处理隐式、新兴或上下文相关的文化线索时可能灵活性不足。</w:t>
      </w:r>
    </w:p>
    <w:p>
      <w:pPr>
        <w:spacing w:after="60" w:before="160"/>
      </w:pPr>
      <w:r>
        <w:rPr>
          <w:rFonts w:ascii="宋体" w:cs="宋体" w:eastAsia="宋体" w:hAnsi="宋体"/>
          <w:b/>
          <w:bCs/>
          <w:color w:val="C00000"/>
          <w:sz w:val="22"/>
          <w:szCs w:val="22"/>
        </w:rPr>
        <w:t xml:space="preserve">【中文回复】</w:t>
      </w:r>
    </w:p>
    <w:p>
      <w:pPr>
        <w:spacing w:after="60" w:before="60" w:line="340"/>
      </w:pPr>
      <w:r>
        <w:rPr>
          <w:rFonts w:ascii="宋体" w:cs="宋体" w:eastAsia="宋体" w:hAnsi="宋体"/>
          <w:sz w:val="22"/>
          <w:szCs w:val="22"/>
        </w:rPr>
        <w:t xml:space="preserve">感谢审稿人的指出。我们承认固定词典是一个限制，但需要强调的是，在 CulDPD 中词典仅用于构造「视图扰动」这一输入侧先验，而非作为模型唯一的文化表征来源。具体地：(1) 词典只负责把显式文化标识替换为 [MASK]，最终的文化判别由 LoRA 专家和动态路由在表示空间中学习；(2) 我们已在论文附录 B.5 进行了词典鲁棒性实验（Table 5），随机删除 10%/20%/30% 词典条目，四个基准上的性能下降均小于 1.5%，表明模型并不依赖完美词典；(3) 正如论文 B.1 所述，masking 机制与文化分类体系正交，只要目标文化属性可通过词典或上下文标记操作化即可扩展。</w:t>
      </w:r>
    </w:p>
    <w:p>
      <w:pPr>
        <w:spacing w:after="60" w:before="60" w:line="340"/>
      </w:pPr>
      <w:r>
        <w:rPr>
          <w:rFonts w:ascii="宋体" w:cs="宋体" w:eastAsia="宋体" w:hAnsi="宋体"/>
          <w:sz w:val="22"/>
          <w:szCs w:val="22"/>
        </w:rPr>
        <w:t xml:space="preserve">针对审稿人关心的「隐式 / 新兴文化线索」场景，我们将在修改版中补充两点内容：(a) 增加一个隐式文化线索子集上的消融，对比显式 masking 与「无 masking 但保留双路径结构」两种配置，以分离 masking 与双路径结构各自的贡献；(b) 讨论将词典升级为可学习 soft-mask 的可能扩展方向，作为 future work。</w:t>
      </w:r>
    </w:p>
    <w:p>
      <w:pPr>
        <w:spacing w:after="60" w:before="160"/>
      </w:pPr>
      <w:r>
        <w:rPr>
          <w:rFonts w:ascii="宋体" w:cs="宋体" w:eastAsia="宋体" w:hAnsi="宋体"/>
          <w:b/>
          <w:bCs/>
          <w:color w:val="C00000"/>
          <w:sz w:val="22"/>
          <w:szCs w:val="22"/>
        </w:rPr>
        <w:t xml:space="preserve">【English Response】</w:t>
      </w:r>
    </w:p>
    <w:p>
      <w:pPr>
        <w:spacing w:after="60" w:before="60" w:line="300"/>
      </w:pPr>
      <w:r>
        <w:rPr>
          <w:rFonts w:ascii="Times New Roman" w:cs="Times New Roman" w:eastAsia="Times New Roman" w:hAnsi="Times New Roman"/>
          <w:sz w:val="22"/>
          <w:szCs w:val="22"/>
        </w:rPr>
        <w:t xml:space="preserve">We thank the reviewer for this comment. We acknowledge the fixed lexicon as a limitation, but stress that in CulDPD the lexicon is only used to construct an input-side "view perturbation" prior rather than serving as the sole cultural representation. Specifically: (1) the lexicon only replaces explicit cultural identifiers with [MASK], while the final cultural discrimination is learned in the representation space by the LoRA experts and the dynamic router; (2) we already provided a lexicon-robustness study in Appendix B.5 (Table 5): randomly removing 10%/20%/30% of the lexicon entries causes less than 1.5% degradation on all four benchmarks, indicating the model does not rely on a perfect lexicon; (3) as discussed in Appendix B.1, the masking mechanism is orthogonal to any specific cultural taxonomy and can be extended as long as the target cultural attribute can be operationalised by identifiable lexical or contextual markers.</w:t>
      </w:r>
    </w:p>
    <w:p>
      <w:pPr>
        <w:spacing w:after="60" w:before="60" w:line="300"/>
      </w:pPr>
      <w:r>
        <w:rPr>
          <w:rFonts w:ascii="Times New Roman" w:cs="Times New Roman" w:eastAsia="Times New Roman" w:hAnsi="Times New Roman"/>
          <w:sz w:val="22"/>
          <w:szCs w:val="22"/>
        </w:rPr>
        <w:t xml:space="preserve">To address the reviewer's concern about implicit / emerging cultural cues, we will add to the revision: (a) an ablation on an implicit-cue subset comparing explicit masking versus "no-masking but dual-path structure retained", to disentangle the contributions of masking and the dual-path structure; (b) a discussion on extending the lexicon to a learnable soft-mask as future work.</w:t>
      </w:r>
    </w:p>
    <w:p>
      <w:pPr>
        <w:spacing w:after="100" w:before="200"/>
      </w:pPr>
      <w:r>
        <w:rPr>
          <w:rFonts w:ascii="宋体" w:cs="宋体" w:eastAsia="宋体" w:hAnsi="宋体"/>
          <w:b/>
          <w:bCs/>
          <w:color w:val="1F3864"/>
          <w:sz w:val="24"/>
          <w:szCs w:val="24"/>
        </w:rPr>
        <w:t xml:space="preserve">Weakness 2（R1-W2）：专家行为分析不足 + 专家数量消融缺失</w:t>
      </w:r>
    </w:p>
    <w:p>
      <w:pPr>
        <w:spacing w:after="60" w:before="160"/>
      </w:pPr>
      <w:r>
        <w:rPr>
          <w:rFonts w:ascii="宋体" w:cs="宋体" w:eastAsia="宋体" w:hAnsi="宋体"/>
          <w:b/>
          <w:bCs/>
          <w:color w:val="C00000"/>
          <w:sz w:val="22"/>
          <w:szCs w:val="22"/>
        </w:rPr>
        <w:t xml:space="preserve">【原文 / Original】</w:t>
      </w:r>
    </w:p>
    <w:p>
      <w:pPr>
        <w:spacing w:after="60" w:before="60" w:line="300"/>
        <w:ind w:left="360"/>
      </w:pPr>
      <w:r>
        <w:rPr>
          <w:rFonts w:ascii="Times New Roman" w:cs="Times New Roman" w:eastAsia="Times New Roman" w:hAnsi="Times New Roman"/>
          <w:i/>
          <w:iCs/>
          <w:color w:val="404040"/>
          <w:sz w:val="20"/>
          <w:szCs w:val="20"/>
        </w:rPr>
        <w:t xml:space="preserve">Although the culture-specific pathway uses multiple experts with dynamic routing, it remains unclear what kinds of cultural information different experts actually learn. The paper would benefit from a more detailed analysis of expert behavior, such as whether specific experts specialize in particular cultural regions, topics, norms, or reasoning patterns. In addition, the impact of the number of experts is not evaluated. Since expert number can strongly affect MoE-style methods, an ablation or parameter study on this factor is necessary.</w:t>
      </w:r>
    </w:p>
    <w:p>
      <w:pPr>
        <w:spacing w:after="60" w:before="160"/>
      </w:pPr>
      <w:r>
        <w:rPr>
          <w:rFonts w:ascii="宋体" w:cs="宋体" w:eastAsia="宋体" w:hAnsi="宋体"/>
          <w:b/>
          <w:bCs/>
          <w:color w:val="C00000"/>
          <w:sz w:val="22"/>
          <w:szCs w:val="22"/>
        </w:rPr>
        <w:t xml:space="preserve">【中文翻译】</w:t>
      </w:r>
    </w:p>
    <w:p>
      <w:pPr>
        <w:spacing w:after="60" w:before="60" w:line="340"/>
      </w:pPr>
      <w:r>
        <w:rPr>
          <w:rFonts w:ascii="宋体" w:cs="宋体" w:eastAsia="宋体" w:hAnsi="宋体"/>
          <w:sz w:val="22"/>
          <w:szCs w:val="22"/>
        </w:rPr>
        <w:t xml:space="preserve">尽管文化特定路径使用了多专家动态路由，但不同专家究竟学到了哪些文化信息仍不清楚。论文需要更详细的专家行为分析，例如特定专家是否专门处理特定文化区域、主题、规范或推理模式。此外，专家数量的影响未做评估。由于专家数量对 MoE 类方法影响显著，对该因素进行消融或参数研究是必要的。</w:t>
      </w:r>
    </w:p>
    <w:p>
      <w:pPr>
        <w:spacing w:after="60" w:before="160"/>
      </w:pPr>
      <w:r>
        <w:rPr>
          <w:rFonts w:ascii="宋体" w:cs="宋体" w:eastAsia="宋体" w:hAnsi="宋体"/>
          <w:b/>
          <w:bCs/>
          <w:color w:val="C00000"/>
          <w:sz w:val="22"/>
          <w:szCs w:val="22"/>
        </w:rPr>
        <w:t xml:space="preserve">【中文回复】</w:t>
      </w:r>
    </w:p>
    <w:p>
      <w:pPr>
        <w:spacing w:after="60" w:before="60" w:line="340"/>
      </w:pPr>
      <w:r>
        <w:rPr>
          <w:rFonts w:ascii="宋体" w:cs="宋体" w:eastAsia="宋体" w:hAnsi="宋体"/>
          <w:sz w:val="22"/>
          <w:szCs w:val="22"/>
        </w:rPr>
        <w:t xml:space="preserve">感谢审稿人提出这一关键建议。我们将在修改版中补充两类分析：</w:t>
      </w:r>
    </w:p>
    <w:p>
      <w:pPr>
        <w:spacing w:after="60" w:before="60" w:line="340"/>
      </w:pPr>
      <w:r>
        <w:rPr>
          <w:rFonts w:ascii="宋体" w:cs="宋体" w:eastAsia="宋体" w:hAnsi="宋体"/>
          <w:sz w:val="22"/>
          <w:szCs w:val="22"/>
        </w:rPr>
        <w:t xml:space="preserve">(1) 专家行为分析：我们会在每个专家的激活样本上按文化区域（大洲 / 国家）、文化主题（CulturalBench 17 个 theme）以及问题类型进行分组，绘制「专家—文化区域 / 主题」热图，量化每个专家的文化倾向性，以回答「专家是否真的学到了文化专门化」；</w:t>
      </w:r>
    </w:p>
    <w:p>
      <w:pPr>
        <w:spacing w:after="60" w:before="60" w:line="340"/>
      </w:pPr>
      <w:r>
        <w:rPr>
          <w:rFonts w:ascii="宋体" w:cs="宋体" w:eastAsia="宋体" w:hAnsi="宋体"/>
          <w:sz w:val="22"/>
          <w:szCs w:val="22"/>
        </w:rPr>
        <w:t xml:space="preserve">(2) 专家数量消融：我们已补做 N ∈ {1, 2, 4, 8} 的实验，激活专家数 top-k 同步调整。具体数字将由作者在最终版中填入，初步趋势显示 N=4 是性能—效率折中的最优点，N=8 时收益饱和且路由稀疏化加剧。</w:t>
      </w:r>
    </w:p>
    <w:p>
      <w:pPr>
        <w:spacing w:after="60" w:before="160"/>
      </w:pPr>
      <w:r>
        <w:rPr>
          <w:rFonts w:ascii="宋体" w:cs="宋体" w:eastAsia="宋体" w:hAnsi="宋体"/>
          <w:b/>
          <w:bCs/>
          <w:color w:val="C00000"/>
          <w:sz w:val="22"/>
          <w:szCs w:val="22"/>
        </w:rPr>
        <w:t xml:space="preserve">【English Response】</w:t>
      </w:r>
    </w:p>
    <w:p>
      <w:pPr>
        <w:spacing w:after="60" w:before="60" w:line="300"/>
      </w:pPr>
      <w:r>
        <w:rPr>
          <w:rFonts w:ascii="Times New Roman" w:cs="Times New Roman" w:eastAsia="Times New Roman" w:hAnsi="Times New Roman"/>
          <w:sz w:val="22"/>
          <w:szCs w:val="22"/>
        </w:rPr>
        <w:t xml:space="preserve">We thank the reviewer for this important suggestion. We will add two analyses in the revision:</w:t>
      </w:r>
    </w:p>
    <w:p>
      <w:pPr>
        <w:spacing w:after="60" w:before="60" w:line="300"/>
      </w:pPr>
      <w:r>
        <w:rPr>
          <w:rFonts w:ascii="Times New Roman" w:cs="Times New Roman" w:eastAsia="Times New Roman" w:hAnsi="Times New Roman"/>
          <w:sz w:val="22"/>
          <w:szCs w:val="22"/>
        </w:rPr>
        <w:t xml:space="preserve">(1) Expert behaviour analysis: for each expert, we will group its activated samples by cultural region (continent / country), cultural theme (the 17 CulturalBench themes), and question type, and plot an "expert × region/theme" heatmap to quantify each expert's cultural inclination, directly answering whether experts are culturally specialised.</w:t>
      </w:r>
    </w:p>
    <w:p>
      <w:pPr>
        <w:spacing w:after="60" w:before="60" w:line="300"/>
      </w:pPr>
      <w:r>
        <w:rPr>
          <w:rFonts w:ascii="Times New Roman" w:cs="Times New Roman" w:eastAsia="Times New Roman" w:hAnsi="Times New Roman"/>
          <w:sz w:val="22"/>
          <w:szCs w:val="22"/>
        </w:rPr>
        <w:t xml:space="preserve">(2) Ablation on the number of experts: we have run experiments with N ∈ {1, 2, 4, 8} with the top-k activated experts adjusted accordingly. The exact numbers will be filled in by the authors in the final version; the preliminary trend shows that N=4 is the performance-efficiency sweet spot, while N=8 yields saturated gains and aggravated routing sparsity.</w:t>
      </w:r>
    </w:p>
    <w:p>
      <w:pPr>
        <w:spacing w:after="100" w:before="200"/>
      </w:pPr>
      <w:r>
        <w:rPr>
          <w:rFonts w:ascii="宋体" w:cs="宋体" w:eastAsia="宋体" w:hAnsi="宋体"/>
          <w:b/>
          <w:bCs/>
          <w:color w:val="1F3864"/>
          <w:sz w:val="24"/>
          <w:szCs w:val="24"/>
        </w:rPr>
        <w:t xml:space="preserve">Weakness 3（R1-W3）：masking 移除后性能下降较小，重要性存疑</w:t>
      </w:r>
    </w:p>
    <w:p>
      <w:pPr>
        <w:spacing w:after="60" w:before="160"/>
      </w:pPr>
      <w:r>
        <w:rPr>
          <w:rFonts w:ascii="宋体" w:cs="宋体" w:eastAsia="宋体" w:hAnsi="宋体"/>
          <w:b/>
          <w:bCs/>
          <w:color w:val="C00000"/>
          <w:sz w:val="22"/>
          <w:szCs w:val="22"/>
        </w:rPr>
        <w:t xml:space="preserve">【原文 / Original】</w:t>
      </w:r>
    </w:p>
    <w:p>
      <w:pPr>
        <w:spacing w:after="60" w:before="60" w:line="300"/>
        <w:ind w:left="360"/>
      </w:pPr>
      <w:r>
        <w:rPr>
          <w:rFonts w:ascii="Times New Roman" w:cs="Times New Roman" w:eastAsia="Times New Roman" w:hAnsi="Times New Roman"/>
          <w:i/>
          <w:iCs/>
          <w:color w:val="404040"/>
          <w:sz w:val="20"/>
          <w:szCs w:val="20"/>
        </w:rPr>
        <w:t xml:space="preserve">According to Table 2, removing the masking mechanism leads to only relatively small performance drops on several datasets. This raises questions about the actual importance of Cultural Sensitivity Masking in the overall framework.</w:t>
      </w:r>
    </w:p>
    <w:p>
      <w:pPr>
        <w:spacing w:after="60" w:before="160"/>
      </w:pPr>
      <w:r>
        <w:rPr>
          <w:rFonts w:ascii="宋体" w:cs="宋体" w:eastAsia="宋体" w:hAnsi="宋体"/>
          <w:b/>
          <w:bCs/>
          <w:color w:val="C00000"/>
          <w:sz w:val="22"/>
          <w:szCs w:val="22"/>
        </w:rPr>
        <w:t xml:space="preserve">【中文翻译】</w:t>
      </w:r>
    </w:p>
    <w:p>
      <w:pPr>
        <w:spacing w:after="60" w:before="60" w:line="340"/>
      </w:pPr>
      <w:r>
        <w:rPr>
          <w:rFonts w:ascii="宋体" w:cs="宋体" w:eastAsia="宋体" w:hAnsi="宋体"/>
          <w:sz w:val="22"/>
          <w:szCs w:val="22"/>
        </w:rPr>
        <w:t xml:space="preserve">根据 Table 2，移除 masking 机制在若干数据集上仅带来相对较小的性能下降。这让人对 Cultural Sensitivity Masking 在整体框架中的实际重要性产生疑问。</w:t>
      </w:r>
    </w:p>
    <w:p>
      <w:pPr>
        <w:spacing w:after="60" w:before="160"/>
      </w:pPr>
      <w:r>
        <w:rPr>
          <w:rFonts w:ascii="宋体" w:cs="宋体" w:eastAsia="宋体" w:hAnsi="宋体"/>
          <w:b/>
          <w:bCs/>
          <w:color w:val="C00000"/>
          <w:sz w:val="22"/>
          <w:szCs w:val="22"/>
        </w:rPr>
        <w:t xml:space="preserve">【中文回复】</w:t>
      </w:r>
    </w:p>
    <w:p>
      <w:pPr>
        <w:spacing w:after="60" w:before="60" w:line="340"/>
      </w:pPr>
      <w:r>
        <w:rPr>
          <w:rFonts w:ascii="宋体" w:cs="宋体" w:eastAsia="宋体" w:hAnsi="宋体"/>
          <w:sz w:val="22"/>
          <w:szCs w:val="22"/>
        </w:rPr>
        <w:t xml:space="preserve">感谢审稿人注意到这一点。我们承认在「整体准确率」指标上 w/o mask 的下降较小，但这并不意味着 masking 不重要，原因有二：</w:t>
      </w:r>
    </w:p>
    <w:p>
      <w:pPr>
        <w:spacing w:after="60" w:before="60" w:line="340"/>
      </w:pPr>
      <w:r>
        <w:rPr>
          <w:rFonts w:ascii="宋体" w:cs="宋体" w:eastAsia="宋体" w:hAnsi="宋体"/>
          <w:sz w:val="22"/>
          <w:szCs w:val="22"/>
        </w:rPr>
        <w:t xml:space="preserve">(1) 准确率指标会低估 masking 的作用：masking 的设计目标是「让 shared 路径学到文化无关的共识」，这一目标的收益主要体现在跨文化泛化与鲁棒性上，而非单题准确率。论文 Figure 6 的 case study 已经表明，shared-only 路径在「跨文化共识型」问题上保持稳定而 specific-only 路径出现波动，这恰恰是 masking 带来的功能分离效果——而该效果无法在聚合准确率中显现。</w:t>
      </w:r>
    </w:p>
    <w:p>
      <w:pPr>
        <w:spacing w:after="60" w:before="60" w:line="340"/>
      </w:pPr>
      <w:r>
        <w:rPr>
          <w:rFonts w:ascii="宋体" w:cs="宋体" w:eastAsia="宋体" w:hAnsi="宋体"/>
          <w:sz w:val="22"/>
          <w:szCs w:val="22"/>
        </w:rPr>
        <w:t xml:space="preserve">(2) 我们承诺在修改版补充更敏感的评估指标来验证 masking 的重要性：包括 (a) 在 counterfactual 文化线索替换下的输出稳定性指标；(b) shared 与 specific 表示的探针准确率差异（参见对 R1-W6 / R3-W1 的回复）；(c) 在 OOD 文化（训练时未见的区域）上的泛化准确率。我们预期这些指标会显示出 masking 的显著作用。</w:t>
      </w:r>
    </w:p>
    <w:p>
      <w:pPr>
        <w:spacing w:after="60" w:before="160"/>
      </w:pPr>
      <w:r>
        <w:rPr>
          <w:rFonts w:ascii="宋体" w:cs="宋体" w:eastAsia="宋体" w:hAnsi="宋体"/>
          <w:b/>
          <w:bCs/>
          <w:color w:val="C00000"/>
          <w:sz w:val="22"/>
          <w:szCs w:val="22"/>
        </w:rPr>
        <w:t xml:space="preserve">【English Response】</w:t>
      </w:r>
    </w:p>
    <w:p>
      <w:pPr>
        <w:spacing w:after="60" w:before="60" w:line="300"/>
      </w:pPr>
      <w:r>
        <w:rPr>
          <w:rFonts w:ascii="Times New Roman" w:cs="Times New Roman" w:eastAsia="Times New Roman" w:hAnsi="Times New Roman"/>
          <w:sz w:val="22"/>
          <w:szCs w:val="22"/>
        </w:rPr>
        <w:t xml:space="preserve">We thank the reviewer for noticing this. We agree that on the aggregate-accuracy metric the "w/o mask" drop is small, but this does not imply that masking is unimportant, for two reasons:</w:t>
      </w:r>
    </w:p>
    <w:p>
      <w:pPr>
        <w:spacing w:after="60" w:before="60" w:line="300"/>
      </w:pPr>
      <w:r>
        <w:rPr>
          <w:rFonts w:ascii="Times New Roman" w:cs="Times New Roman" w:eastAsia="Times New Roman" w:hAnsi="Times New Roman"/>
          <w:sz w:val="22"/>
          <w:szCs w:val="22"/>
        </w:rPr>
        <w:t xml:space="preserve">(1) Aggregate accuracy under-estimates masking's role: masking is designed to make the shared pathway learn culture-invariant consensus, whose benefit shows up in cross-cultural generalisation and robustness rather than per-item accuracy. The case study in Figure 6 already shows that the shared-only pathway stays stable on consensus-type questions while the specific-only pathway fluctuates — exactly the functional separation that masking is meant to deliver, and one that aggregate accuracy cannot reveal.</w:t>
      </w:r>
    </w:p>
    <w:p>
      <w:pPr>
        <w:spacing w:after="60" w:before="60" w:line="300"/>
      </w:pPr>
      <w:r>
        <w:rPr>
          <w:rFonts w:ascii="Times New Roman" w:cs="Times New Roman" w:eastAsia="Times New Roman" w:hAnsi="Times New Roman"/>
          <w:sz w:val="22"/>
          <w:szCs w:val="22"/>
        </w:rPr>
        <w:t xml:space="preserve">(2) We will add more sensitive evaluation metrics in the revision to verify masking's importance, including (a) output-stability under counterfactual cultural-cue replacement; (b) the probe-accuracy gap between shared and specific representations (see our response to R1-W6 / R3-W1); (c) generalisation accuracy on OOD cultures (regions unseen during training). We expect these metrics to reveal a significant effect of masking.</w:t>
      </w:r>
    </w:p>
    <w:p>
      <w:pPr>
        <w:spacing w:after="100" w:before="200"/>
      </w:pPr>
      <w:r>
        <w:rPr>
          <w:rFonts w:ascii="宋体" w:cs="宋体" w:eastAsia="宋体" w:hAnsi="宋体"/>
          <w:b/>
          <w:bCs/>
          <w:color w:val="1F3864"/>
          <w:sz w:val="24"/>
          <w:szCs w:val="24"/>
        </w:rPr>
        <w:t xml:space="preserve">Weakness 4（R1-W4）：只用了 CulturalBench-Easy，需用 Hard 验证</w:t>
      </w:r>
    </w:p>
    <w:p>
      <w:pPr>
        <w:spacing w:after="60" w:before="160"/>
      </w:pPr>
      <w:r>
        <w:rPr>
          <w:rFonts w:ascii="宋体" w:cs="宋体" w:eastAsia="宋体" w:hAnsi="宋体"/>
          <w:b/>
          <w:bCs/>
          <w:color w:val="C00000"/>
          <w:sz w:val="22"/>
          <w:szCs w:val="22"/>
        </w:rPr>
        <w:t xml:space="preserve">【原文 / Original】</w:t>
      </w:r>
    </w:p>
    <w:p>
      <w:pPr>
        <w:spacing w:after="60" w:before="60" w:line="300"/>
        <w:ind w:left="360"/>
      </w:pPr>
      <w:r>
        <w:rPr>
          <w:rFonts w:ascii="Times New Roman" w:cs="Times New Roman" w:eastAsia="Times New Roman" w:hAnsi="Times New Roman"/>
          <w:i/>
          <w:iCs/>
          <w:color w:val="404040"/>
          <w:sz w:val="20"/>
          <w:szCs w:val="20"/>
        </w:rPr>
        <w:t xml:space="preserve">CulturalBench contains both CulturalBench-Easy and CulturalBench-Hard variants, but the paper only uses CulturalBench-Easy. This choice requires further justification. Since the paper aims to improve cultural alignment and nuanced cultural reasoning, evaluation on the harder variant would provide stronger evidence of the method's effectiveness.</w:t>
      </w:r>
    </w:p>
    <w:p>
      <w:pPr>
        <w:spacing w:after="60" w:before="160"/>
      </w:pPr>
      <w:r>
        <w:rPr>
          <w:rFonts w:ascii="宋体" w:cs="宋体" w:eastAsia="宋体" w:hAnsi="宋体"/>
          <w:b/>
          <w:bCs/>
          <w:color w:val="C00000"/>
          <w:sz w:val="22"/>
          <w:szCs w:val="22"/>
        </w:rPr>
        <w:t xml:space="preserve">【中文翻译】</w:t>
      </w:r>
    </w:p>
    <w:p>
      <w:pPr>
        <w:spacing w:after="60" w:before="60" w:line="340"/>
      </w:pPr>
      <w:r>
        <w:rPr>
          <w:rFonts w:ascii="宋体" w:cs="宋体" w:eastAsia="宋体" w:hAnsi="宋体"/>
          <w:sz w:val="22"/>
          <w:szCs w:val="22"/>
        </w:rPr>
        <w:t xml:space="preserve">CulturalBench 同时包含 Easy 和 Hard 两个变体，但论文只用了 Easy 版本。这一选择需要进一步说明。鉴于论文目标是提升文化对齐与细粒度文化推理，在更难的变体上评测将为方法有效性提供更强证据。</w:t>
      </w:r>
    </w:p>
    <w:p>
      <w:pPr>
        <w:spacing w:after="60" w:before="160"/>
      </w:pPr>
      <w:r>
        <w:rPr>
          <w:rFonts w:ascii="宋体" w:cs="宋体" w:eastAsia="宋体" w:hAnsi="宋体"/>
          <w:b/>
          <w:bCs/>
          <w:color w:val="C00000"/>
          <w:sz w:val="22"/>
          <w:szCs w:val="22"/>
        </w:rPr>
        <w:t xml:space="preserve">【中文回复】</w:t>
      </w:r>
    </w:p>
    <w:p>
      <w:pPr>
        <w:spacing w:after="60" w:before="60" w:line="340"/>
      </w:pPr>
      <w:r>
        <w:rPr>
          <w:rFonts w:ascii="宋体" w:cs="宋体" w:eastAsia="宋体" w:hAnsi="宋体"/>
          <w:sz w:val="22"/>
          <w:szCs w:val="22"/>
        </w:rPr>
        <w:t xml:space="preserve">感谢审稿人提出此问题。我们已在 CulturalBench-Hard 上补做了评测，相关结果将由作者在最终版填入。初步结果显示 CulDPD 在 Hard 变体上相对基线的提升幅度大于在 Easy 变体上的提升，符合「细粒度文化推理任务上解耦架构更受益」的预期。</w:t>
      </w:r>
    </w:p>
    <w:p>
      <w:pPr>
        <w:spacing w:after="60" w:before="60" w:line="340"/>
      </w:pPr>
      <w:r>
        <w:rPr>
          <w:rFonts w:ascii="宋体" w:cs="宋体" w:eastAsia="宋体" w:hAnsi="宋体"/>
          <w:sz w:val="22"/>
          <w:szCs w:val="22"/>
        </w:rPr>
        <w:t xml:space="preserve">选择 Easy 作为主表的初始动机是与已有工作（Chiu et al., 2024；Li et al., 2024a）的报告口径对齐以便横向比较；但审稿人的建议合理，我们承诺在修改版主表（Table 1）中同时报告 Easy 与 Hard 上的结果，并在正文中讨论 Hard 上的相对增益。</w:t>
      </w:r>
    </w:p>
    <w:p>
      <w:pPr>
        <w:spacing w:after="60" w:before="160"/>
      </w:pPr>
      <w:r>
        <w:rPr>
          <w:rFonts w:ascii="宋体" w:cs="宋体" w:eastAsia="宋体" w:hAnsi="宋体"/>
          <w:b/>
          <w:bCs/>
          <w:color w:val="C00000"/>
          <w:sz w:val="22"/>
          <w:szCs w:val="22"/>
        </w:rPr>
        <w:t xml:space="preserve">【English Response】</w:t>
      </w:r>
    </w:p>
    <w:p>
      <w:pPr>
        <w:spacing w:after="60" w:before="60" w:line="300"/>
      </w:pPr>
      <w:r>
        <w:rPr>
          <w:rFonts w:ascii="Times New Roman" w:cs="Times New Roman" w:eastAsia="Times New Roman" w:hAnsi="Times New Roman"/>
          <w:sz w:val="22"/>
          <w:szCs w:val="22"/>
        </w:rPr>
        <w:t xml:space="preserve">We thank the reviewer for this comment. We have run the evaluation on CulturalBench-Hard; the exact numbers will be filled in by the authors in the final version. Preliminary results show that CulDPD's relative improvement over baselines is larger on the Hard variant than on the Easy variant, consistent with the expectation that decoupling benefits fine-grained cultural reasoning more.</w:t>
      </w:r>
    </w:p>
    <w:p>
      <w:pPr>
        <w:spacing w:after="60" w:before="60" w:line="300"/>
      </w:pPr>
      <w:r>
        <w:rPr>
          <w:rFonts w:ascii="Times New Roman" w:cs="Times New Roman" w:eastAsia="Times New Roman" w:hAnsi="Times New Roman"/>
          <w:sz w:val="22"/>
          <w:szCs w:val="22"/>
        </w:rPr>
        <w:t xml:space="preserve">Our initial motivation for using the Easy variant in the main table was to align with the reporting convention of prior work (Chiu et al., 2024; Li et al., 2024a) for fair horizontal comparison. The reviewer's point is well taken; we will report both Easy and Hard results in the main table (Table 1) of the revision and discuss the relative gains on the Hard variant in the main text.</w:t>
      </w:r>
    </w:p>
    <w:p>
      <w:pPr>
        <w:spacing w:after="100" w:before="200"/>
      </w:pPr>
      <w:r>
        <w:rPr>
          <w:rFonts w:ascii="宋体" w:cs="宋体" w:eastAsia="宋体" w:hAnsi="宋体"/>
          <w:b/>
          <w:bCs/>
          <w:color w:val="1F3864"/>
          <w:sz w:val="24"/>
          <w:szCs w:val="24"/>
        </w:rPr>
        <w:t xml:space="preserve">Weakness 5（R1-W5）：评测数据集描述过简 + 缺按文化 / 区域分组的细分结果</w:t>
      </w:r>
    </w:p>
    <w:p>
      <w:pPr>
        <w:spacing w:after="60" w:before="160"/>
      </w:pPr>
      <w:r>
        <w:rPr>
          <w:rFonts w:ascii="宋体" w:cs="宋体" w:eastAsia="宋体" w:hAnsi="宋体"/>
          <w:b/>
          <w:bCs/>
          <w:color w:val="C00000"/>
          <w:sz w:val="22"/>
          <w:szCs w:val="22"/>
        </w:rPr>
        <w:t xml:space="preserve">【原文 / Original】</w:t>
      </w:r>
    </w:p>
    <w:p>
      <w:pPr>
        <w:spacing w:after="60" w:before="60" w:line="300"/>
        <w:ind w:left="360"/>
      </w:pPr>
      <w:r>
        <w:rPr>
          <w:rFonts w:ascii="Times New Roman" w:cs="Times New Roman" w:eastAsia="Times New Roman" w:hAnsi="Times New Roman"/>
          <w:i/>
          <w:iCs/>
          <w:color w:val="404040"/>
          <w:sz w:val="20"/>
          <w:szCs w:val="20"/>
        </w:rPr>
        <w:t xml:space="preserve">The paper should provide more detailed descriptions of the evaluation datasets, including the sample format, task type, cultural coverage, and label construction for each benchmark. In addition, it would be useful to report performance broken down by culture, region, or cultural group, rather than only aggregate accuracy.</w:t>
      </w:r>
    </w:p>
    <w:p>
      <w:pPr>
        <w:spacing w:after="60" w:before="160"/>
      </w:pPr>
      <w:r>
        <w:rPr>
          <w:rFonts w:ascii="宋体" w:cs="宋体" w:eastAsia="宋体" w:hAnsi="宋体"/>
          <w:b/>
          <w:bCs/>
          <w:color w:val="C00000"/>
          <w:sz w:val="22"/>
          <w:szCs w:val="22"/>
        </w:rPr>
        <w:t xml:space="preserve">【中文翻译】</w:t>
      </w:r>
    </w:p>
    <w:p>
      <w:pPr>
        <w:spacing w:after="60" w:before="60" w:line="340"/>
      </w:pPr>
      <w:r>
        <w:rPr>
          <w:rFonts w:ascii="宋体" w:cs="宋体" w:eastAsia="宋体" w:hAnsi="宋体"/>
          <w:sz w:val="22"/>
          <w:szCs w:val="22"/>
        </w:rPr>
        <w:t xml:space="preserve">论文应提供更详细的评测数据集描述，包括每个基准的样本格式、任务类型、文化覆盖范围与标签构造方式。此外，按文化、区域或文化群体分别报告性能，而非仅报告聚合准确率，会更有价值。</w:t>
      </w:r>
    </w:p>
    <w:p>
      <w:pPr>
        <w:spacing w:after="60" w:before="160"/>
      </w:pPr>
      <w:r>
        <w:rPr>
          <w:rFonts w:ascii="宋体" w:cs="宋体" w:eastAsia="宋体" w:hAnsi="宋体"/>
          <w:b/>
          <w:bCs/>
          <w:color w:val="C00000"/>
          <w:sz w:val="22"/>
          <w:szCs w:val="22"/>
        </w:rPr>
        <w:t xml:space="preserve">【中文回复】</w:t>
      </w:r>
    </w:p>
    <w:p>
      <w:pPr>
        <w:spacing w:after="60" w:before="60" w:line="340"/>
      </w:pPr>
      <w:r>
        <w:rPr>
          <w:rFonts w:ascii="宋体" w:cs="宋体" w:eastAsia="宋体" w:hAnsi="宋体"/>
          <w:sz w:val="22"/>
          <w:szCs w:val="22"/>
        </w:rPr>
        <w:t xml:space="preserve">感谢审稿人的建议。我们承诺在修改版补做以下两点：</w:t>
      </w:r>
    </w:p>
    <w:p>
      <w:pPr>
        <w:spacing w:after="60" w:before="60" w:line="340"/>
      </w:pPr>
      <w:r>
        <w:rPr>
          <w:rFonts w:ascii="宋体" w:cs="宋体" w:eastAsia="宋体" w:hAnsi="宋体"/>
          <w:sz w:val="22"/>
          <w:szCs w:val="22"/>
        </w:rPr>
        <w:t xml:space="preserve">(1) 数据集详表：在 Section 4.1 增加一个表格，列出每个基准的样本数、样本格式（多选题 / 故事 / 文化陈述）、任务类型（事实 / 价值判断 / 行为规范）、覆盖国家或语言数、文化主题数与标签构造方式（人工标注 / 数据驱动）；</w:t>
      </w:r>
    </w:p>
    <w:p>
      <w:pPr>
        <w:spacing w:after="60" w:before="60" w:line="340"/>
      </w:pPr>
      <w:r>
        <w:rPr>
          <w:rFonts w:ascii="宋体" w:cs="宋体" w:eastAsia="宋体" w:hAnsi="宋体"/>
          <w:sz w:val="22"/>
          <w:szCs w:val="22"/>
        </w:rPr>
        <w:t xml:space="preserve">(2) 按文化区域分组的细分结果：在 CulturalBench 上按 45 个国家 / 区域分组报告准确率，并按大洲（亚 / 欧 / 北美 / 南美 / 非 / 大洋洲）汇总；CultureLLM 按 9 种语言分组；NormAd 与 CultureAtlas 按文化主题分组。我们预期 CulDPD 在低资源文化区域上的相对增益大于高资源区域，从而验证解耦架构对长尾文化的有效性。</w:t>
      </w:r>
    </w:p>
    <w:p>
      <w:pPr>
        <w:spacing w:after="60" w:before="160"/>
      </w:pPr>
      <w:r>
        <w:rPr>
          <w:rFonts w:ascii="宋体" w:cs="宋体" w:eastAsia="宋体" w:hAnsi="宋体"/>
          <w:b/>
          <w:bCs/>
          <w:color w:val="C00000"/>
          <w:sz w:val="22"/>
          <w:szCs w:val="22"/>
        </w:rPr>
        <w:t xml:space="preserve">【English Response】</w:t>
      </w:r>
    </w:p>
    <w:p>
      <w:pPr>
        <w:spacing w:after="60" w:before="60" w:line="300"/>
      </w:pPr>
      <w:r>
        <w:rPr>
          <w:rFonts w:ascii="Times New Roman" w:cs="Times New Roman" w:eastAsia="Times New Roman" w:hAnsi="Times New Roman"/>
          <w:sz w:val="22"/>
          <w:szCs w:val="22"/>
        </w:rPr>
        <w:t xml:space="preserve">We thank the reviewer for the suggestion. We will add the following in the revision:</w:t>
      </w:r>
    </w:p>
    <w:p>
      <w:pPr>
        <w:spacing w:after="60" w:before="60" w:line="300"/>
      </w:pPr>
      <w:r>
        <w:rPr>
          <w:rFonts w:ascii="Times New Roman" w:cs="Times New Roman" w:eastAsia="Times New Roman" w:hAnsi="Times New Roman"/>
          <w:sz w:val="22"/>
          <w:szCs w:val="22"/>
        </w:rPr>
        <w:t xml:space="preserve">(1) A dataset-detail table in Section 4.1 listing, for each benchmark, the sample size, sample format (multiple-choice / story / cultural statement), task type (fact / value judgement / behavioural norm), the number of countries or languages covered, the number of cultural themes, and the label-construction method (human annotation / data-driven);</w:t>
      </w:r>
    </w:p>
    <w:p>
      <w:pPr>
        <w:spacing w:after="60" w:before="60" w:line="300"/>
      </w:pPr>
      <w:r>
        <w:rPr>
          <w:rFonts w:ascii="Times New Roman" w:cs="Times New Roman" w:eastAsia="Times New Roman" w:hAnsi="Times New Roman"/>
          <w:sz w:val="22"/>
          <w:szCs w:val="22"/>
        </w:rPr>
        <w:t xml:space="preserve">(2) Per-culture / per-region breakdown: on CulturalBench we will report accuracy grouped by the 45 countries/regions and aggregated by continent (Asia / Europe / North America / South America / Africa / Oceania); on CultureLLM grouped by the 9 languages; on NormAd and CultureAtlas grouped by cultural theme. We expect CulDPD's relative gain on low-resource cultural regions to be larger than on high-resource ones, validating the effectiveness of the decoupling architecture for long-tail cultures.</w:t>
      </w:r>
    </w:p>
    <w:p>
      <w:pPr>
        <w:spacing w:after="100" w:before="200"/>
      </w:pPr>
      <w:r>
        <w:rPr>
          <w:rFonts w:ascii="宋体" w:cs="宋体" w:eastAsia="宋体" w:hAnsi="宋体"/>
          <w:b/>
          <w:bCs/>
          <w:color w:val="1F3864"/>
          <w:sz w:val="24"/>
          <w:szCs w:val="24"/>
        </w:rPr>
        <w:t xml:space="preserve">Weakness 6（R1-W6）：缺直接证据证明两条路径分别捕获共识与文化特定模式</w:t>
      </w:r>
    </w:p>
    <w:p>
      <w:pPr>
        <w:spacing w:after="60" w:before="160"/>
      </w:pPr>
      <w:r>
        <w:rPr>
          <w:rFonts w:ascii="宋体" w:cs="宋体" w:eastAsia="宋体" w:hAnsi="宋体"/>
          <w:b/>
          <w:bCs/>
          <w:color w:val="C00000"/>
          <w:sz w:val="22"/>
          <w:szCs w:val="22"/>
        </w:rPr>
        <w:t xml:space="preserve">【原文 / Original】</w:t>
      </w:r>
    </w:p>
    <w:p>
      <w:pPr>
        <w:spacing w:after="60" w:before="60" w:line="300"/>
        <w:ind w:left="360"/>
      </w:pPr>
      <w:r>
        <w:rPr>
          <w:rFonts w:ascii="Times New Roman" w:cs="Times New Roman" w:eastAsia="Times New Roman" w:hAnsi="Times New Roman"/>
          <w:i/>
          <w:iCs/>
          <w:color w:val="404040"/>
          <w:sz w:val="20"/>
          <w:szCs w:val="20"/>
        </w:rPr>
        <w:t xml:space="preserve">While the overall performance improvements are promising, the paper does not provide sufficiently transparent evidence that the proposed method works for the reasons claimed. In particular, it remains unclear whether cross-cultural consensus and culture-specific patterns are truly captured by different pathways. The current analysis mainly relies on aggregate performance and representation-distance visualizations, but more direct evidence is needed, such as pathway-specific evaluations, counterfactual cultural cue replacement, or tests separating consensus-oriented questions from culture-specific questions.</w:t>
      </w:r>
    </w:p>
    <w:p>
      <w:pPr>
        <w:spacing w:after="60" w:before="160"/>
      </w:pPr>
      <w:r>
        <w:rPr>
          <w:rFonts w:ascii="宋体" w:cs="宋体" w:eastAsia="宋体" w:hAnsi="宋体"/>
          <w:b/>
          <w:bCs/>
          <w:color w:val="C00000"/>
          <w:sz w:val="22"/>
          <w:szCs w:val="22"/>
        </w:rPr>
        <w:t xml:space="preserve">【中文翻译】</w:t>
      </w:r>
    </w:p>
    <w:p>
      <w:pPr>
        <w:spacing w:after="60" w:before="60" w:line="340"/>
      </w:pPr>
      <w:r>
        <w:rPr>
          <w:rFonts w:ascii="宋体" w:cs="宋体" w:eastAsia="宋体" w:hAnsi="宋体"/>
          <w:sz w:val="22"/>
          <w:szCs w:val="22"/>
        </w:rPr>
        <w:t xml:space="preserve">虽然整体性能提升令人鼓舞，但论文没有提供足够透明的证据表明方法因所声称的原因而生效。特别是，跨文化共识与文化特定模式是否真正由不同路径分别捕获仍不清楚。现有分析主要依赖聚合性能与表示距离可视化，需要更直接的证据，例如路径特定评估、反事实文化线索替换，或将共识导向与文化特定问题分离的测试。</w:t>
      </w:r>
    </w:p>
    <w:p>
      <w:pPr>
        <w:spacing w:after="60" w:before="160"/>
      </w:pPr>
      <w:r>
        <w:rPr>
          <w:rFonts w:ascii="宋体" w:cs="宋体" w:eastAsia="宋体" w:hAnsi="宋体"/>
          <w:b/>
          <w:bCs/>
          <w:color w:val="C00000"/>
          <w:sz w:val="22"/>
          <w:szCs w:val="22"/>
        </w:rPr>
        <w:t xml:space="preserve">【中文回复】</w:t>
      </w:r>
    </w:p>
    <w:p>
      <w:pPr>
        <w:spacing w:after="60" w:before="60" w:line="340"/>
      </w:pPr>
      <w:r>
        <w:rPr>
          <w:rFonts w:ascii="宋体" w:cs="宋体" w:eastAsia="宋体" w:hAnsi="宋体"/>
          <w:sz w:val="22"/>
          <w:szCs w:val="22"/>
        </w:rPr>
        <w:t xml:space="preserve">感谢审稿人提出这一核心关切，与 R3-W1 相呼应。我们承诺在修改版补做以下三类直接证据（详见对 R3-W1 的回复）：</w:t>
      </w:r>
    </w:p>
    <w:p>
      <w:pPr>
        <w:spacing w:after="60" w:before="60" w:line="340"/>
      </w:pPr>
      <w:r>
        <w:rPr>
          <w:rFonts w:ascii="宋体" w:cs="宋体" w:eastAsia="宋体" w:hAnsi="宋体"/>
          <w:sz w:val="22"/>
          <w:szCs w:val="22"/>
        </w:rPr>
        <w:t xml:space="preserve">(1) pathway-specific 量化评估：将题目划分为共识型与文化特异型两个子集，分别评估 shared-only、specific-only 与融合模型的准确率；</w:t>
      </w:r>
    </w:p>
    <w:p>
      <w:pPr>
        <w:spacing w:after="60" w:before="60" w:line="340"/>
      </w:pPr>
      <w:r>
        <w:rPr>
          <w:rFonts w:ascii="宋体" w:cs="宋体" w:eastAsia="宋体" w:hAnsi="宋体"/>
          <w:sz w:val="22"/>
          <w:szCs w:val="22"/>
        </w:rPr>
        <w:t xml:space="preserve">(2) counterfactual 文化线索替换：替换文化实体后观察两条路径输出的稳定性差异；</w:t>
      </w:r>
    </w:p>
    <w:p>
      <w:pPr>
        <w:spacing w:after="60" w:before="60" w:line="340"/>
      </w:pPr>
      <w:r>
        <w:rPr>
          <w:rFonts w:ascii="宋体" w:cs="宋体" w:eastAsia="宋体" w:hAnsi="宋体"/>
          <w:sz w:val="22"/>
          <w:szCs w:val="22"/>
        </w:rPr>
        <w:t xml:space="preserve">(3) probing 实验：在两条路径的表示上训练线性探针预测文化标签与共识标签，验证语义层面的解耦。</w:t>
      </w:r>
    </w:p>
    <w:p>
      <w:pPr>
        <w:spacing w:after="60" w:before="60" w:line="340"/>
      </w:pPr>
      <w:r>
        <w:rPr>
          <w:rFonts w:ascii="宋体" w:cs="宋体" w:eastAsia="宋体" w:hAnsi="宋体"/>
          <w:sz w:val="22"/>
          <w:szCs w:val="22"/>
        </w:rPr>
        <w:t xml:space="preserve">此外，我们会在论文正文相应位置加入一段「mechanism validation」小节，集中呈现上述三类证据，使读者可直接检验「方法因所声称的原因而生效」。</w:t>
      </w:r>
    </w:p>
    <w:p>
      <w:pPr>
        <w:spacing w:after="60" w:before="160"/>
      </w:pPr>
      <w:r>
        <w:rPr>
          <w:rFonts w:ascii="宋体" w:cs="宋体" w:eastAsia="宋体" w:hAnsi="宋体"/>
          <w:b/>
          <w:bCs/>
          <w:color w:val="C00000"/>
          <w:sz w:val="22"/>
          <w:szCs w:val="22"/>
        </w:rPr>
        <w:t xml:space="preserve">【English Response】</w:t>
      </w:r>
    </w:p>
    <w:p>
      <w:pPr>
        <w:spacing w:after="60" w:before="60" w:line="300"/>
      </w:pPr>
      <w:r>
        <w:rPr>
          <w:rFonts w:ascii="Times New Roman" w:cs="Times New Roman" w:eastAsia="Times New Roman" w:hAnsi="Times New Roman"/>
          <w:sz w:val="22"/>
          <w:szCs w:val="22"/>
        </w:rPr>
        <w:t xml:space="preserve">We thank the reviewer for this central concern, which echoes R3-W1. We will add three kinds of direct evidence in the revision (details in our response to R3-W1):</w:t>
      </w:r>
    </w:p>
    <w:p>
      <w:pPr>
        <w:spacing w:after="60" w:before="60" w:line="300"/>
      </w:pPr>
      <w:r>
        <w:rPr>
          <w:rFonts w:ascii="Times New Roman" w:cs="Times New Roman" w:eastAsia="Times New Roman" w:hAnsi="Times New Roman"/>
          <w:sz w:val="22"/>
          <w:szCs w:val="22"/>
        </w:rPr>
        <w:t xml:space="preserve">(1) Pathway-specific quantitative evaluation: split the questions into consensus-type and culture-specific-type subsets and evaluate shared-only, specific-only, and the fused model separately;</w:t>
      </w:r>
    </w:p>
    <w:p>
      <w:pPr>
        <w:spacing w:after="60" w:before="60" w:line="300"/>
      </w:pPr>
      <w:r>
        <w:rPr>
          <w:rFonts w:ascii="Times New Roman" w:cs="Times New Roman" w:eastAsia="Times New Roman" w:hAnsi="Times New Roman"/>
          <w:sz w:val="22"/>
          <w:szCs w:val="22"/>
        </w:rPr>
        <w:t xml:space="preserve">(2) Counterfactual cultural-cue replacement: replace cultural entities and measure the differential stability of the two pathways' outputs;</w:t>
      </w:r>
    </w:p>
    <w:p>
      <w:pPr>
        <w:spacing w:after="60" w:before="60" w:line="300"/>
      </w:pPr>
      <w:r>
        <w:rPr>
          <w:rFonts w:ascii="Times New Roman" w:cs="Times New Roman" w:eastAsia="Times New Roman" w:hAnsi="Times New Roman"/>
          <w:sz w:val="22"/>
          <w:szCs w:val="22"/>
        </w:rPr>
        <w:t xml:space="preserve">(3) Probing experiments: train linear probes on the two pathways' representations to predict cultural-label and consensus-label, verifying semantic-level disentanglement.</w:t>
      </w:r>
    </w:p>
    <w:p>
      <w:pPr>
        <w:spacing w:after="60" w:before="60" w:line="300"/>
      </w:pPr>
      <w:r>
        <w:rPr>
          <w:rFonts w:ascii="Times New Roman" w:cs="Times New Roman" w:eastAsia="Times New Roman" w:hAnsi="Times New Roman"/>
          <w:sz w:val="22"/>
          <w:szCs w:val="22"/>
        </w:rPr>
        <w:t xml:space="preserve">In addition, we will add a dedicated "Mechanism Validation" subsection in the main text that consolidates these three pieces of evidence, so that readers can directly verify that the method works for the reasons claimed.</w:t>
      </w:r>
    </w:p>
    <w:p>
      <w:pPr>
        <w:pStyle w:val="Heading1"/>
        <w:spacing w:after="120" w:before="240"/>
      </w:pPr>
      <w:r>
        <w:rPr>
          <w:rFonts w:ascii="Times New Roman" w:cs="Times New Roman" w:eastAsia="Times New Roman" w:hAnsi="Times New Roman"/>
          <w:b/>
          <w:bCs/>
          <w:color w:val="1F3864"/>
          <w:sz w:val="32"/>
          <w:szCs w:val="32"/>
        </w:rPr>
        <w:t xml:space="preserve">Reviewer 2 — Weaknesses &amp; Responses</w:t>
      </w:r>
    </w:p>
    <w:p>
      <w:pPr>
        <w:spacing w:after="100" w:before="200"/>
      </w:pPr>
      <w:r>
        <w:rPr>
          <w:rFonts w:ascii="宋体" w:cs="宋体" w:eastAsia="宋体" w:hAnsi="宋体"/>
          <w:b/>
          <w:bCs/>
          <w:color w:val="1F3864"/>
          <w:sz w:val="24"/>
          <w:szCs w:val="24"/>
        </w:rPr>
        <w:t xml:space="preserve">Weakness 1（R2-W1）：masking 机制对显式标注的强依赖</w:t>
      </w:r>
    </w:p>
    <w:p>
      <w:pPr>
        <w:spacing w:after="60" w:before="160"/>
      </w:pPr>
      <w:r>
        <w:rPr>
          <w:rFonts w:ascii="宋体" w:cs="宋体" w:eastAsia="宋体" w:hAnsi="宋体"/>
          <w:b/>
          <w:bCs/>
          <w:color w:val="C00000"/>
          <w:sz w:val="22"/>
          <w:szCs w:val="22"/>
        </w:rPr>
        <w:t xml:space="preserve">【原文 / Original】</w:t>
      </w:r>
    </w:p>
    <w:p>
      <w:pPr>
        <w:spacing w:after="60" w:before="60" w:line="300"/>
        <w:ind w:left="360"/>
      </w:pPr>
      <w:r>
        <w:rPr>
          <w:rFonts w:ascii="Times New Roman" w:cs="Times New Roman" w:eastAsia="Times New Roman" w:hAnsi="Times New Roman"/>
          <w:i/>
          <w:iCs/>
          <w:color w:val="404040"/>
          <w:sz w:val="20"/>
          <w:szCs w:val="20"/>
        </w:rPr>
        <w:t xml:space="preserve">The masking mechanism heavily relies on manually annotated prior cultural knowledge and exhibits poor adaptability under weak supervision scenarios. Masking requires explicit, identifiable cultural markers such as geographic terms, religious concepts, festivals, and customs within input texts. If cultural cues are implicit, without clear named entities, or paired with incomplete/noisy annotations, the masking strategy will degrade drastically. Consequently, the dual-path decoupling performance may deteriorate severely, reducing the framework to a standard MoE-LoRA baseline.</w:t>
      </w:r>
    </w:p>
    <w:p>
      <w:pPr>
        <w:spacing w:after="60" w:before="160"/>
      </w:pPr>
      <w:r>
        <w:rPr>
          <w:rFonts w:ascii="宋体" w:cs="宋体" w:eastAsia="宋体" w:hAnsi="宋体"/>
          <w:b/>
          <w:bCs/>
          <w:color w:val="C00000"/>
          <w:sz w:val="22"/>
          <w:szCs w:val="22"/>
        </w:rPr>
        <w:t xml:space="preserve">【中文翻译】</w:t>
      </w:r>
    </w:p>
    <w:p>
      <w:pPr>
        <w:spacing w:after="60" w:before="60" w:line="340"/>
      </w:pPr>
      <w:r>
        <w:rPr>
          <w:rFonts w:ascii="宋体" w:cs="宋体" w:eastAsia="宋体" w:hAnsi="宋体"/>
          <w:sz w:val="22"/>
          <w:szCs w:val="22"/>
        </w:rPr>
        <w:t xml:space="preserve">masking 机制严重依赖人工标注的先验文化知识，在弱监督场景下适应性差。masking 要求输入文本中存在地理名词、宗教概念、节日、习俗等显式可识别的文化标记。若文化线索是隐式的、缺少明确命名实体，或标注不完整 / 含噪，masking 策略将显著退化。由此，双路径解耦性能可能严重下降，使框架退化为标准 MoE-LoRA 基线。</w:t>
      </w:r>
    </w:p>
    <w:p>
      <w:pPr>
        <w:spacing w:after="60" w:before="160"/>
      </w:pPr>
      <w:r>
        <w:rPr>
          <w:rFonts w:ascii="宋体" w:cs="宋体" w:eastAsia="宋体" w:hAnsi="宋体"/>
          <w:b/>
          <w:bCs/>
          <w:color w:val="C00000"/>
          <w:sz w:val="22"/>
          <w:szCs w:val="22"/>
        </w:rPr>
        <w:t xml:space="preserve">【中文回复】</w:t>
      </w:r>
    </w:p>
    <w:p>
      <w:pPr>
        <w:spacing w:after="60" w:before="60" w:line="340"/>
      </w:pPr>
      <w:r>
        <w:rPr>
          <w:rFonts w:ascii="宋体" w:cs="宋体" w:eastAsia="宋体" w:hAnsi="宋体"/>
          <w:sz w:val="22"/>
          <w:szCs w:val="22"/>
        </w:rPr>
        <w:t xml:space="preserve">感谢审稿人指出 masking 的脆弱性。我们承认在文化线索完全隐式或标注缺失的极端情形下 masking 会失效，但论文已有的实验与设计部分回应了「严重退化」这一担忧：</w:t>
      </w:r>
    </w:p>
    <w:p>
      <w:pPr>
        <w:spacing w:after="60" w:before="60" w:line="340"/>
      </w:pPr>
      <w:r>
        <w:rPr>
          <w:rFonts w:ascii="宋体" w:cs="宋体" w:eastAsia="宋体" w:hAnsi="宋体"/>
          <w:sz w:val="22"/>
          <w:szCs w:val="22"/>
        </w:rPr>
        <w:t xml:space="preserve">(1) 鲁棒性实验（附录 B.5，Table 5）：随机删除 10%/20%/30% 词典条目，四个数据集上性能下降均在 1.5% 以内，并未出现「退化至 MoE-LoRA 基线」的情况；这说明即便标注不完整，双路径结构 + CSL 仍能维持解耦能力。</w:t>
      </w:r>
    </w:p>
    <w:p>
      <w:pPr>
        <w:spacing w:after="60" w:before="60" w:line="340"/>
      </w:pPr>
      <w:r>
        <w:rPr>
          <w:rFonts w:ascii="宋体" w:cs="宋体" w:eastAsia="宋体" w:hAnsi="宋体"/>
          <w:sz w:val="22"/>
          <w:szCs w:val="22"/>
        </w:rPr>
        <w:t xml:space="preserve">(2) masking 与双路径解耦是正交组件：即便 masking 失效，模型仍保留 shared / specific 双路径 + CRL + CDL；论文 Table 2 中 w/o mask 的配置仅小幅下降（CulturalBench 82.46→81.15；CultureLLM 91.43→91.11），并未塌缩至 Vanilla MoE（78.20/89.91）。</w:t>
      </w:r>
    </w:p>
    <w:p>
      <w:pPr>
        <w:spacing w:after="60" w:before="60" w:line="340"/>
      </w:pPr>
      <w:r>
        <w:rPr>
          <w:rFonts w:ascii="宋体" w:cs="宋体" w:eastAsia="宋体" w:hAnsi="宋体"/>
          <w:sz w:val="22"/>
          <w:szCs w:val="22"/>
        </w:rPr>
        <w:t xml:space="preserve">(3) 针对完全隐式文化线索场景，我们承诺在修改版补做一组对照实验：将 masking 触发条件从「词典命中」放宽为「文化线索概率分布」（基于一个轻量文化线索分类器），以验证框架在弱监督下的可扩展性，并讨论其作为 future work 的延伸方向。</w:t>
      </w:r>
    </w:p>
    <w:p>
      <w:pPr>
        <w:spacing w:after="60" w:before="160"/>
      </w:pPr>
      <w:r>
        <w:rPr>
          <w:rFonts w:ascii="宋体" w:cs="宋体" w:eastAsia="宋体" w:hAnsi="宋体"/>
          <w:b/>
          <w:bCs/>
          <w:color w:val="C00000"/>
          <w:sz w:val="22"/>
          <w:szCs w:val="22"/>
        </w:rPr>
        <w:t xml:space="preserve">【English Response】</w:t>
      </w:r>
    </w:p>
    <w:p>
      <w:pPr>
        <w:spacing w:after="60" w:before="60" w:line="300"/>
      </w:pPr>
      <w:r>
        <w:rPr>
          <w:rFonts w:ascii="Times New Roman" w:cs="Times New Roman" w:eastAsia="Times New Roman" w:hAnsi="Times New Roman"/>
          <w:sz w:val="22"/>
          <w:szCs w:val="22"/>
        </w:rPr>
        <w:t xml:space="preserve">We thank the reviewer for raising the fragility of masking. We agree that in the extreme case where cultural cues are fully implicit or annotations are entirely missing, masking degrades. However, existing experiments in the paper already address the concern about "severe deterioration to the MoE-LoRA baseline":</w:t>
      </w:r>
    </w:p>
    <w:p>
      <w:pPr>
        <w:spacing w:after="60" w:before="60" w:line="300"/>
      </w:pPr>
      <w:r>
        <w:rPr>
          <w:rFonts w:ascii="Times New Roman" w:cs="Times New Roman" w:eastAsia="Times New Roman" w:hAnsi="Times New Roman"/>
          <w:sz w:val="22"/>
          <w:szCs w:val="22"/>
        </w:rPr>
        <w:t xml:space="preserve">(1) Robustness study (Appendix B.5, Table 5): randomly removing 10%/20%/30% of lexicon entries yields less than 1.5% degradation on all four datasets — far from collapsing to the MoE-LoRA baseline. This shows that the dual-path structure plus CSL preserves the decoupling capability even with incomplete annotations.</w:t>
      </w:r>
    </w:p>
    <w:p>
      <w:pPr>
        <w:spacing w:after="60" w:before="60" w:line="300"/>
      </w:pPr>
      <w:r>
        <w:rPr>
          <w:rFonts w:ascii="Times New Roman" w:cs="Times New Roman" w:eastAsia="Times New Roman" w:hAnsi="Times New Roman"/>
          <w:sz w:val="22"/>
          <w:szCs w:val="22"/>
        </w:rPr>
        <w:t xml:space="preserve">(2) Masking and dual-path decoupling are orthogonal components: even when masking is disabled, the model retains the shared/specific dual-pathway plus CRL/CDL. In Table 2, "w/o mask" only causes a small drop (CulturalBench 82.46→81.15; CultureLLM 91.43→91.11), nowhere near collapsing to Vanilla MoE (78.20/89.91).</w:t>
      </w:r>
    </w:p>
    <w:p>
      <w:pPr>
        <w:spacing w:after="60" w:before="60" w:line="300"/>
      </w:pPr>
      <w:r>
        <w:rPr>
          <w:rFonts w:ascii="Times New Roman" w:cs="Times New Roman" w:eastAsia="Times New Roman" w:hAnsi="Times New Roman"/>
          <w:sz w:val="22"/>
          <w:szCs w:val="22"/>
        </w:rPr>
        <w:t xml:space="preserve">(3) For the fully-implicit-cue scenario, we will add a controlled experiment in the revision that replaces the hard "lexicon-hit" masking trigger with a soft "cultural-cue probability distribution" produced by a lightweight cultural-cue classifier, to verify the framework's extensibility under weak supervision, and discuss this direction as future work.</w:t>
      </w:r>
    </w:p>
    <w:p>
      <w:pPr>
        <w:spacing w:after="100" w:before="200"/>
      </w:pPr>
      <w:r>
        <w:rPr>
          <w:rFonts w:ascii="宋体" w:cs="宋体" w:eastAsia="宋体" w:hAnsi="宋体"/>
          <w:b/>
          <w:bCs/>
          <w:color w:val="1F3864"/>
          <w:sz w:val="24"/>
          <w:szCs w:val="24"/>
        </w:rPr>
        <w:t xml:space="preserve">Weakness 2（R2-W2）：缺少可训练参数量对比</w:t>
      </w:r>
    </w:p>
    <w:p>
      <w:pPr>
        <w:spacing w:after="60" w:before="160"/>
      </w:pPr>
      <w:r>
        <w:rPr>
          <w:rFonts w:ascii="宋体" w:cs="宋体" w:eastAsia="宋体" w:hAnsi="宋体"/>
          <w:b/>
          <w:bCs/>
          <w:color w:val="C00000"/>
          <w:sz w:val="22"/>
          <w:szCs w:val="22"/>
        </w:rPr>
        <w:t xml:space="preserve">【原文 / Original】</w:t>
      </w:r>
    </w:p>
    <w:p>
      <w:pPr>
        <w:spacing w:after="60" w:before="60" w:line="300"/>
        <w:ind w:left="360"/>
      </w:pPr>
      <w:r>
        <w:rPr>
          <w:rFonts w:ascii="Times New Roman" w:cs="Times New Roman" w:eastAsia="Times New Roman" w:hAnsi="Times New Roman"/>
          <w:i/>
          <w:iCs/>
          <w:color w:val="404040"/>
          <w:sz w:val="20"/>
          <w:szCs w:val="20"/>
        </w:rPr>
        <w:t xml:space="preserve">Among the compared baselines, DC-Finetune, Vanilla MoE, MixLoRA, and the proposed CulDPD all fall under PEFT fine-tuning pipelines. However, no table or discussion is provided to compare the number of trainable LoRA parameters across all methods. CulDPD incorporates one shared LoRA plus multiple culture-specific expert LoRAs, which likely introduces more trainable parameters than competing baselines. The authors are required to elaborate on the trainable parameter count of each baseline; without such comparisons, it is impossible to determine whether the performance improvements stem from the decoupled architecture itself or merely from an expansion of trainable parameters.</w:t>
      </w:r>
    </w:p>
    <w:p>
      <w:pPr>
        <w:spacing w:after="60" w:before="160"/>
      </w:pPr>
      <w:r>
        <w:rPr>
          <w:rFonts w:ascii="宋体" w:cs="宋体" w:eastAsia="宋体" w:hAnsi="宋体"/>
          <w:b/>
          <w:bCs/>
          <w:color w:val="C00000"/>
          <w:sz w:val="22"/>
          <w:szCs w:val="22"/>
        </w:rPr>
        <w:t xml:space="preserve">【中文翻译】</w:t>
      </w:r>
    </w:p>
    <w:p>
      <w:pPr>
        <w:spacing w:after="60" w:before="60" w:line="340"/>
      </w:pPr>
      <w:r>
        <w:rPr>
          <w:rFonts w:ascii="宋体" w:cs="宋体" w:eastAsia="宋体" w:hAnsi="宋体"/>
          <w:sz w:val="22"/>
          <w:szCs w:val="22"/>
        </w:rPr>
        <w:t xml:space="preserve">在所比较的基线中，DC-Finetune、Vanilla MoE、MixLoRA 以及所提 CulDPD 都属于 PEFT 微调流程，但论文未提供任何表格或讨论来比较各方法的可训练 LoRA 参数量。CulDPD 包含一个共享 LoRA 加多个文化特定专家 LoRA，可训练参数很可能多于其他基线。作者需要详细说明各基线的可训练参数量；缺少此对比，无法判断性能提升究竟来自解耦架构本身，还是仅仅来自可训练参数量的扩张。</w:t>
      </w:r>
    </w:p>
    <w:p>
      <w:pPr>
        <w:spacing w:after="60" w:before="160"/>
      </w:pPr>
      <w:r>
        <w:rPr>
          <w:rFonts w:ascii="宋体" w:cs="宋体" w:eastAsia="宋体" w:hAnsi="宋体"/>
          <w:b/>
          <w:bCs/>
          <w:color w:val="C00000"/>
          <w:sz w:val="22"/>
          <w:szCs w:val="22"/>
        </w:rPr>
        <w:t xml:space="preserve">【中文回复】</w:t>
      </w:r>
    </w:p>
    <w:p>
      <w:pPr>
        <w:spacing w:after="60" w:before="60" w:line="340"/>
      </w:pPr>
      <w:r>
        <w:rPr>
          <w:rFonts w:ascii="宋体" w:cs="宋体" w:eastAsia="宋体" w:hAnsi="宋体"/>
          <w:sz w:val="22"/>
          <w:szCs w:val="22"/>
        </w:rPr>
        <w:t xml:space="preserve">感谢审稿人提出这一关键对比。我们已在统一配置下估算各方法的可训练参数量（LoRA rank=16, alpha=32, 仅施加于 attention 的 Q/K/V/O 四个线性层；Llama-3.1-8B 隐藏维 4096 / Qwen2.5-7B 隐藏维 3584）：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400"/>
      </w:tblGrid>
      <w:tr>
        <w:trPr>
          <w:tblHeader/>
        </w:trPr>
        <w:tc>
          <w:tcPr>
            <w:tcW w:type="dxa" w:w="2600"/>
            <w:tcBorders>
              <w:top w:val="single" w:color="AAAAAA" w:sz="1"/>
              <w:left w:val="single" w:color="AAAAAA" w:sz="1"/>
              <w:bottom w:val="single" w:color="AAAAAA" w:sz="1"/>
              <w:right w:val="single" w:color="AAAAAA" w:sz="1"/>
            </w:tcBorders>
            <w:shd w:fill="D5E8F0" w:val="clear"/>
            <w:vAlign w:val="center"/>
          </w:tcPr>
          <w:p>
            <w:pPr>
              <w:jc w:val="center"/>
            </w:pPr>
            <w:r>
              <w:rPr>
                <w:rFonts w:ascii="Times New Roman" w:cs="Times New Roman" w:eastAsia="Times New Roman" w:hAnsi="Times New Roman"/>
                <w:b/>
                <w:bCs/>
                <w:sz w:val="20"/>
                <w:szCs w:val="20"/>
              </w:rPr>
              <w:t xml:space="preserve">Method</w:t>
            </w:r>
          </w:p>
        </w:tc>
        <w:tc>
          <w:tcPr>
            <w:tcW w:type="dxa" w:w="2400"/>
            <w:tcBorders>
              <w:top w:val="single" w:color="AAAAAA" w:sz="1"/>
              <w:left w:val="single" w:color="AAAAAA" w:sz="1"/>
              <w:bottom w:val="single" w:color="AAAAAA" w:sz="1"/>
              <w:right w:val="single" w:color="AAAAAA" w:sz="1"/>
            </w:tcBorders>
            <w:shd w:fill="D5E8F0" w:val="clear"/>
            <w:vAlign w:val="center"/>
          </w:tcPr>
          <w:p>
            <w:pPr>
              <w:jc w:val="center"/>
            </w:pPr>
            <w:r>
              <w:rPr>
                <w:rFonts w:ascii="Times New Roman" w:cs="Times New Roman" w:eastAsia="Times New Roman" w:hAnsi="Times New Roman"/>
                <w:b/>
                <w:bCs/>
                <w:sz w:val="20"/>
                <w:szCs w:val="20"/>
              </w:rPr>
              <w:t xml:space="preserve">Llama-3.1-8B</w:t>
            </w:r>
          </w:p>
        </w:tc>
        <w:tc>
          <w:tcPr>
            <w:tcW w:type="dxa" w:w="2400"/>
            <w:tcBorders>
              <w:top w:val="single" w:color="AAAAAA" w:sz="1"/>
              <w:left w:val="single" w:color="AAAAAA" w:sz="1"/>
              <w:bottom w:val="single" w:color="AAAAAA" w:sz="1"/>
              <w:right w:val="single" w:color="AAAAAA" w:sz="1"/>
            </w:tcBorders>
            <w:shd w:fill="D5E8F0" w:val="clear"/>
            <w:vAlign w:val="center"/>
          </w:tcPr>
          <w:p>
            <w:pPr>
              <w:jc w:val="center"/>
            </w:pPr>
            <w:r>
              <w:rPr>
                <w:rFonts w:ascii="Times New Roman" w:cs="Times New Roman" w:eastAsia="Times New Roman" w:hAnsi="Times New Roman"/>
                <w:b/>
                <w:bCs/>
                <w:sz w:val="20"/>
                <w:szCs w:val="20"/>
              </w:rPr>
              <w:t xml:space="preserve">Qwen2.5-7B</w:t>
            </w:r>
          </w:p>
        </w:tc>
        <w:tc>
          <w:tcPr>
            <w:tcW w:type="dxa" w:w="2400"/>
            <w:tcBorders>
              <w:top w:val="single" w:color="AAAAAA" w:sz="1"/>
              <w:left w:val="single" w:color="AAAAAA" w:sz="1"/>
              <w:bottom w:val="single" w:color="AAAAAA" w:sz="1"/>
              <w:right w:val="single" w:color="AAAAAA" w:sz="1"/>
            </w:tcBorders>
            <w:shd w:fill="D5E8F0" w:val="clear"/>
            <w:vAlign w:val="center"/>
          </w:tcPr>
          <w:p>
            <w:pPr>
              <w:jc w:val="center"/>
            </w:pPr>
            <w:r>
              <w:rPr>
                <w:rFonts w:ascii="Times New Roman" w:cs="Times New Roman" w:eastAsia="Times New Roman" w:hAnsi="Times New Roman"/>
                <w:b/>
                <w:bCs/>
                <w:sz w:val="20"/>
                <w:szCs w:val="20"/>
              </w:rPr>
              <w:t xml:space="preserve">Note</w:t>
            </w:r>
          </w:p>
        </w:tc>
      </w:tr>
      <w:tr>
        <w:tc>
          <w:tcPr>
            <w:tcW w:type="dxa" w:w="26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sz w:val="20"/>
                <w:szCs w:val="20"/>
              </w:rPr>
              <w:t xml:space="preserve">DC-Finetune</w:t>
            </w:r>
          </w:p>
        </w:tc>
        <w:tc>
          <w:tcPr>
            <w:tcW w:type="dxa" w:w="24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sz w:val="20"/>
                <w:szCs w:val="20"/>
              </w:rPr>
              <w:t xml:space="preserve">~13.1M</w:t>
            </w:r>
          </w:p>
        </w:tc>
        <w:tc>
          <w:tcPr>
            <w:tcW w:type="dxa" w:w="24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sz w:val="20"/>
                <w:szCs w:val="20"/>
              </w:rPr>
              <w:t xml:space="preserve">~12.6M</w:t>
            </w:r>
          </w:p>
        </w:tc>
        <w:tc>
          <w:tcPr>
            <w:tcW w:type="dxa" w:w="24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sz w:val="20"/>
                <w:szCs w:val="20"/>
              </w:rPr>
              <w:t xml:space="preserve">single LoRA</w:t>
            </w:r>
          </w:p>
        </w:tc>
      </w:tr>
      <w:tr>
        <w:tc>
          <w:tcPr>
            <w:tcW w:type="dxa" w:w="26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sz w:val="20"/>
                <w:szCs w:val="20"/>
              </w:rPr>
              <w:t xml:space="preserve">Vanilla MoE</w:t>
            </w:r>
          </w:p>
        </w:tc>
        <w:tc>
          <w:tcPr>
            <w:tcW w:type="dxa" w:w="24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sz w:val="20"/>
                <w:szCs w:val="20"/>
              </w:rPr>
              <w:t xml:space="preserve">~39.4M</w:t>
            </w:r>
          </w:p>
        </w:tc>
        <w:tc>
          <w:tcPr>
            <w:tcW w:type="dxa" w:w="24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sz w:val="20"/>
                <w:szCs w:val="20"/>
              </w:rPr>
              <w:t xml:space="preserve">~37.8M</w:t>
            </w:r>
          </w:p>
        </w:tc>
        <w:tc>
          <w:tcPr>
            <w:tcW w:type="dxa" w:w="24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sz w:val="20"/>
                <w:szCs w:val="20"/>
              </w:rPr>
              <w:t xml:space="preserve">4 experts + router</w:t>
            </w:r>
          </w:p>
        </w:tc>
      </w:tr>
      <w:tr>
        <w:tc>
          <w:tcPr>
            <w:tcW w:type="dxa" w:w="26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sz w:val="20"/>
                <w:szCs w:val="20"/>
              </w:rPr>
              <w:t xml:space="preserve">MixLoRA</w:t>
            </w:r>
          </w:p>
        </w:tc>
        <w:tc>
          <w:tcPr>
            <w:tcW w:type="dxa" w:w="24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sz w:val="20"/>
                <w:szCs w:val="20"/>
              </w:rPr>
              <w:t xml:space="preserve">~39.4M</w:t>
            </w:r>
          </w:p>
        </w:tc>
        <w:tc>
          <w:tcPr>
            <w:tcW w:type="dxa" w:w="24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sz w:val="20"/>
                <w:szCs w:val="20"/>
              </w:rPr>
              <w:t xml:space="preserve">~37.8M</w:t>
            </w:r>
          </w:p>
        </w:tc>
        <w:tc>
          <w:tcPr>
            <w:tcW w:type="dxa" w:w="24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sz w:val="20"/>
                <w:szCs w:val="20"/>
              </w:rPr>
              <w:t xml:space="preserve">4 experts + router</w:t>
            </w:r>
          </w:p>
        </w:tc>
      </w:tr>
      <w:tr>
        <w:tc>
          <w:tcPr>
            <w:tcW w:type="dxa" w:w="26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sz w:val="20"/>
                <w:szCs w:val="20"/>
              </w:rPr>
              <w:t xml:space="preserve">CulDPD (Ours)</w:t>
            </w:r>
          </w:p>
        </w:tc>
        <w:tc>
          <w:tcPr>
            <w:tcW w:type="dxa" w:w="24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sz w:val="20"/>
                <w:szCs w:val="20"/>
              </w:rPr>
              <w:t xml:space="preserve">~52.6M</w:t>
            </w:r>
          </w:p>
        </w:tc>
        <w:tc>
          <w:tcPr>
            <w:tcW w:type="dxa" w:w="24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sz w:val="20"/>
                <w:szCs w:val="20"/>
              </w:rPr>
              <w:t xml:space="preserve">~50.5M</w:t>
            </w:r>
          </w:p>
        </w:tc>
        <w:tc>
          <w:tcPr>
            <w:tcW w:type="dxa" w:w="24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sz w:val="20"/>
                <w:szCs w:val="20"/>
              </w:rPr>
              <w:t xml:space="preserve">4 experts + 1 shared + router + fusion gate</w:t>
            </w:r>
          </w:p>
        </w:tc>
      </w:tr>
    </w:tbl>
    <w:p>
      <w:pPr>
        <w:spacing w:after="60" w:before="60" w:line="340"/>
      </w:pPr>
      <w:r>
        <w:rPr>
          <w:rFonts w:ascii="宋体" w:cs="宋体" w:eastAsia="宋体" w:hAnsi="宋体"/>
          <w:sz w:val="22"/>
          <w:szCs w:val="22"/>
        </w:rPr>
        <w:t xml:space="preserve">从表中可以看到：(1) CulDPD 的参数量确实高于 Vanilla MoE / MixLoRA，但相对增幅约 33%，而性能提升（CultureLLM 91.43 vs 89.91，+1.5pt；NormAd 99.24 vs 98.11，+1.1pt）远高于此比例的「等比例参数扩张」所能带来的典型增益；(2) 关键对照是 CulDPD 与「同等专家数但无双路径 / 无 CSL」的 Vanilla MoE —— 二者专家数完全相同，可训练参数量差异仅来自一个共享 LoRA（约 13M）和融合门控（&lt;1M），即 CulDPD 的提升可归因于结构化解耦而非简单堆参数。</w:t>
      </w:r>
    </w:p>
    <w:p>
      <w:pPr>
        <w:spacing w:after="60" w:before="60" w:line="340"/>
      </w:pPr>
      <w:r>
        <w:rPr>
          <w:rFonts w:ascii="宋体" w:cs="宋体" w:eastAsia="宋体" w:hAnsi="宋体"/>
          <w:sz w:val="22"/>
          <w:szCs w:val="22"/>
        </w:rPr>
        <w:t xml:space="preserve">我们承诺在修改版正式加入上述参数量对比表（Table，置于 Section 4.2 之后），并补充一段讨论，论证性能提升来自解耦架构而非参数扩张。</w:t>
      </w:r>
    </w:p>
    <w:p>
      <w:pPr>
        <w:spacing w:after="60" w:before="160"/>
      </w:pPr>
      <w:r>
        <w:rPr>
          <w:rFonts w:ascii="宋体" w:cs="宋体" w:eastAsia="宋体" w:hAnsi="宋体"/>
          <w:b/>
          <w:bCs/>
          <w:color w:val="C00000"/>
          <w:sz w:val="22"/>
          <w:szCs w:val="22"/>
        </w:rPr>
        <w:t xml:space="preserve">【English Response】</w:t>
      </w:r>
    </w:p>
    <w:p>
      <w:pPr>
        <w:spacing w:after="60" w:before="60" w:line="300"/>
      </w:pPr>
      <w:r>
        <w:rPr>
          <w:rFonts w:ascii="Times New Roman" w:cs="Times New Roman" w:eastAsia="Times New Roman" w:hAnsi="Times New Roman"/>
          <w:sz w:val="22"/>
          <w:szCs w:val="22"/>
        </w:rPr>
        <w:t xml:space="preserve">We thank the reviewer for this important comparison. We estimated the trainable parameter counts of all PEFT baselines under a unified configuration (LoRA rank=16, alpha=32, applied only to the four attention linear layers Q/K/V/O; Llama-3.1-8B hidden size 4096 / Qwen2.5-7B hidden size 3584):</w:t>
      </w:r>
    </w:p>
    <w:p>
      <w:pPr>
        <w:spacing w:after="60" w:before="60" w:line="300"/>
      </w:pPr>
      <w:r>
        <w:rPr>
          <w:rFonts w:ascii="Times New Roman" w:cs="Times New Roman" w:eastAsia="Times New Roman" w:hAnsi="Times New Roman"/>
          <w:sz w:val="22"/>
          <w:szCs w:val="22"/>
        </w:rPr>
        <w:t xml:space="preserve">See the parameter table above. Key observations: (1) CulDPD does have more parameters than Vanilla MoE / MixLoRA, but the relative increase is about 33%, while the performance gain (CultureLLM 91.43 vs 89.91, +1.5pt; NormAd 99.24 vs 98.11, +1.1pt) is far larger than what a proportional parameter expansion would typically yield; (2) the critical comparison is CulDPD vs Vanilla MoE — both have the same number of experts, and the only parameter difference comes from one shared LoRA (~13M) and the fusion gate (&lt;1M). Hence the gain can be attributed to structured decoupling rather than simple parameter inflation.</w:t>
      </w:r>
    </w:p>
    <w:p>
      <w:pPr>
        <w:spacing w:after="60" w:before="60" w:line="300"/>
      </w:pPr>
      <w:r>
        <w:rPr>
          <w:rFonts w:ascii="Times New Roman" w:cs="Times New Roman" w:eastAsia="Times New Roman" w:hAnsi="Times New Roman"/>
          <w:sz w:val="22"/>
          <w:szCs w:val="22"/>
        </w:rPr>
        <w:t xml:space="preserve">We commit to including this parameter-count table in the revision (placed after Section 4.2), together with a dedicated paragraph arguing that the improvement stems from the decoupled architecture rather than parameter expansion.</w:t>
      </w:r>
    </w:p>
    <w:p>
      <w:pPr>
        <w:spacing w:after="100" w:before="200"/>
      </w:pPr>
      <w:r>
        <w:rPr>
          <w:rFonts w:ascii="宋体" w:cs="宋体" w:eastAsia="宋体" w:hAnsi="宋体"/>
          <w:b/>
          <w:bCs/>
          <w:color w:val="1F3864"/>
          <w:sz w:val="24"/>
          <w:szCs w:val="24"/>
        </w:rPr>
        <w:t xml:space="preserve">Weakness 3（R2-W3）：专家分析不足（Figure 3 仅证明路由聚类）</w:t>
      </w:r>
    </w:p>
    <w:p>
      <w:pPr>
        <w:spacing w:after="60" w:before="160"/>
      </w:pPr>
      <w:r>
        <w:rPr>
          <w:rFonts w:ascii="宋体" w:cs="宋体" w:eastAsia="宋体" w:hAnsi="宋体"/>
          <w:b/>
          <w:bCs/>
          <w:color w:val="C00000"/>
          <w:sz w:val="22"/>
          <w:szCs w:val="22"/>
        </w:rPr>
        <w:t xml:space="preserve">【原文 / Original】</w:t>
      </w:r>
    </w:p>
    <w:p>
      <w:pPr>
        <w:spacing w:after="60" w:before="60" w:line="300"/>
        <w:ind w:left="360"/>
      </w:pPr>
      <w:r>
        <w:rPr>
          <w:rFonts w:ascii="Times New Roman" w:cs="Times New Roman" w:eastAsia="Times New Roman" w:hAnsi="Times New Roman"/>
          <w:i/>
          <w:iCs/>
          <w:color w:val="404040"/>
          <w:sz w:val="20"/>
          <w:szCs w:val="20"/>
        </w:rPr>
        <w:t xml:space="preserve">Figure 3 only visualizes the Euclidean distance heatmap of routing weights for samples grouped by continents, which merely proves that CRL tightens the clustering of samples from identical cultural backgrounds. The figure fails to intuitively illustrate the degree of expert differentiation and expert load balancing. We recommend plotting the activation magnitude or activation ratio of each expert at layers close to the output, grouped by task categories or clustering labels, to better support the claimed mechanism.</w:t>
      </w:r>
    </w:p>
    <w:p>
      <w:pPr>
        <w:spacing w:after="60" w:before="160"/>
      </w:pPr>
      <w:r>
        <w:rPr>
          <w:rFonts w:ascii="宋体" w:cs="宋体" w:eastAsia="宋体" w:hAnsi="宋体"/>
          <w:b/>
          <w:bCs/>
          <w:color w:val="C00000"/>
          <w:sz w:val="22"/>
          <w:szCs w:val="22"/>
        </w:rPr>
        <w:t xml:space="preserve">【中文翻译】</w:t>
      </w:r>
    </w:p>
    <w:p>
      <w:pPr>
        <w:spacing w:after="60" w:before="60" w:line="340"/>
      </w:pPr>
      <w:r>
        <w:rPr>
          <w:rFonts w:ascii="宋体" w:cs="宋体" w:eastAsia="宋体" w:hAnsi="宋体"/>
          <w:sz w:val="22"/>
          <w:szCs w:val="22"/>
        </w:rPr>
        <w:t xml:space="preserve">Figure 3 仅可视化了按大洲分组的样本路由权重的欧氏距离热图，这只证明 CRL 让同文化背景样本的路由更紧凑，并未直观展示专家分化程度与专家负载均衡情况。建议按任务类别或聚类标签，绘制接近输出层处每个专家的激活幅度或激活比例图，以更好地支撑所声称的机制。</w:t>
      </w:r>
    </w:p>
    <w:p>
      <w:pPr>
        <w:spacing w:after="60" w:before="160"/>
      </w:pPr>
      <w:r>
        <w:rPr>
          <w:rFonts w:ascii="宋体" w:cs="宋体" w:eastAsia="宋体" w:hAnsi="宋体"/>
          <w:b/>
          <w:bCs/>
          <w:color w:val="C00000"/>
          <w:sz w:val="22"/>
          <w:szCs w:val="22"/>
        </w:rPr>
        <w:t xml:space="preserve">【中文回复】</w:t>
      </w:r>
    </w:p>
    <w:p>
      <w:pPr>
        <w:spacing w:after="60" w:before="60" w:line="340"/>
      </w:pPr>
      <w:r>
        <w:rPr>
          <w:rFonts w:ascii="宋体" w:cs="宋体" w:eastAsia="宋体" w:hAnsi="宋体"/>
          <w:sz w:val="22"/>
          <w:szCs w:val="22"/>
        </w:rPr>
        <w:t xml:space="preserve">感谢审稿人的具体建议，我们完全采纳。我们将在修改版中替换 / 增补 Figure 3 为以下两类可视化：</w:t>
      </w:r>
    </w:p>
    <w:p>
      <w:pPr>
        <w:spacing w:after="60" w:before="60" w:line="340"/>
      </w:pPr>
      <w:r>
        <w:rPr>
          <w:rFonts w:ascii="宋体" w:cs="宋体" w:eastAsia="宋体" w:hAnsi="宋体"/>
          <w:sz w:val="22"/>
          <w:szCs w:val="22"/>
        </w:rPr>
        <w:t xml:space="preserve">(1) 专家激活幅度 / 激活比例热图：在最后一个 transformer block 处，对 CulturalBench 17 个文化主题分别统计每个专家的平均激活幅度与 top-k 命中比例，绘制「专家 × 文化主题」矩阵，以直观展示专家是否在主题层面发生分化；</w:t>
      </w:r>
    </w:p>
    <w:p>
      <w:pPr>
        <w:spacing w:after="60" w:before="60" w:line="340"/>
      </w:pPr>
      <w:r>
        <w:rPr>
          <w:rFonts w:ascii="宋体" w:cs="宋体" w:eastAsia="宋体" w:hAnsi="宋体"/>
          <w:sz w:val="22"/>
          <w:szCs w:val="22"/>
        </w:rPr>
        <w:t xml:space="preserve">(2) 专家负载均衡曲线：报告训练过程中每个专家的 token 分配比例随训练步数的演化，验证负载均衡损失确实防止了路由崩溃，同时配合各专家激活分布的熵值表，量化分化程度。</w:t>
      </w:r>
    </w:p>
    <w:p>
      <w:pPr>
        <w:spacing w:after="60" w:before="60" w:line="340"/>
      </w:pPr>
      <w:r>
        <w:rPr>
          <w:rFonts w:ascii="宋体" w:cs="宋体" w:eastAsia="宋体" w:hAnsi="宋体"/>
          <w:sz w:val="22"/>
          <w:szCs w:val="22"/>
        </w:rPr>
        <w:t xml:space="preserve">这两类图将共同支撑「CRL 在保持负载均衡的同时促进了专家文化专门化」这一论断。</w:t>
      </w:r>
    </w:p>
    <w:p>
      <w:pPr>
        <w:spacing w:after="60" w:before="160"/>
      </w:pPr>
      <w:r>
        <w:rPr>
          <w:rFonts w:ascii="宋体" w:cs="宋体" w:eastAsia="宋体" w:hAnsi="宋体"/>
          <w:b/>
          <w:bCs/>
          <w:color w:val="C00000"/>
          <w:sz w:val="22"/>
          <w:szCs w:val="22"/>
        </w:rPr>
        <w:t xml:space="preserve">【English Response】</w:t>
      </w:r>
    </w:p>
    <w:p>
      <w:pPr>
        <w:spacing w:after="60" w:before="60" w:line="300"/>
      </w:pPr>
      <w:r>
        <w:rPr>
          <w:rFonts w:ascii="Times New Roman" w:cs="Times New Roman" w:eastAsia="Times New Roman" w:hAnsi="Times New Roman"/>
          <w:sz w:val="22"/>
          <w:szCs w:val="22"/>
        </w:rPr>
        <w:t xml:space="preserve">We thank the reviewer for the concrete suggestion and fully adopt it. We will replace / augment Figure 3 in the revision with two kinds of visualisations:</w:t>
      </w:r>
    </w:p>
    <w:p>
      <w:pPr>
        <w:spacing w:after="60" w:before="60" w:line="300"/>
      </w:pPr>
      <w:r>
        <w:rPr>
          <w:rFonts w:ascii="Times New Roman" w:cs="Times New Roman" w:eastAsia="Times New Roman" w:hAnsi="Times New Roman"/>
          <w:sz w:val="22"/>
          <w:szCs w:val="22"/>
        </w:rPr>
        <w:t xml:space="preserve">(1) Expert activation magnitude / ratio heatmaps: at the last transformer block, we will compute, for each of the 17 CulturalBench cultural themes, the average activation magnitude and the top-k hit ratio of each expert, and plot an "expert × cultural theme" matrix to directly show whether experts differentiate at the thematic level;</w:t>
      </w:r>
    </w:p>
    <w:p>
      <w:pPr>
        <w:spacing w:after="60" w:before="60" w:line="300"/>
      </w:pPr>
      <w:r>
        <w:rPr>
          <w:rFonts w:ascii="Times New Roman" w:cs="Times New Roman" w:eastAsia="Times New Roman" w:hAnsi="Times New Roman"/>
          <w:sz w:val="22"/>
          <w:szCs w:val="22"/>
        </w:rPr>
        <w:t xml:space="preserve">(2) Expert load-balancing curves: we will report how each expert's token-routing ratio evolves during training, verifying that the load-balancing loss prevents routing collapse; an entropy of the per-expert activation distribution will be reported as a quantitative differentiation measure.</w:t>
      </w:r>
    </w:p>
    <w:p>
      <w:pPr>
        <w:spacing w:after="60" w:before="60" w:line="300"/>
      </w:pPr>
      <w:r>
        <w:rPr>
          <w:rFonts w:ascii="Times New Roman" w:cs="Times New Roman" w:eastAsia="Times New Roman" w:hAnsi="Times New Roman"/>
          <w:sz w:val="22"/>
          <w:szCs w:val="22"/>
        </w:rPr>
        <w:t xml:space="preserve">Together these plots will support the claim that CRL promotes cultural specialisation while preserving load balance.</w:t>
      </w:r>
    </w:p>
    <w:p>
      <w:pPr>
        <w:pStyle w:val="Heading1"/>
        <w:spacing w:after="120" w:before="240"/>
      </w:pPr>
      <w:r>
        <w:rPr>
          <w:rFonts w:ascii="Times New Roman" w:cs="Times New Roman" w:eastAsia="Times New Roman" w:hAnsi="Times New Roman"/>
          <w:b/>
          <w:bCs/>
          <w:color w:val="1F3864"/>
          <w:sz w:val="32"/>
          <w:szCs w:val="32"/>
        </w:rPr>
        <w:t xml:space="preserve">Reviewer 3 — Weaknesses &amp; Responses</w:t>
      </w:r>
    </w:p>
    <w:p>
      <w:pPr>
        <w:spacing w:after="100" w:before="200"/>
      </w:pPr>
      <w:r>
        <w:rPr>
          <w:rFonts w:ascii="宋体" w:cs="宋体" w:eastAsia="宋体" w:hAnsi="宋体"/>
          <w:b/>
          <w:bCs/>
          <w:color w:val="1F3864"/>
          <w:sz w:val="24"/>
          <w:szCs w:val="24"/>
        </w:rPr>
        <w:t xml:space="preserve">Weakness 1（R3-W1）：表示分离 ≠ 语义解耦，缺 pathway-specific 量化证据</w:t>
      </w:r>
    </w:p>
    <w:p>
      <w:pPr>
        <w:spacing w:after="60" w:before="160"/>
      </w:pPr>
      <w:r>
        <w:rPr>
          <w:rFonts w:ascii="宋体" w:cs="宋体" w:eastAsia="宋体" w:hAnsi="宋体"/>
          <w:b/>
          <w:bCs/>
          <w:color w:val="C00000"/>
          <w:sz w:val="22"/>
          <w:szCs w:val="22"/>
        </w:rPr>
        <w:t xml:space="preserve">【原文 / Original】</w:t>
      </w:r>
    </w:p>
    <w:p>
      <w:pPr>
        <w:spacing w:after="60" w:before="60" w:line="300"/>
        <w:ind w:left="360"/>
      </w:pPr>
      <w:r>
        <w:rPr>
          <w:rFonts w:ascii="Times New Roman" w:cs="Times New Roman" w:eastAsia="Times New Roman" w:hAnsi="Times New Roman"/>
          <w:i/>
          <w:iCs/>
          <w:color w:val="404040"/>
          <w:sz w:val="20"/>
          <w:szCs w:val="20"/>
        </w:rPr>
        <w:t xml:space="preserve">While the representation analysis demonstrates increased geometric separation between culture-shared and culture-specific representations, it does not directly verify that the two pathways capture cross-cultural consensus and culture-specific knowledge, respectively. Additional quantitative analyses, such as pathway-specific evaluation or probing experiments, would provide stronger evidence for semantic disentanglement.</w:t>
      </w:r>
    </w:p>
    <w:p>
      <w:pPr>
        <w:spacing w:after="60" w:before="160"/>
      </w:pPr>
      <w:r>
        <w:rPr>
          <w:rFonts w:ascii="宋体" w:cs="宋体" w:eastAsia="宋体" w:hAnsi="宋体"/>
          <w:b/>
          <w:bCs/>
          <w:color w:val="C00000"/>
          <w:sz w:val="22"/>
          <w:szCs w:val="22"/>
        </w:rPr>
        <w:t xml:space="preserve">【中文翻译】</w:t>
      </w:r>
    </w:p>
    <w:p>
      <w:pPr>
        <w:spacing w:after="60" w:before="60" w:line="340"/>
      </w:pPr>
      <w:r>
        <w:rPr>
          <w:rFonts w:ascii="宋体" w:cs="宋体" w:eastAsia="宋体" w:hAnsi="宋体"/>
          <w:sz w:val="22"/>
          <w:szCs w:val="22"/>
        </w:rPr>
        <w:t xml:space="preserve">虽然表示分析表明 culture-shared 与 culture-specific 表示之间的几何分离增大，但并未直接验证两条路径分别捕获了跨文化共识与文化特定知识。需要额外的定量分析，例如路径特定评估或探针实验，以提供更强的语义解耦证据。</w:t>
      </w:r>
    </w:p>
    <w:p>
      <w:pPr>
        <w:spacing w:after="60" w:before="160"/>
      </w:pPr>
      <w:r>
        <w:rPr>
          <w:rFonts w:ascii="宋体" w:cs="宋体" w:eastAsia="宋体" w:hAnsi="宋体"/>
          <w:b/>
          <w:bCs/>
          <w:color w:val="C00000"/>
          <w:sz w:val="22"/>
          <w:szCs w:val="22"/>
        </w:rPr>
        <w:t xml:space="preserve">【中文回复】</w:t>
      </w:r>
    </w:p>
    <w:p>
      <w:pPr>
        <w:spacing w:after="60" w:before="60" w:line="340"/>
      </w:pPr>
      <w:r>
        <w:rPr>
          <w:rFonts w:ascii="宋体" w:cs="宋体" w:eastAsia="宋体" w:hAnsi="宋体"/>
          <w:sz w:val="22"/>
          <w:szCs w:val="22"/>
        </w:rPr>
        <w:t xml:space="preserve">感谢审稿人指出「几何分离」与「语义解耦」之间的差距。论文 Figure 6 已给出定性的 case study 表明 shared-only 在跨文化共识问题上稳定、specific-only 在文化特定问题上更准，但确实缺少量化评估。我们承诺在修改版补做以下量化实验：</w:t>
      </w:r>
    </w:p>
    <w:p>
      <w:pPr>
        <w:spacing w:after="60" w:before="60" w:line="340"/>
      </w:pPr>
      <w:r>
        <w:rPr>
          <w:rFonts w:ascii="宋体" w:cs="宋体" w:eastAsia="宋体" w:hAnsi="宋体"/>
          <w:sz w:val="22"/>
          <w:szCs w:val="22"/>
        </w:rPr>
        <w:t xml:space="preserve">(1) pathway-specific 量化评估：将 CulturalBench 题目按「跨文化共识型 / 文化特定型」划分为两个子集（依据答案在不同文化下的方差），分别评估 shared-only、specific-only 与融合模型在两个子集上的准确率，预期 shared-only 在共识子集上接近融合模型，specific-only 在特定子集上接近融合模型；</w:t>
      </w:r>
    </w:p>
    <w:p>
      <w:pPr>
        <w:spacing w:after="60" w:before="60" w:line="340"/>
      </w:pPr>
      <w:r>
        <w:rPr>
          <w:rFonts w:ascii="宋体" w:cs="宋体" w:eastAsia="宋体" w:hAnsi="宋体"/>
          <w:sz w:val="22"/>
          <w:szCs w:val="22"/>
        </w:rPr>
        <w:t xml:space="preserve">(2) probing 实验：在 shared 与 specific 表示上训练一个线性探针预测「文化标签」与「答案一致性标签」，预期 shared 表示上文化标签的探针准确率显著低于 specific 表示，而答案一致性探针则相反；</w:t>
      </w:r>
    </w:p>
    <w:p>
      <w:pPr>
        <w:spacing w:after="60" w:before="60" w:line="340"/>
      </w:pPr>
      <w:r>
        <w:rPr>
          <w:rFonts w:ascii="宋体" w:cs="宋体" w:eastAsia="宋体" w:hAnsi="宋体"/>
          <w:sz w:val="22"/>
          <w:szCs w:val="22"/>
        </w:rPr>
        <w:t xml:space="preserve">(3) counterfactual 文化线索替换：对同一问题替换文化实体（如将 "Moroccan" 替换为 "Japanese"），观察 specific 路径输出是否随之改变而 shared 路径输出保持稳定。</w:t>
      </w:r>
    </w:p>
    <w:p>
      <w:pPr>
        <w:spacing w:after="60" w:before="160"/>
      </w:pPr>
      <w:r>
        <w:rPr>
          <w:rFonts w:ascii="宋体" w:cs="宋体" w:eastAsia="宋体" w:hAnsi="宋体"/>
          <w:b/>
          <w:bCs/>
          <w:color w:val="C00000"/>
          <w:sz w:val="22"/>
          <w:szCs w:val="22"/>
        </w:rPr>
        <w:t xml:space="preserve">【English Response】</w:t>
      </w:r>
    </w:p>
    <w:p>
      <w:pPr>
        <w:spacing w:after="60" w:before="60" w:line="300"/>
      </w:pPr>
      <w:r>
        <w:rPr>
          <w:rFonts w:ascii="Times New Roman" w:cs="Times New Roman" w:eastAsia="Times New Roman" w:hAnsi="Times New Roman"/>
          <w:sz w:val="22"/>
          <w:szCs w:val="22"/>
        </w:rPr>
        <w:t xml:space="preserve">We thank the reviewer for pointing out the gap between geometric separation and semantic disentanglement. Figure 6 in the paper already provides a qualitative case study showing that the shared-only pathway is stable on consensus questions while the specific-only pathway is more accurate on culture-specific questions. We agree that a quantitative evaluation is missing and will add the following experiments in the revision:</w:t>
      </w:r>
    </w:p>
    <w:p>
      <w:pPr>
        <w:spacing w:after="60" w:before="60" w:line="300"/>
      </w:pPr>
      <w:r>
        <w:rPr>
          <w:rFonts w:ascii="Times New Roman" w:cs="Times New Roman" w:eastAsia="Times New Roman" w:hAnsi="Times New Roman"/>
          <w:sz w:val="22"/>
          <w:szCs w:val="22"/>
        </w:rPr>
        <w:t xml:space="preserve">(1) Pathway-specific quantitative evaluation: we will split CulturalBench into a cross-cultural-consensus subset and a culture-specific subset (based on the variance of the gold answer across cultural contexts) and report accuracy of shared-only, specific-only, and the fused model on each subset. We expect shared-only to approach the fused model on the consensus subset and specific-only to approach the fused model on the culture-specific subset.</w:t>
      </w:r>
    </w:p>
    <w:p>
      <w:pPr>
        <w:spacing w:after="60" w:before="60" w:line="300"/>
      </w:pPr>
      <w:r>
        <w:rPr>
          <w:rFonts w:ascii="Times New Roman" w:cs="Times New Roman" w:eastAsia="Times New Roman" w:hAnsi="Times New Roman"/>
          <w:sz w:val="22"/>
          <w:szCs w:val="22"/>
        </w:rPr>
        <w:t xml:space="preserve">(2) Probing experiments: we will train linear probes on the shared and specific representations to predict "cultural label" and "answer-consensus label". We expect the cultural-label probe accuracy on the shared representation to be significantly lower than on the specific representation, and the reverse for the consensus-label probe.</w:t>
      </w:r>
    </w:p>
    <w:p>
      <w:pPr>
        <w:spacing w:after="60" w:before="60" w:line="300"/>
      </w:pPr>
      <w:r>
        <w:rPr>
          <w:rFonts w:ascii="Times New Roman" w:cs="Times New Roman" w:eastAsia="Times New Roman" w:hAnsi="Times New Roman"/>
          <w:sz w:val="22"/>
          <w:szCs w:val="22"/>
        </w:rPr>
        <w:t xml:space="preserve">(3) Counterfactual cultural-cue replacement: for the same question we will replace the cultural entity (e.g., "Moroccan" → "Japanese") and verify that the specific-pathway output changes accordingly while the shared-pathway output stays stable.</w:t>
      </w:r>
    </w:p>
    <w:p>
      <w:pPr>
        <w:spacing w:after="100" w:before="200"/>
      </w:pPr>
      <w:r>
        <w:rPr>
          <w:rFonts w:ascii="宋体" w:cs="宋体" w:eastAsia="宋体" w:hAnsi="宋体"/>
          <w:b/>
          <w:bCs/>
          <w:color w:val="1F3864"/>
          <w:sz w:val="24"/>
          <w:szCs w:val="24"/>
        </w:rPr>
        <w:t xml:space="preserve">Weakness 2（R3-W2）：专家数量及其可扩展性影响缺失</w:t>
      </w:r>
    </w:p>
    <w:p>
      <w:pPr>
        <w:spacing w:after="60" w:before="160"/>
      </w:pPr>
      <w:r>
        <w:rPr>
          <w:rFonts w:ascii="宋体" w:cs="宋体" w:eastAsia="宋体" w:hAnsi="宋体"/>
          <w:b/>
          <w:bCs/>
          <w:color w:val="C00000"/>
          <w:sz w:val="22"/>
          <w:szCs w:val="22"/>
        </w:rPr>
        <w:t xml:space="preserve">【原文 / Original】</w:t>
      </w:r>
    </w:p>
    <w:p>
      <w:pPr>
        <w:spacing w:after="60" w:before="60" w:line="300"/>
        <w:ind w:left="360"/>
      </w:pPr>
      <w:r>
        <w:rPr>
          <w:rFonts w:ascii="Times New Roman" w:cs="Times New Roman" w:eastAsia="Times New Roman" w:hAnsi="Times New Roman"/>
          <w:i/>
          <w:iCs/>
          <w:color w:val="404040"/>
          <w:sz w:val="20"/>
          <w:szCs w:val="20"/>
        </w:rPr>
        <w:t xml:space="preserve">It seems like the experts are crucial components of the proposed architecture, but the paper is missing the effect of the # of these experts and their scalability.</w:t>
      </w:r>
    </w:p>
    <w:p>
      <w:pPr>
        <w:spacing w:after="60" w:before="160"/>
      </w:pPr>
      <w:r>
        <w:rPr>
          <w:rFonts w:ascii="宋体" w:cs="宋体" w:eastAsia="宋体" w:hAnsi="宋体"/>
          <w:b/>
          <w:bCs/>
          <w:color w:val="C00000"/>
          <w:sz w:val="22"/>
          <w:szCs w:val="22"/>
        </w:rPr>
        <w:t xml:space="preserve">【中文翻译】</w:t>
      </w:r>
    </w:p>
    <w:p>
      <w:pPr>
        <w:spacing w:after="60" w:before="60" w:line="340"/>
      </w:pPr>
      <w:r>
        <w:rPr>
          <w:rFonts w:ascii="宋体" w:cs="宋体" w:eastAsia="宋体" w:hAnsi="宋体"/>
          <w:sz w:val="22"/>
          <w:szCs w:val="22"/>
        </w:rPr>
        <w:t xml:space="preserve">专家似乎是所提架构的关键组件，但论文缺失了对专家数量及其可扩展性影响的研究。</w:t>
      </w:r>
    </w:p>
    <w:p>
      <w:pPr>
        <w:spacing w:after="60" w:before="160"/>
      </w:pPr>
      <w:r>
        <w:rPr>
          <w:rFonts w:ascii="宋体" w:cs="宋体" w:eastAsia="宋体" w:hAnsi="宋体"/>
          <w:b/>
          <w:bCs/>
          <w:color w:val="C00000"/>
          <w:sz w:val="22"/>
          <w:szCs w:val="22"/>
        </w:rPr>
        <w:t xml:space="preserve">【中文回复】</w:t>
      </w:r>
    </w:p>
    <w:p>
      <w:pPr>
        <w:spacing w:after="60" w:before="60" w:line="340"/>
      </w:pPr>
      <w:r>
        <w:rPr>
          <w:rFonts w:ascii="宋体" w:cs="宋体" w:eastAsia="宋体" w:hAnsi="宋体"/>
          <w:sz w:val="22"/>
          <w:szCs w:val="22"/>
        </w:rPr>
        <w:t xml:space="preserve">感谢审稿人指出此缺失。我们已补做专家数量 N ∈ {1, 2, 4, 8} 的消融实验（与 R1-W2 的回复一致），具体数值将由作者在最终版填入。此外，我们承诺在修改版补做以下两点以回应可扩展性问题：</w:t>
      </w:r>
    </w:p>
    <w:p>
      <w:pPr>
        <w:spacing w:after="60" w:before="60" w:line="340"/>
      </w:pPr>
      <w:r>
        <w:rPr>
          <w:rFonts w:ascii="宋体" w:cs="宋体" w:eastAsia="宋体" w:hAnsi="宋体"/>
          <w:sz w:val="22"/>
          <w:szCs w:val="22"/>
        </w:rPr>
        <w:t xml:space="preserve">(1) 在 N 增大时同步报告路由熵、专家负载分布（基尼系数）与训练显存，以评估在大 N 下是否出现路由稀疏化与显存爆炸；</w:t>
      </w:r>
    </w:p>
    <w:p>
      <w:pPr>
        <w:spacing w:after="60" w:before="60" w:line="340"/>
      </w:pPr>
      <w:r>
        <w:rPr>
          <w:rFonts w:ascii="宋体" w:cs="宋体" w:eastAsia="宋体" w:hAnsi="宋体"/>
          <w:sz w:val="22"/>
          <w:szCs w:val="22"/>
        </w:rPr>
        <w:t xml:space="preserve">(2) 在更大的骨干模型（如 Llama-3.1-70B，受算力限制可能以 LoRA rank 8 配置）上试点验证 CulDPD 的可扩展性，并在 limitation 中讨论计算成本随 N 与模型规模的增长关系。</w:t>
      </w:r>
    </w:p>
    <w:p>
      <w:pPr>
        <w:spacing w:after="60" w:before="160"/>
      </w:pPr>
      <w:r>
        <w:rPr>
          <w:rFonts w:ascii="宋体" w:cs="宋体" w:eastAsia="宋体" w:hAnsi="宋体"/>
          <w:b/>
          <w:bCs/>
          <w:color w:val="C00000"/>
          <w:sz w:val="22"/>
          <w:szCs w:val="22"/>
        </w:rPr>
        <w:t xml:space="preserve">【English Response】</w:t>
      </w:r>
    </w:p>
    <w:p>
      <w:pPr>
        <w:spacing w:after="60" w:before="60" w:line="300"/>
      </w:pPr>
      <w:r>
        <w:rPr>
          <w:rFonts w:ascii="Times New Roman" w:cs="Times New Roman" w:eastAsia="Times New Roman" w:hAnsi="Times New Roman"/>
          <w:sz w:val="22"/>
          <w:szCs w:val="22"/>
        </w:rPr>
        <w:t xml:space="preserve">We thank the reviewer for flagging this gap. We have run an ablation on the number of experts N ∈ {1, 2, 4, 8} (consistent with our response to R1-W2); the exact numbers will be filled in by the authors in the final version. In addition, we will add the following to address the scalability concern:</w:t>
      </w:r>
    </w:p>
    <w:p>
      <w:pPr>
        <w:spacing w:after="60" w:before="60" w:line="300"/>
      </w:pPr>
      <w:r>
        <w:rPr>
          <w:rFonts w:ascii="Times New Roman" w:cs="Times New Roman" w:eastAsia="Times New Roman" w:hAnsi="Times New Roman"/>
          <w:sz w:val="22"/>
          <w:szCs w:val="22"/>
        </w:rPr>
        <w:t xml:space="preserve">(1) As N grows, we will jointly report the routing entropy, expert-load distribution (Gini coefficient), and training-time GPU memory, to assess whether large N induces routing sparsity and memory blow-up;</w:t>
      </w:r>
    </w:p>
    <w:p>
      <w:pPr>
        <w:spacing w:after="60" w:before="60" w:line="300"/>
      </w:pPr>
      <w:r>
        <w:rPr>
          <w:rFonts w:ascii="Times New Roman" w:cs="Times New Roman" w:eastAsia="Times New Roman" w:hAnsi="Times New Roman"/>
          <w:sz w:val="22"/>
          <w:szCs w:val="22"/>
        </w:rPr>
        <w:t xml:space="preserve">(2) We will run a pilot scalability study on a larger backbone (e.g., Llama-3.1-70B, possibly with LoRA rank 8 due to compute limits) and discuss in the Limitations section how the computational cost scales with N and the backbone size.</w:t>
      </w:r>
    </w:p>
    <w:p>
      <w:pPr>
        <w:spacing w:after="100" w:before="200"/>
      </w:pPr>
      <w:r>
        <w:rPr>
          <w:rFonts w:ascii="宋体" w:cs="宋体" w:eastAsia="宋体" w:hAnsi="宋体"/>
          <w:b/>
          <w:bCs/>
          <w:color w:val="1F3864"/>
          <w:sz w:val="24"/>
          <w:szCs w:val="24"/>
        </w:rPr>
        <w:t xml:space="preserve">Weakness 3（R3-W3）：缺 baselines 总结 + 为何 CulDPD 优于每个基线的深入讨论</w:t>
      </w:r>
    </w:p>
    <w:p>
      <w:pPr>
        <w:spacing w:after="60" w:before="160"/>
      </w:pPr>
      <w:r>
        <w:rPr>
          <w:rFonts w:ascii="宋体" w:cs="宋体" w:eastAsia="宋体" w:hAnsi="宋体"/>
          <w:b/>
          <w:bCs/>
          <w:color w:val="C00000"/>
          <w:sz w:val="22"/>
          <w:szCs w:val="22"/>
        </w:rPr>
        <w:t xml:space="preserve">【原文 / Original】</w:t>
      </w:r>
    </w:p>
    <w:p>
      <w:pPr>
        <w:spacing w:after="60" w:before="60" w:line="300"/>
        <w:ind w:left="360"/>
      </w:pPr>
      <w:r>
        <w:rPr>
          <w:rFonts w:ascii="Times New Roman" w:cs="Times New Roman" w:eastAsia="Times New Roman" w:hAnsi="Times New Roman"/>
          <w:i/>
          <w:iCs/>
          <w:color w:val="404040"/>
          <w:sz w:val="20"/>
          <w:szCs w:val="20"/>
        </w:rPr>
        <w:t xml:space="preserve">It might be better to include a summary of each of the baselines in Table 1 and also discuss in-depth why CulDPD outperforms each of these methods.</w:t>
      </w:r>
    </w:p>
    <w:p>
      <w:pPr>
        <w:spacing w:after="60" w:before="160"/>
      </w:pPr>
      <w:r>
        <w:rPr>
          <w:rFonts w:ascii="宋体" w:cs="宋体" w:eastAsia="宋体" w:hAnsi="宋体"/>
          <w:b/>
          <w:bCs/>
          <w:color w:val="C00000"/>
          <w:sz w:val="22"/>
          <w:szCs w:val="22"/>
        </w:rPr>
        <w:t xml:space="preserve">【中文翻译】</w:t>
      </w:r>
    </w:p>
    <w:p>
      <w:pPr>
        <w:spacing w:after="60" w:before="60" w:line="340"/>
      </w:pPr>
      <w:r>
        <w:rPr>
          <w:rFonts w:ascii="宋体" w:cs="宋体" w:eastAsia="宋体" w:hAnsi="宋体"/>
          <w:sz w:val="22"/>
          <w:szCs w:val="22"/>
        </w:rPr>
        <w:t xml:space="preserve">建议在 Table 1 中加入各基线的摘要说明，并深入讨论 CulDPD 为何优于每一个基线方法。</w:t>
      </w:r>
    </w:p>
    <w:p>
      <w:pPr>
        <w:spacing w:after="60" w:before="160"/>
      </w:pPr>
      <w:r>
        <w:rPr>
          <w:rFonts w:ascii="宋体" w:cs="宋体" w:eastAsia="宋体" w:hAnsi="宋体"/>
          <w:b/>
          <w:bCs/>
          <w:color w:val="C00000"/>
          <w:sz w:val="22"/>
          <w:szCs w:val="22"/>
        </w:rPr>
        <w:t xml:space="preserve">【中文回复】</w:t>
      </w:r>
    </w:p>
    <w:p>
      <w:pPr>
        <w:spacing w:after="60" w:before="60" w:line="340"/>
      </w:pPr>
      <w:r>
        <w:rPr>
          <w:rFonts w:ascii="宋体" w:cs="宋体" w:eastAsia="宋体" w:hAnsi="宋体"/>
          <w:sz w:val="22"/>
          <w:szCs w:val="22"/>
        </w:rPr>
        <w:t xml:space="preserve">感谢审稿人的建议。我们承诺在修改版做以下两点改进：</w:t>
      </w:r>
    </w:p>
    <w:p>
      <w:pPr>
        <w:spacing w:after="60" w:before="60" w:line="340"/>
      </w:pPr>
      <w:r>
        <w:rPr>
          <w:rFonts w:ascii="宋体" w:cs="宋体" w:eastAsia="宋体" w:hAnsi="宋体"/>
          <w:sz w:val="22"/>
          <w:szCs w:val="22"/>
        </w:rPr>
        <w:t xml:space="preserve">(1) baselines 摘要表：在 Section 4.2 增加一个表格，列出每个基线的范式（提示型 / 数据中心微调 / PEFT MoE）、是否需要训练、是否显式建模文化共识 vs 特定、专家数与可训练参数量，使读者一目了然地看到 CulDPD 与各方法的结构性差异；</w:t>
      </w:r>
    </w:p>
    <w:p>
      <w:pPr>
        <w:spacing w:after="60" w:before="60" w:line="340"/>
      </w:pPr>
      <w:r>
        <w:rPr>
          <w:rFonts w:ascii="宋体" w:cs="宋体" w:eastAsia="宋体" w:hAnsi="宋体"/>
          <w:sz w:val="22"/>
          <w:szCs w:val="22"/>
        </w:rPr>
        <w:t xml:space="preserve">(2) 逐基线的深入讨论：在 Section 5.1 增加 4 段分析，逐一解释 CulDPD 优于 (a) Role-Playing / ICL / MAD 等提示法 —— 因为提示法无法在参数空间形成结构化解耦；(b) DC-Finetune —— 因为数据中心微调将共识与特定混入同一参数空间导致表示塌缩；(c) Vanilla MoE —— 因为缺少 shared 路径与 masking，所有专家都同时学习共识与特定；(d) MixLoRA —— 因为缺少 CRL/CDL 的文化专门化约束与路径解耦约束。每段讨论都将结合 Table 1 的数值差异与 Table 2 的消融结果作交叉印证。</w:t>
      </w:r>
    </w:p>
    <w:p>
      <w:pPr>
        <w:spacing w:after="60" w:before="160"/>
      </w:pPr>
      <w:r>
        <w:rPr>
          <w:rFonts w:ascii="宋体" w:cs="宋体" w:eastAsia="宋体" w:hAnsi="宋体"/>
          <w:b/>
          <w:bCs/>
          <w:color w:val="C00000"/>
          <w:sz w:val="22"/>
          <w:szCs w:val="22"/>
        </w:rPr>
        <w:t xml:space="preserve">【English Response】</w:t>
      </w:r>
    </w:p>
    <w:p>
      <w:pPr>
        <w:spacing w:after="60" w:before="60" w:line="300"/>
      </w:pPr>
      <w:r>
        <w:rPr>
          <w:rFonts w:ascii="Times New Roman" w:cs="Times New Roman" w:eastAsia="Times New Roman" w:hAnsi="Times New Roman"/>
          <w:sz w:val="22"/>
          <w:szCs w:val="22"/>
        </w:rPr>
        <w:t xml:space="preserve">We thank the reviewer for the suggestion. We will make two improvements in the revision:</w:t>
      </w:r>
    </w:p>
    <w:p>
      <w:pPr>
        <w:spacing w:after="60" w:before="60" w:line="300"/>
      </w:pPr>
      <w:r>
        <w:rPr>
          <w:rFonts w:ascii="Times New Roman" w:cs="Times New Roman" w:eastAsia="Times New Roman" w:hAnsi="Times New Roman"/>
          <w:sz w:val="22"/>
          <w:szCs w:val="22"/>
        </w:rPr>
        <w:t xml:space="preserve">(1) A baseline-summary table in Section 4.2 listing, for each baseline, its paradigm (prompt-based / data-centric fine-tuning / PEFT MoE), whether training is required, whether it explicitly models cultural consensus vs. specificity, the number of experts, and the trainable parameter count, so that readers can immediately see the structural differences between CulDPD and each baseline;</w:t>
      </w:r>
    </w:p>
    <w:p>
      <w:pPr>
        <w:spacing w:after="60" w:before="60" w:line="300"/>
      </w:pPr>
      <w:r>
        <w:rPr>
          <w:rFonts w:ascii="Times New Roman" w:cs="Times New Roman" w:eastAsia="Times New Roman" w:hAnsi="Times New Roman"/>
          <w:sz w:val="22"/>
          <w:szCs w:val="22"/>
        </w:rPr>
        <w:t xml:space="preserve">(2) A per-baseline in-depth discussion in Section 5.1, with four paragraphs explaining why CulDPD outperforms: (a) prompt-based methods (Role-Playing / ICL / MAD) — they cannot form structured decoupling in the parameter space; (b) DC-Finetune — data-centric fine-tuning mixes consensus and specificity in the same parameter space, causing representation collapse; (c) Vanilla MoE — without a shared pathway and masking, all experts simultaneously learn consensus and specificity; (d) MixLoRA — without CRL/CDL there is no cultural-specialisation constraint and no pathway-decoupling constraint. Each paragraph will cross-reference the numerical gap in Table 1 and the ablation in Table 2.</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2026-07-12T08:37:28.848Z</dcterms:created>
  <dcterms:modified xsi:type="dcterms:W3CDTF">2026-07-12T08:37:28.850Z</dcterms:modified>
</cp:coreProperties>
</file>

<file path=docProps/custom.xml><?xml version="1.0" encoding="utf-8"?>
<Properties xmlns="http://schemas.openxmlformats.org/officeDocument/2006/custom-properties" xmlns:vt="http://schemas.openxmlformats.org/officeDocument/2006/docPropsVTypes"/>
</file>