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shd w:val="clear" w:fill="auto"/>
        <w:spacing w:lineRule="auto" w:line="273" w:before="0" w:after="240"/>
        <w:rPr>
          <w:rFonts w:ascii="Google Sans" w:hAnsi="Google Sans" w:eastAsia="Google Sans" w:cs="Google Sans"/>
        </w:rPr>
      </w:pPr>
      <w:r>
        <w:rPr>
          <w:rFonts w:eastAsia="Google Sans" w:cs="Google Sans" w:ascii="Google Sans" w:hAnsi="Google Sans"/>
        </w:rPr>
        <w:t>Technical Architecture and System Requirements Specification: Losant Enterprise IoT Platform</w:t>
      </w:r>
    </w:p>
    <w:p>
      <w:pPr>
        <w:pStyle w:val="Heading2"/>
        <w:pBdr/>
        <w:shd w:val="clear" w:fill="auto"/>
        <w:spacing w:lineRule="auto" w:line="273" w:before="0" w:after="225"/>
        <w:rPr>
          <w:rFonts w:ascii="Google Sans" w:hAnsi="Google Sans" w:eastAsia="Google Sans" w:cs="Google Sans"/>
        </w:rPr>
      </w:pPr>
      <w:r>
        <w:rPr>
          <w:rFonts w:eastAsia="Google Sans" w:cs="Google Sans" w:ascii="Google Sans" w:hAnsi="Google Sans"/>
        </w:rPr>
        <w:t>1. Executive Summary and Architectural Scope</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 xml:space="preserve">The Losant Enterprise IoT Platform represents a paradigm shift from monolithic industrial control systems to a decoupled, event-driven Application Enablement Platform (AEP). This document serves as an exhaustive architectural analysis and requirement specification, dissecting the platform's ability to orchestrate the complex lifecycle of Internet of Things (IoT) solutions. The architecture is engineered to address the two distinct axes of scalability required by modern enterprises: </w:t>
      </w:r>
      <w:r>
        <w:rPr>
          <w:rFonts w:eastAsia="Google Sans Text" w:cs="Google Sans Text" w:ascii="Google Sans Text" w:hAnsi="Google Sans Text"/>
          <w:b/>
          <w:bCs/>
        </w:rPr>
        <w:t>technical scalability</w:t>
      </w:r>
      <w:r>
        <w:rPr>
          <w:rFonts w:eastAsia="Google Sans Text" w:cs="Google Sans Text" w:ascii="Google Sans Text" w:hAnsi="Google Sans Text"/>
        </w:rPr>
        <w:t xml:space="preserve">, which manages the ingestion and processing of massive telemetry volumes, and </w:t>
      </w:r>
      <w:r>
        <w:rPr>
          <w:rFonts w:eastAsia="Google Sans Text" w:cs="Google Sans Text" w:ascii="Google Sans Text" w:hAnsi="Google Sans Text"/>
          <w:b/>
          <w:bCs/>
        </w:rPr>
        <w:t>operational scalability</w:t>
      </w:r>
      <w:r>
        <w:rPr>
          <w:rFonts w:eastAsia="Google Sans Text" w:cs="Google Sans Text" w:ascii="Google Sans Text" w:hAnsi="Google Sans Text"/>
        </w:rPr>
        <w:t>, which addresses the friction of multi-tenancy, user management, and device provisioning.</w:t>
      </w:r>
      <w:r>
        <w:rPr>
          <w:rFonts w:eastAsia="Google Sans Text" w:cs="Google Sans Text" w:ascii="Google Sans Text" w:hAnsi="Google Sans Text"/>
          <w:sz w:val="24"/>
          <w:szCs w:val="24"/>
          <w:vertAlign w:val="superscript"/>
        </w:rPr>
        <w:t>1</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system architecture is predicated on a microservices-based, cloud-native foundation that spans from the localized edge to the centralized cloud. It utilizes a "Unified Namespace" (UNS) approach, allowing for the normalization of diverse industrial protocols into a coherent, standardized topic hierarchy before processing.</w:t>
      </w:r>
      <w:r>
        <w:rPr>
          <w:rFonts w:eastAsia="Google Sans Text" w:cs="Google Sans Text" w:ascii="Google Sans Text" w:hAnsi="Google Sans Text"/>
          <w:sz w:val="24"/>
          <w:szCs w:val="24"/>
          <w:vertAlign w:val="superscript"/>
        </w:rPr>
        <w:t>3</w:t>
      </w:r>
      <w:r>
        <w:rPr>
          <w:rFonts w:eastAsia="Google Sans Text" w:cs="Google Sans Text" w:ascii="Google Sans Text" w:hAnsi="Google Sans Text"/>
        </w:rPr>
        <w:t xml:space="preserve"> This report analyzes the workflow engines, dashboard visualization subsystems, and the underlying technology stack that powers these capabilities, providing a blueprint for system architects and decision-makers evaluating the platform for mission-critical industrial applications.</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1.1 Architectural Philosophy and System Layers</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The platform's architecture is segmented into five distinct logical layers, each responsible for specific data transformation and state management tasks. This separation of concerns ensures that the failure or latency in one layer (e.g., visualization) does not impact the critical operation of another (e.g., edge control logic).</w:t>
      </w:r>
      <w:r>
        <w:rPr>
          <w:rFonts w:eastAsia="Google Sans Text" w:cs="Google Sans Text" w:ascii="Google Sans Text" w:hAnsi="Google Sans Text"/>
          <w:sz w:val="24"/>
          <w:szCs w:val="24"/>
          <w:vertAlign w:val="superscript"/>
        </w:rPr>
        <w:t>1</w:t>
      </w:r>
    </w:p>
    <w:p>
      <w:pPr>
        <w:pStyle w:val="normal1"/>
        <w:numPr>
          <w:ilvl w:val="0"/>
          <w:numId w:val="1"/>
        </w:numPr>
        <w:pBdr/>
        <w:shd w:val="clear" w:fill="auto"/>
        <w:spacing w:lineRule="auto" w:line="273"/>
        <w:ind w:hanging="360" w:left="600"/>
        <w:rPr/>
      </w:pPr>
      <w:r>
        <w:rPr>
          <w:rFonts w:eastAsia="Google Sans Text" w:cs="Google Sans Text" w:ascii="Google Sans Text" w:hAnsi="Google Sans Text"/>
          <w:b/>
          <w:bCs/>
        </w:rPr>
        <w:t>Edge Compute Layer:</w:t>
      </w:r>
      <w:r>
        <w:rPr>
          <w:rFonts w:eastAsia="Google Sans Text" w:cs="Google Sans Text" w:ascii="Google Sans Text" w:hAnsi="Google Sans Text"/>
        </w:rPr>
        <w:t xml:space="preserve"> This layer consists of localized processing units—specifically the Gateway Edge Agent (GEA) and Embedded Edge Agent (EEA)—that execute logic on-premise, closer to the source of data generation. This layer provides protocol translation (e.g., Modbus to MQTT), local buffering during network partitions, and low-latency control loops.</w:t>
      </w:r>
      <w:r>
        <w:rPr>
          <w:rFonts w:eastAsia="Google Sans Text" w:cs="Google Sans Text" w:ascii="Google Sans Text" w:hAnsi="Google Sans Text"/>
          <w:sz w:val="24"/>
          <w:szCs w:val="24"/>
          <w:vertAlign w:val="superscript"/>
        </w:rPr>
        <w:t>4</w:t>
      </w:r>
    </w:p>
    <w:p>
      <w:pPr>
        <w:pStyle w:val="normal1"/>
        <w:numPr>
          <w:ilvl w:val="0"/>
          <w:numId w:val="1"/>
        </w:numPr>
        <w:pBdr/>
        <w:shd w:val="clear" w:fill="auto"/>
        <w:spacing w:lineRule="auto" w:line="273"/>
        <w:ind w:hanging="360" w:left="600"/>
        <w:rPr/>
      </w:pPr>
      <w:r>
        <w:rPr>
          <w:rFonts w:eastAsia="Google Sans Text" w:cs="Google Sans Text" w:ascii="Google Sans Text" w:hAnsi="Google Sans Text"/>
          <w:b/>
          <w:bCs/>
        </w:rPr>
        <w:t>Connectivity and Ingestion Layer:</w:t>
      </w:r>
      <w:r>
        <w:rPr>
          <w:rFonts w:eastAsia="Google Sans Text" w:cs="Google Sans Text" w:ascii="Google Sans Text" w:hAnsi="Google Sans Text"/>
        </w:rPr>
        <w:t xml:space="preserve"> A highly available, horizontally scalable Message Queuing Telemetry Transport (MQTT) broker serves as the primary entry gate for data. This layer handles authentication, authorization, and the initial routing of telemetry, supporting both standard and custom topic namespaces.</w:t>
      </w:r>
      <w:r>
        <w:rPr>
          <w:rFonts w:eastAsia="Google Sans Text" w:cs="Google Sans Text" w:ascii="Google Sans Text" w:hAnsi="Google Sans Text"/>
          <w:sz w:val="24"/>
          <w:szCs w:val="24"/>
          <w:vertAlign w:val="superscript"/>
        </w:rPr>
        <w:t>3</w:t>
      </w:r>
    </w:p>
    <w:p>
      <w:pPr>
        <w:pStyle w:val="normal1"/>
        <w:numPr>
          <w:ilvl w:val="0"/>
          <w:numId w:val="1"/>
        </w:numPr>
        <w:pBdr/>
        <w:shd w:val="clear" w:fill="auto"/>
        <w:spacing w:lineRule="auto" w:line="273"/>
        <w:ind w:hanging="360" w:left="600"/>
        <w:rPr/>
      </w:pPr>
      <w:r>
        <w:rPr>
          <w:rFonts w:eastAsia="Google Sans Text" w:cs="Google Sans Text" w:ascii="Google Sans Text" w:hAnsi="Google Sans Text"/>
          <w:b/>
          <w:bCs/>
        </w:rPr>
        <w:t>Core Processing Layer (Visual Workflow Engine):</w:t>
      </w:r>
      <w:r>
        <w:rPr>
          <w:rFonts w:eastAsia="Google Sans Text" w:cs="Google Sans Text" w:ascii="Google Sans Text" w:hAnsi="Google Sans Text"/>
        </w:rPr>
        <w:t xml:space="preserve"> The "brain" of the platform utilizes a low-code, flow-based programming model to execute complex business logic, data transformation, and event handling. This engine operates consistently across both cloud and edge environments, providing a unified development experience.</w:t>
      </w:r>
      <w:r>
        <w:rPr>
          <w:rFonts w:eastAsia="Google Sans Text" w:cs="Google Sans Text" w:ascii="Google Sans Text" w:hAnsi="Google Sans Text"/>
          <w:sz w:val="24"/>
          <w:szCs w:val="24"/>
          <w:vertAlign w:val="superscript"/>
        </w:rPr>
        <w:t>7</w:t>
      </w:r>
    </w:p>
    <w:p>
      <w:pPr>
        <w:pStyle w:val="normal1"/>
        <w:numPr>
          <w:ilvl w:val="0"/>
          <w:numId w:val="1"/>
        </w:numPr>
        <w:pBdr/>
        <w:shd w:val="clear" w:fill="auto"/>
        <w:spacing w:lineRule="auto" w:line="273"/>
        <w:ind w:hanging="360" w:left="600"/>
        <w:rPr/>
      </w:pPr>
      <w:r>
        <w:rPr>
          <w:rFonts w:eastAsia="Google Sans Text" w:cs="Google Sans Text" w:ascii="Google Sans Text" w:hAnsi="Google Sans Text"/>
          <w:b/>
          <w:bCs/>
        </w:rPr>
        <w:t>Data Persistence Layer:</w:t>
      </w:r>
      <w:r>
        <w:rPr>
          <w:rFonts w:eastAsia="Google Sans Text" w:cs="Google Sans Text" w:ascii="Google Sans Text" w:hAnsi="Google Sans Text"/>
        </w:rPr>
        <w:t xml:space="preserve"> A tiered storage architecture distinguishes between "Hot" (real-time, time-series), "Warm" (analytical), and "Cold" (archival) data to balance performance with cost. This polyglot persistence strategy is critical for managing the high velocity of IoT data.</w:t>
      </w:r>
      <w:r>
        <w:rPr>
          <w:rFonts w:eastAsia="Google Sans Text" w:cs="Google Sans Text" w:ascii="Google Sans Text" w:hAnsi="Google Sans Text"/>
          <w:sz w:val="24"/>
          <w:szCs w:val="24"/>
          <w:vertAlign w:val="superscript"/>
        </w:rPr>
        <w:t>9</w:t>
      </w:r>
    </w:p>
    <w:p>
      <w:pPr>
        <w:pStyle w:val="normal1"/>
        <w:numPr>
          <w:ilvl w:val="0"/>
          <w:numId w:val="1"/>
        </w:numPr>
        <w:pBdr/>
        <w:shd w:val="clear" w:fill="auto"/>
        <w:spacing w:lineRule="auto" w:line="273"/>
        <w:ind w:hanging="360" w:left="600"/>
        <w:rPr/>
      </w:pPr>
      <w:r>
        <w:rPr>
          <w:rFonts w:eastAsia="Google Sans Text" w:cs="Google Sans Text" w:ascii="Google Sans Text" w:hAnsi="Google Sans Text"/>
          <w:b/>
          <w:bCs/>
        </w:rPr>
        <w:t>Application and Experience Layer:</w:t>
      </w:r>
      <w:r>
        <w:rPr>
          <w:rFonts w:eastAsia="Google Sans Text" w:cs="Google Sans Text" w:ascii="Google Sans Text" w:hAnsi="Google Sans Text"/>
        </w:rPr>
        <w:t xml:space="preserve"> The visualization and user interaction interface includes internal dashboards for operators and "End-User Experiences" that provide white-labeled, custom interfaces for consumers. This layer relies on real-time WebSocket feeds to minimize the "time-to-insight" for end-users.</w:t>
      </w:r>
      <w:r>
        <w:rPr>
          <w:rFonts w:eastAsia="Google Sans Text" w:cs="Google Sans Text" w:ascii="Google Sans Text" w:hAnsi="Google Sans Text"/>
          <w:sz w:val="24"/>
          <w:szCs w:val="24"/>
          <w:vertAlign w:val="superscript"/>
        </w:rPr>
        <w:t>7</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1.2 System-Wide Functional Mandates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To replicate or validate the efficacy of this architecture, the following high-level requirements are mandated by the system design:</w:t>
      </w:r>
    </w:p>
    <w:p>
      <w:pPr>
        <w:pStyle w:val="normal1"/>
        <w:numPr>
          <w:ilvl w:val="0"/>
          <w:numId w:val="17"/>
        </w:numPr>
        <w:pBdr/>
        <w:shd w:val="clear" w:fill="auto"/>
        <w:spacing w:lineRule="auto" w:line="273"/>
        <w:ind w:hanging="360" w:left="600"/>
        <w:rPr/>
      </w:pPr>
      <w:r>
        <w:rPr>
          <w:rFonts w:eastAsia="Google Sans Text" w:cs="Google Sans Text" w:ascii="Google Sans Text" w:hAnsi="Google Sans Text"/>
          <w:b/>
          <w:bCs/>
        </w:rPr>
        <w:t>Multi-Tenancy and Isolation:</w:t>
      </w:r>
      <w:r>
        <w:rPr>
          <w:rFonts w:eastAsia="Google Sans Text" w:cs="Google Sans Text" w:ascii="Google Sans Text" w:hAnsi="Google Sans Text"/>
        </w:rPr>
        <w:t xml:space="preserve"> The architecture must support strict logical separation of resources (devices, workflows, dashboards) via "Organizations" and "Sandboxes." This ensures that data isolation is maintained even while sharing underlying infrastructure, a critical requirement for OEMs serving multiple downstream customers.</w:t>
      </w:r>
      <w:r>
        <w:rPr>
          <w:rFonts w:eastAsia="Google Sans Text" w:cs="Google Sans Text" w:ascii="Google Sans Text" w:hAnsi="Google Sans Text"/>
          <w:sz w:val="24"/>
          <w:szCs w:val="24"/>
          <w:vertAlign w:val="superscript"/>
        </w:rPr>
        <w:t>2</w:t>
      </w:r>
    </w:p>
    <w:p>
      <w:pPr>
        <w:pStyle w:val="normal1"/>
        <w:numPr>
          <w:ilvl w:val="0"/>
          <w:numId w:val="17"/>
        </w:numPr>
        <w:pBdr/>
        <w:shd w:val="clear" w:fill="auto"/>
        <w:spacing w:lineRule="auto" w:line="273"/>
        <w:ind w:hanging="360" w:left="600"/>
        <w:rPr/>
      </w:pPr>
      <w:r>
        <w:rPr>
          <w:rFonts w:eastAsia="Google Sans Text" w:cs="Google Sans Text" w:ascii="Google Sans Text" w:hAnsi="Google Sans Text"/>
          <w:b/>
          <w:bCs/>
        </w:rPr>
        <w:t>Asynchronous Event-Driven Execution:</w:t>
      </w:r>
      <w:r>
        <w:rPr>
          <w:rFonts w:eastAsia="Google Sans Text" w:cs="Google Sans Text" w:ascii="Google Sans Text" w:hAnsi="Google Sans Text"/>
        </w:rPr>
        <w:t xml:space="preserve"> The system must utilize an asynchronous, non-blocking I/O model to handle massive concurrency of incoming device messages without thread-blocking. This suggests a heavy reliance on the Node.js ecosystem for the workflow engine and API layers.</w:t>
      </w:r>
      <w:r>
        <w:rPr>
          <w:rFonts w:eastAsia="Google Sans Text" w:cs="Google Sans Text" w:ascii="Google Sans Text" w:hAnsi="Google Sans Text"/>
          <w:sz w:val="24"/>
          <w:szCs w:val="24"/>
          <w:vertAlign w:val="superscript"/>
        </w:rPr>
        <w:t>11</w:t>
      </w:r>
    </w:p>
    <w:p>
      <w:pPr>
        <w:pStyle w:val="normal1"/>
        <w:numPr>
          <w:ilvl w:val="0"/>
          <w:numId w:val="17"/>
        </w:numPr>
        <w:pBdr/>
        <w:shd w:val="clear" w:fill="auto"/>
        <w:spacing w:lineRule="auto" w:line="273"/>
        <w:ind w:hanging="360" w:left="600"/>
        <w:rPr/>
      </w:pPr>
      <w:r>
        <w:rPr>
          <w:rFonts w:eastAsia="Google Sans Text" w:cs="Google Sans Text" w:ascii="Google Sans Text" w:hAnsi="Google Sans Text"/>
          <w:b/>
          <w:bCs/>
        </w:rPr>
        <w:t>Polyglot Persistence:</w:t>
      </w:r>
      <w:r>
        <w:rPr>
          <w:rFonts w:eastAsia="Google Sans Text" w:cs="Google Sans Text" w:ascii="Google Sans Text" w:hAnsi="Google Sans Text"/>
        </w:rPr>
        <w:t xml:space="preserve"> The system shall not rely on a single database technology but must employ specialized stores for specific data types: time-series databases for telemetry, document stores for metadata, and in-memory stores for ephemeral state.</w:t>
      </w:r>
      <w:r>
        <w:rPr>
          <w:rFonts w:eastAsia="Google Sans Text" w:cs="Google Sans Text" w:ascii="Google Sans Text" w:hAnsi="Google Sans Text"/>
          <w:sz w:val="24"/>
          <w:szCs w:val="24"/>
          <w:vertAlign w:val="superscript"/>
        </w:rPr>
        <w:t>12</w:t>
      </w:r>
    </w:p>
    <w:p>
      <w:pPr>
        <w:pStyle w:val="normal1"/>
        <w:numPr>
          <w:ilvl w:val="0"/>
          <w:numId w:val="17"/>
        </w:numPr>
        <w:pBdr/>
        <w:shd w:val="clear" w:fill="auto"/>
        <w:spacing w:lineRule="auto" w:line="273"/>
        <w:ind w:hanging="360" w:left="600"/>
        <w:rPr/>
      </w:pPr>
      <w:r>
        <w:rPr>
          <w:rFonts w:eastAsia="Google Sans Text" w:cs="Google Sans Text" w:ascii="Google Sans Text" w:hAnsi="Google Sans Text"/>
          <w:b/>
          <w:bCs/>
        </w:rPr>
        <w:t>Edge-to-Cloud Symmetry:</w:t>
      </w:r>
      <w:r>
        <w:rPr>
          <w:rFonts w:eastAsia="Google Sans Text" w:cs="Google Sans Text" w:ascii="Google Sans Text" w:hAnsi="Google Sans Text"/>
        </w:rPr>
        <w:t xml:space="preserve"> The workflow logic defined in the cloud must be deployable to edge gateways with minimal modification, ensuring that the development paradigm remains consistent regardless of the execution environment.</w:t>
      </w:r>
      <w:r>
        <w:rPr>
          <w:rFonts w:eastAsia="Google Sans Text" w:cs="Google Sans Text" w:ascii="Google Sans Text" w:hAnsi="Google Sans Text"/>
          <w:sz w:val="24"/>
          <w:szCs w:val="24"/>
          <w:vertAlign w:val="superscript"/>
        </w:rPr>
        <w:t>4</w:t>
      </w:r>
    </w:p>
    <w:p>
      <w:pPr>
        <w:pStyle w:val="Heading2"/>
        <w:pBdr/>
        <w:shd w:val="clear" w:fill="auto"/>
        <w:spacing w:lineRule="auto" w:line="273" w:before="0" w:after="225"/>
        <w:rPr>
          <w:rFonts w:ascii="Google Sans" w:hAnsi="Google Sans" w:eastAsia="Google Sans" w:cs="Google Sans"/>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rPr>
        <w:t>2. Core Technology Stack and Infrastructure Analysis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engineering underpinning the Losant platform is a sophisticated hybrid of modern, cloud-native technologies. The stack is chosen to optimize for high concurrency (handling millions of connected devices), low latency (real-time dashboards), and developer flexibility (JavaScript-based logic).</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2.1 Backend Runtime Architecture: The Node.js and Go Hybrid</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 xml:space="preserve">The primary runtime environment for the platform’s cloud services, particularly the workflow engine and API layers, is identified as </w:t>
      </w:r>
      <w:r>
        <w:rPr>
          <w:rFonts w:eastAsia="Google Sans Text" w:cs="Google Sans Text" w:ascii="Google Sans Text" w:hAnsi="Google Sans Text"/>
          <w:b/>
          <w:bCs/>
        </w:rPr>
        <w:t>Node.js</w:t>
      </w:r>
      <w:r>
        <w:rPr>
          <w:rFonts w:eastAsia="Google Sans Text" w:cs="Google Sans Text" w:ascii="Google Sans Text" w:hAnsi="Google Sans Text"/>
        </w:rPr>
        <w:t xml:space="preserve">, supplemented by </w:t>
      </w:r>
      <w:r>
        <w:rPr>
          <w:rFonts w:eastAsia="Google Sans Text" w:cs="Google Sans Text" w:ascii="Google Sans Text" w:hAnsi="Google Sans Text"/>
          <w:b/>
          <w:bCs/>
        </w:rPr>
        <w:t>Go (Golang)</w:t>
      </w:r>
      <w:r>
        <w:rPr>
          <w:rFonts w:eastAsia="Google Sans Text" w:cs="Google Sans Text" w:ascii="Google Sans Text" w:hAnsi="Google Sans Text"/>
        </w:rPr>
        <w:t xml:space="preserve"> for high-performance system components.</w:t>
      </w:r>
      <w:r>
        <w:rPr>
          <w:rFonts w:eastAsia="Google Sans Text" w:cs="Google Sans Text" w:ascii="Google Sans Text" w:hAnsi="Google Sans Text"/>
          <w:sz w:val="24"/>
          <w:szCs w:val="24"/>
          <w:vertAlign w:val="superscript"/>
        </w:rPr>
        <w:t>16</w:t>
      </w:r>
    </w:p>
    <w:p>
      <w:pPr>
        <w:pStyle w:val="Heading4"/>
        <w:pBdr/>
        <w:shd w:val="clear" w:fill="auto"/>
        <w:spacing w:lineRule="auto" w:line="273" w:before="0" w:after="255"/>
        <w:rPr>
          <w:rFonts w:ascii="Google Sans" w:hAnsi="Google Sans" w:eastAsia="Google Sans" w:cs="Google Sans"/>
        </w:rPr>
      </w:pPr>
      <w:r>
        <w:rPr>
          <w:rFonts w:eastAsia="Google Sans" w:cs="Google Sans" w:ascii="Google Sans" w:hAnsi="Google Sans"/>
        </w:rPr>
        <w:t>2.1.1 Node.js for Orchestration and I/O</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choice of Node.js for the core platform logic is driven by its event loop architecture.</w:t>
      </w:r>
    </w:p>
    <w:p>
      <w:pPr>
        <w:pStyle w:val="normal1"/>
        <w:numPr>
          <w:ilvl w:val="0"/>
          <w:numId w:val="18"/>
        </w:numPr>
        <w:pBdr/>
        <w:shd w:val="clear" w:fill="auto"/>
        <w:spacing w:lineRule="auto" w:line="273"/>
        <w:ind w:hanging="360" w:left="600"/>
        <w:rPr/>
      </w:pPr>
      <w:r>
        <w:rPr>
          <w:rFonts w:eastAsia="Google Sans Text" w:cs="Google Sans Text" w:ascii="Google Sans Text" w:hAnsi="Google Sans Text"/>
          <w:b/>
          <w:bCs/>
        </w:rPr>
        <w:t>Concurrency Requirement:</w:t>
      </w:r>
      <w:r>
        <w:rPr>
          <w:rFonts w:eastAsia="Google Sans Text" w:cs="Google Sans Text" w:ascii="Google Sans Text" w:hAnsi="Google Sans Text"/>
        </w:rPr>
        <w:t xml:space="preserve"> IoT platforms face the "C10k problem" (handling ten thousand concurrent connections) at scale. Node.js's non-blocking I/O model is ideal for handling the thousands of concurrent WebSocket connections required for real-time dashboards and the persistent TCP connections maintained by MQTT clients.</w:t>
      </w:r>
    </w:p>
    <w:p>
      <w:pPr>
        <w:pStyle w:val="normal1"/>
        <w:numPr>
          <w:ilvl w:val="0"/>
          <w:numId w:val="18"/>
        </w:numPr>
        <w:pBdr/>
        <w:shd w:val="clear" w:fill="auto"/>
        <w:spacing w:lineRule="auto" w:line="273"/>
        <w:ind w:hanging="360" w:left="600"/>
        <w:rPr/>
      </w:pPr>
      <w:r>
        <w:rPr>
          <w:rFonts w:eastAsia="Google Sans Text" w:cs="Google Sans Text" w:ascii="Google Sans Text" w:hAnsi="Google Sans Text"/>
          <w:b/>
          <w:bCs/>
        </w:rPr>
        <w:t>Workflow Compatibility:</w:t>
      </w:r>
      <w:r>
        <w:rPr>
          <w:rFonts w:eastAsia="Google Sans Text" w:cs="Google Sans Text" w:ascii="Google Sans Text" w:hAnsi="Google Sans Text"/>
        </w:rPr>
        <w:t xml:space="preserve"> The Visual Workflow Engine allows users to inject custom logic via "Function Nodes." Since these user scripts are written in JavaScript, running the host engine in Node.js allows for seamless context passing and execution of user code within the native runtime, albeit inside secure sandboxes.</w:t>
      </w:r>
      <w:r>
        <w:rPr>
          <w:rFonts w:eastAsia="Google Sans Text" w:cs="Google Sans Text" w:ascii="Google Sans Text" w:hAnsi="Google Sans Text"/>
          <w:sz w:val="24"/>
          <w:szCs w:val="24"/>
          <w:vertAlign w:val="superscript"/>
        </w:rPr>
        <w:t>11</w:t>
      </w:r>
    </w:p>
    <w:p>
      <w:pPr>
        <w:pStyle w:val="normal1"/>
        <w:numPr>
          <w:ilvl w:val="0"/>
          <w:numId w:val="18"/>
        </w:numPr>
        <w:pBdr/>
        <w:shd w:val="clear" w:fill="auto"/>
        <w:spacing w:lineRule="auto" w:line="273"/>
        <w:ind w:hanging="360" w:left="600"/>
        <w:rPr/>
      </w:pPr>
      <w:r>
        <w:rPr>
          <w:rFonts w:eastAsia="Google Sans Text" w:cs="Google Sans Text" w:ascii="Google Sans Text" w:hAnsi="Google Sans Text"/>
          <w:b/>
          <w:bCs/>
        </w:rPr>
        <w:t>Ecosystem Integration:</w:t>
      </w:r>
      <w:r>
        <w:rPr>
          <w:rFonts w:eastAsia="Google Sans Text" w:cs="Google Sans Text" w:ascii="Google Sans Text" w:hAnsi="Google Sans Text"/>
        </w:rPr>
        <w:t xml:space="preserve"> The extensive package ecosystem of Node.js supports the integration of diverse third-party APIs (Twilio, SendGrid) and protocols, which is essential for an AEP that acts as "middleware".</w:t>
      </w:r>
      <w:r>
        <w:rPr>
          <w:rFonts w:eastAsia="Google Sans Text" w:cs="Google Sans Text" w:ascii="Google Sans Text" w:hAnsi="Google Sans Text"/>
          <w:sz w:val="24"/>
          <w:szCs w:val="24"/>
          <w:vertAlign w:val="superscript"/>
        </w:rPr>
        <w:t>19</w:t>
      </w:r>
    </w:p>
    <w:p>
      <w:pPr>
        <w:pStyle w:val="Heading4"/>
        <w:pBdr/>
        <w:shd w:val="clear" w:fill="auto"/>
        <w:spacing w:lineRule="auto" w:line="273" w:before="0" w:after="255"/>
        <w:rPr>
          <w:rFonts w:ascii="Google Sans" w:hAnsi="Google Sans" w:eastAsia="Google Sans" w:cs="Google Sans"/>
        </w:rPr>
      </w:pPr>
      <w:r>
        <w:rPr>
          <w:rFonts w:eastAsia="Google Sans" w:cs="Google Sans" w:ascii="Google Sans" w:hAnsi="Google Sans"/>
        </w:rPr>
        <w:t>2.1.2 Go (Golang) for High-Throughput Infrastructure</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 xml:space="preserve">While Node.js handles orchestration, </w:t>
      </w:r>
      <w:r>
        <w:rPr>
          <w:rFonts w:eastAsia="Google Sans Text" w:cs="Google Sans Text" w:ascii="Google Sans Text" w:hAnsi="Google Sans Text"/>
          <w:b/>
          <w:bCs/>
        </w:rPr>
        <w:t>Go</w:t>
      </w:r>
      <w:r>
        <w:rPr>
          <w:rFonts w:eastAsia="Google Sans Text" w:cs="Google Sans Text" w:ascii="Google Sans Text" w:hAnsi="Google Sans Text"/>
        </w:rPr>
        <w:t xml:space="preserve"> is utilized for high-performance, system-level components.</w:t>
      </w:r>
      <w:r>
        <w:rPr>
          <w:rFonts w:eastAsia="Google Sans Text" w:cs="Google Sans Text" w:ascii="Google Sans Text" w:hAnsi="Google Sans Text"/>
          <w:sz w:val="24"/>
          <w:szCs w:val="24"/>
          <w:vertAlign w:val="superscript"/>
        </w:rPr>
        <w:t>16</w:t>
      </w:r>
    </w:p>
    <w:p>
      <w:pPr>
        <w:pStyle w:val="normal1"/>
        <w:numPr>
          <w:ilvl w:val="0"/>
          <w:numId w:val="19"/>
        </w:numPr>
        <w:pBdr/>
        <w:shd w:val="clear" w:fill="auto"/>
        <w:spacing w:lineRule="auto" w:line="273"/>
        <w:ind w:hanging="360" w:left="600"/>
        <w:rPr/>
      </w:pPr>
      <w:r>
        <w:rPr>
          <w:rFonts w:eastAsia="Google Sans Text" w:cs="Google Sans Text" w:ascii="Google Sans Text" w:hAnsi="Google Sans Text"/>
          <w:b/>
          <w:bCs/>
        </w:rPr>
        <w:t>Message Broker Performance:</w:t>
      </w:r>
      <w:r>
        <w:rPr>
          <w:rFonts w:eastAsia="Google Sans Text" w:cs="Google Sans Text" w:ascii="Google Sans Text" w:hAnsi="Google Sans Text"/>
        </w:rPr>
        <w:t xml:space="preserve"> The internal message broker and data ingestion pipelines likely leverage Go’s goroutines for efficient parallel processing. Go provides the raw throughput necessary to serialize and route millions of MQTT messages per second with lower memory overhead than a managed runtime like the JVM or V8.</w:t>
      </w:r>
      <w:r>
        <w:rPr>
          <w:rFonts w:eastAsia="Google Sans Text" w:cs="Google Sans Text" w:ascii="Google Sans Text" w:hAnsi="Google Sans Text"/>
          <w:sz w:val="24"/>
          <w:szCs w:val="24"/>
          <w:vertAlign w:val="superscript"/>
        </w:rPr>
        <w:t>17</w:t>
      </w:r>
    </w:p>
    <w:p>
      <w:pPr>
        <w:pStyle w:val="normal1"/>
        <w:numPr>
          <w:ilvl w:val="0"/>
          <w:numId w:val="19"/>
        </w:numPr>
        <w:pBdr/>
        <w:shd w:val="clear" w:fill="auto"/>
        <w:spacing w:lineRule="auto" w:line="273"/>
        <w:ind w:hanging="360" w:left="600"/>
        <w:rPr/>
      </w:pPr>
      <w:r>
        <w:rPr>
          <w:rFonts w:eastAsia="Google Sans Text" w:cs="Google Sans Text" w:ascii="Google Sans Text" w:hAnsi="Google Sans Text"/>
          <w:b/>
          <w:bCs/>
        </w:rPr>
        <w:t>Edge Agent Binaries:</w:t>
      </w:r>
      <w:r>
        <w:rPr>
          <w:rFonts w:eastAsia="Google Sans Text" w:cs="Google Sans Text" w:ascii="Google Sans Text" w:hAnsi="Google Sans Text"/>
        </w:rPr>
        <w:t xml:space="preserve"> The Gateway Edge Agent is distributed as a Docker container, but the internal binary is likely compiled in Go to ensure it remains lightweight (under 100MB) and performant on constrained hardware architectures (ARM, x86) commonly found in industrial gateways.</w:t>
      </w:r>
      <w:r>
        <w:rPr>
          <w:rFonts w:eastAsia="Google Sans Text" w:cs="Google Sans Text" w:ascii="Google Sans Text" w:hAnsi="Google Sans Text"/>
          <w:sz w:val="24"/>
          <w:szCs w:val="24"/>
          <w:vertAlign w:val="superscript"/>
        </w:rPr>
        <w:t>5</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2.2 Frontend Framework: React and Component Architecture</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 xml:space="preserve">The dashboard visualization system and the administrative console are built using </w:t>
      </w:r>
      <w:r>
        <w:rPr>
          <w:rFonts w:eastAsia="Google Sans Text" w:cs="Google Sans Text" w:ascii="Google Sans Text" w:hAnsi="Google Sans Text"/>
          <w:b/>
          <w:bCs/>
        </w:rPr>
        <w:t>React</w:t>
      </w:r>
      <w:r>
        <w:rPr>
          <w:rFonts w:eastAsia="Google Sans Text" w:cs="Google Sans Text" w:ascii="Google Sans Text" w:hAnsi="Google Sans Text"/>
        </w:rPr>
        <w:t>.</w:t>
      </w:r>
      <w:r>
        <w:rPr>
          <w:rFonts w:eastAsia="Google Sans Text" w:cs="Google Sans Text" w:ascii="Google Sans Text" w:hAnsi="Google Sans Text"/>
          <w:sz w:val="24"/>
          <w:szCs w:val="24"/>
          <w:vertAlign w:val="superscript"/>
        </w:rPr>
        <w:t>16</w:t>
      </w:r>
      <w:r>
        <w:rPr>
          <w:rFonts w:eastAsia="Google Sans Text" w:cs="Google Sans Text" w:ascii="Google Sans Text" w:hAnsi="Google Sans Text"/>
        </w:rPr>
        <w:t xml:space="preserve"> This selection is not merely aesthetic but architectural.</w:t>
      </w:r>
    </w:p>
    <w:p>
      <w:pPr>
        <w:pStyle w:val="normal1"/>
        <w:numPr>
          <w:ilvl w:val="0"/>
          <w:numId w:val="20"/>
        </w:numPr>
        <w:pBdr/>
        <w:shd w:val="clear" w:fill="auto"/>
        <w:spacing w:lineRule="auto" w:line="273"/>
        <w:ind w:hanging="360" w:left="600"/>
        <w:rPr/>
      </w:pPr>
      <w:r>
        <w:rPr>
          <w:rFonts w:eastAsia="Google Sans Text" w:cs="Google Sans Text" w:ascii="Google Sans Text" w:hAnsi="Google Sans Text"/>
          <w:b/>
          <w:bCs/>
        </w:rPr>
        <w:t>Component-Based Modularity:</w:t>
      </w:r>
      <w:r>
        <w:rPr>
          <w:rFonts w:eastAsia="Google Sans Text" w:cs="Google Sans Text" w:ascii="Google Sans Text" w:hAnsi="Google Sans Text"/>
        </w:rPr>
        <w:t xml:space="preserve"> Losant dashboards are composed of discrete "Blocks" (e.g., Gauges, Time Series graphs, GPS maps). Each block functions as an isolated React component, managing its own state, configuration, and subscription to real-time data feeds. This isolation prevents a failure in one complex block (e.g., a custom HTML block) from crashing the entire dashboard interface.</w:t>
      </w:r>
      <w:r>
        <w:rPr>
          <w:rFonts w:eastAsia="Google Sans Text" w:cs="Google Sans Text" w:ascii="Google Sans Text" w:hAnsi="Google Sans Text"/>
          <w:sz w:val="24"/>
          <w:szCs w:val="24"/>
          <w:vertAlign w:val="superscript"/>
        </w:rPr>
        <w:t>22</w:t>
      </w:r>
    </w:p>
    <w:p>
      <w:pPr>
        <w:pStyle w:val="normal1"/>
        <w:numPr>
          <w:ilvl w:val="0"/>
          <w:numId w:val="20"/>
        </w:numPr>
        <w:pBdr/>
        <w:shd w:val="clear" w:fill="auto"/>
        <w:spacing w:lineRule="auto" w:line="273"/>
        <w:ind w:hanging="360" w:left="600"/>
        <w:rPr/>
      </w:pPr>
      <w:r>
        <w:rPr>
          <w:rFonts w:eastAsia="Google Sans Text" w:cs="Google Sans Text" w:ascii="Google Sans Text" w:hAnsi="Google Sans Text"/>
          <w:b/>
          <w:bCs/>
        </w:rPr>
        <w:t>Virtual DOM for High-Frequency Updates:</w:t>
      </w:r>
      <w:r>
        <w:rPr>
          <w:rFonts w:eastAsia="Google Sans Text" w:cs="Google Sans Text" w:ascii="Google Sans Text" w:hAnsi="Google Sans Text"/>
        </w:rPr>
        <w:t xml:space="preserve"> In "Live Stream" mode, dashboards may receive updates multiple times per second. React’s Virtual DOM diffing algorithm is essential for rendering these high-frequency updates efficiently without causing browser layout thrashing and performance degradation.</w:t>
      </w:r>
      <w:r>
        <w:rPr>
          <w:rFonts w:eastAsia="Google Sans Text" w:cs="Google Sans Text" w:ascii="Google Sans Text" w:hAnsi="Google Sans Text"/>
          <w:sz w:val="24"/>
          <w:szCs w:val="24"/>
          <w:vertAlign w:val="superscript"/>
        </w:rPr>
        <w:t>22</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2.3 Polyglot Persistence Layer</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The platform eschews a monolithic database approach in favor of a specialized "Polyglot Persistence" architecture. This ensures that the storage engine matches the data access pattern.</w:t>
      </w:r>
      <w:r>
        <w:rPr>
          <w:rFonts w:eastAsia="Google Sans Text" w:cs="Google Sans Text" w:ascii="Google Sans Text" w:hAnsi="Google Sans Text"/>
          <w:sz w:val="24"/>
          <w:szCs w:val="24"/>
          <w:vertAlign w:val="superscript"/>
        </w:rPr>
        <w:t>9</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sz w:val="24"/>
          <w:szCs w:val="24"/>
          <w:vertAlign w:val="superscript"/>
        </w:rPr>
      </w:r>
    </w:p>
    <w:tbl>
      <w:tblPr>
        <w:tblStyle w:val="Table1"/>
        <w:tblW w:w="9360" w:type="dxa"/>
        <w:jc w:val="left"/>
        <w:tblInd w:w="0" w:type="dxa"/>
        <w:tblLayout w:type="fixed"/>
        <w:tblCellMar>
          <w:top w:w="0" w:type="dxa"/>
          <w:left w:w="0" w:type="dxa"/>
          <w:bottom w:w="0" w:type="dxa"/>
          <w:right w:w="0" w:type="dxa"/>
        </w:tblCellMar>
        <w:tblLook w:val="0600"/>
      </w:tblPr>
      <w:tblGrid>
        <w:gridCol w:w="2340"/>
        <w:gridCol w:w="2340"/>
        <w:gridCol w:w="2340"/>
        <w:gridCol w:w="2339"/>
      </w:tblGrid>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Storage Tier</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Technology Category</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Implementation Technology (Inferred/Cited)</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Usage Requirement</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Hot Storage</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Time-Series Database</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Proprietary / InfluxDB-like</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Stores high-velocity telemetry data. Optimized for range queries and aggregations (mean, max, min) over time windows. Data retention is strictly capped (e.g., 6-12 months) to maintain query performance.</w:t>
            </w:r>
            <w:r>
              <w:rPr>
                <w:rFonts w:eastAsia="Google Sans Text" w:cs="Google Sans Text" w:ascii="Google Sans Text" w:hAnsi="Google Sans Text"/>
                <w:sz w:val="24"/>
                <w:szCs w:val="24"/>
                <w:vertAlign w:val="superscript"/>
              </w:rPr>
              <w:t>9</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Metadata Store</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Document Store</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MongoDB</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Stores device registries, user profiles, workflow configurations, and organizational hierarchies. Its schema-less nature allows for flexible device attribute modeling (tags, attributes) without rigid schema migrations.</w:t>
            </w:r>
            <w:r>
              <w:rPr>
                <w:rFonts w:eastAsia="Google Sans Text" w:cs="Google Sans Text" w:ascii="Google Sans Text" w:hAnsi="Google Sans Text"/>
                <w:sz w:val="24"/>
                <w:szCs w:val="24"/>
                <w:vertAlign w:val="superscript"/>
              </w:rPr>
              <w:t>2</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Ephemeral State</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In-Memory Key-Value</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Redis</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Used for caching, session management, and as the backing store for the "Workflow Storage" feature, which allows inter-workflow state persistence. Also utilized for high-speed pub/sub coordination for dashboard live streams.</w:t>
            </w:r>
            <w:r>
              <w:rPr>
                <w:rFonts w:eastAsia="Google Sans Text" w:cs="Google Sans Text" w:ascii="Google Sans Text" w:hAnsi="Google Sans Text"/>
                <w:sz w:val="24"/>
                <w:szCs w:val="24"/>
                <w:vertAlign w:val="superscript"/>
              </w:rPr>
              <w:t>2</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Cold Storage</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Object Storage</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AWS S3 / GCS / Azure Blob</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Utilized for long-term archiving. Data is offloaded here for compliance and audit purposes where query latency is secondary to cost storage per gigabyte.</w:t>
            </w:r>
            <w:r>
              <w:rPr>
                <w:rFonts w:eastAsia="Google Sans Text" w:cs="Google Sans Text" w:ascii="Google Sans Text" w:hAnsi="Google Sans Text"/>
                <w:sz w:val="24"/>
                <w:szCs w:val="24"/>
                <w:vertAlign w:val="superscript"/>
              </w:rPr>
              <w:t>9</w:t>
            </w:r>
          </w:p>
        </w:tc>
      </w:tr>
    </w:tbl>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2.4 Infrastructure and Deployment Strategy</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 xml:space="preserve">The infrastructure is containerized, leveraging </w:t>
      </w:r>
      <w:r>
        <w:rPr>
          <w:rFonts w:eastAsia="Google Sans Text" w:cs="Google Sans Text" w:ascii="Google Sans Text" w:hAnsi="Google Sans Text"/>
          <w:b/>
          <w:bCs/>
        </w:rPr>
        <w:t>Docker</w:t>
      </w:r>
      <w:r>
        <w:rPr>
          <w:rFonts w:eastAsia="Google Sans Text" w:cs="Google Sans Text" w:ascii="Google Sans Text" w:hAnsi="Google Sans Text"/>
        </w:rPr>
        <w:t xml:space="preserve"> for service encapsulation, ensuring consistency between development and production environments.</w:t>
      </w:r>
      <w:r>
        <w:rPr>
          <w:rFonts w:eastAsia="Google Sans Text" w:cs="Google Sans Text" w:ascii="Google Sans Text" w:hAnsi="Google Sans Text"/>
          <w:sz w:val="24"/>
          <w:szCs w:val="24"/>
          <w:vertAlign w:val="superscript"/>
        </w:rPr>
        <w:t>5</w:t>
      </w:r>
    </w:p>
    <w:p>
      <w:pPr>
        <w:pStyle w:val="normal1"/>
        <w:numPr>
          <w:ilvl w:val="0"/>
          <w:numId w:val="21"/>
        </w:numPr>
        <w:pBdr/>
        <w:shd w:val="clear" w:fill="auto"/>
        <w:spacing w:lineRule="auto" w:line="273"/>
        <w:ind w:hanging="360" w:left="600"/>
        <w:rPr/>
      </w:pPr>
      <w:r>
        <w:rPr>
          <w:rFonts w:eastAsia="Google Sans Text" w:cs="Google Sans Text" w:ascii="Google Sans Text" w:hAnsi="Google Sans Text"/>
          <w:b/>
          <w:bCs/>
        </w:rPr>
        <w:t>Cloud Deployment:</w:t>
      </w:r>
      <w:r>
        <w:rPr>
          <w:rFonts w:eastAsia="Google Sans Text" w:cs="Google Sans Text" w:ascii="Google Sans Text" w:hAnsi="Google Sans Text"/>
        </w:rPr>
        <w:t xml:space="preserve"> The fully managed Losant Cloud operates on </w:t>
      </w:r>
      <w:r>
        <w:rPr>
          <w:rFonts w:eastAsia="Google Sans Text" w:cs="Google Sans Text" w:ascii="Google Sans Text" w:hAnsi="Google Sans Text"/>
          <w:b/>
          <w:bCs/>
        </w:rPr>
        <w:t>Google Cloud Platform (GCP)</w:t>
      </w:r>
      <w:r>
        <w:rPr>
          <w:rFonts w:eastAsia="Google Sans Text" w:cs="Google Sans Text" w:ascii="Google Sans Text" w:hAnsi="Google Sans Text"/>
        </w:rPr>
        <w:t>.</w:t>
      </w:r>
      <w:r>
        <w:rPr>
          <w:rFonts w:eastAsia="Google Sans Text" w:cs="Google Sans Text" w:ascii="Google Sans Text" w:hAnsi="Google Sans Text"/>
          <w:sz w:val="24"/>
          <w:szCs w:val="24"/>
          <w:vertAlign w:val="superscript"/>
        </w:rPr>
        <w:t>26</w:t>
      </w:r>
      <w:r>
        <w:rPr>
          <w:rFonts w:eastAsia="Google Sans Text" w:cs="Google Sans Text" w:ascii="Google Sans Text" w:hAnsi="Google Sans Text"/>
        </w:rPr>
        <w:t xml:space="preserve"> This allows the platform to leverage GCP’s global load balancing and managed Kubernetes engines for elasticity.</w:t>
      </w:r>
    </w:p>
    <w:p>
      <w:pPr>
        <w:pStyle w:val="normal1"/>
        <w:numPr>
          <w:ilvl w:val="0"/>
          <w:numId w:val="21"/>
        </w:numPr>
        <w:pBdr/>
        <w:shd w:val="clear" w:fill="auto"/>
        <w:spacing w:lineRule="auto" w:line="273"/>
        <w:ind w:hanging="360" w:left="600"/>
        <w:rPr/>
      </w:pPr>
      <w:r>
        <w:rPr>
          <w:rFonts w:eastAsia="Google Sans Text" w:cs="Google Sans Text" w:ascii="Google Sans Text" w:hAnsi="Google Sans Text"/>
          <w:b/>
          <w:bCs/>
        </w:rPr>
        <w:t>Container Orchestration:</w:t>
      </w:r>
      <w:r>
        <w:rPr>
          <w:rFonts w:eastAsia="Google Sans Text" w:cs="Google Sans Text" w:ascii="Google Sans Text" w:hAnsi="Google Sans Text"/>
        </w:rPr>
        <w:t xml:space="preserve"> While the public cloud orchestration is managed, the architecture supports private cloud deployments ("Your Cloud") and on-premises installations. In these scenarios, the microservices are likely orchestrated via </w:t>
      </w:r>
      <w:r>
        <w:rPr>
          <w:rFonts w:eastAsia="Google Sans Text" w:cs="Google Sans Text" w:ascii="Google Sans Text" w:hAnsi="Google Sans Text"/>
          <w:b/>
          <w:bCs/>
        </w:rPr>
        <w:t>Kubernetes</w:t>
      </w:r>
      <w:r>
        <w:rPr>
          <w:rFonts w:eastAsia="Google Sans Text" w:cs="Google Sans Text" w:ascii="Google Sans Text" w:hAnsi="Google Sans Text"/>
        </w:rPr>
        <w:t xml:space="preserve"> or </w:t>
      </w:r>
      <w:r>
        <w:rPr>
          <w:rFonts w:eastAsia="Google Sans Text" w:cs="Google Sans Text" w:ascii="Google Sans Text" w:hAnsi="Google Sans Text"/>
          <w:b/>
          <w:bCs/>
        </w:rPr>
        <w:t>Docker Swarm</w:t>
      </w:r>
      <w:r>
        <w:rPr>
          <w:rFonts w:eastAsia="Google Sans Text" w:cs="Google Sans Text" w:ascii="Google Sans Text" w:hAnsi="Google Sans Text"/>
        </w:rPr>
        <w:t>, depending on the enterprise's complexity requirements. The snippets highlight a comparison between Docker Swarm and Kubernetes, suggesting the platform can adapt to either, though Kubernetes is the de facto standard for large-scale enterprise clusters.</w:t>
      </w:r>
      <w:r>
        <w:rPr>
          <w:rFonts w:eastAsia="Google Sans Text" w:cs="Google Sans Text" w:ascii="Google Sans Text" w:hAnsi="Google Sans Text"/>
          <w:sz w:val="24"/>
          <w:szCs w:val="24"/>
          <w:vertAlign w:val="superscript"/>
        </w:rPr>
        <w:t>27</w:t>
      </w:r>
    </w:p>
    <w:p>
      <w:pPr>
        <w:pStyle w:val="normal1"/>
        <w:numPr>
          <w:ilvl w:val="0"/>
          <w:numId w:val="21"/>
        </w:numPr>
        <w:pBdr/>
        <w:shd w:val="clear" w:fill="auto"/>
        <w:spacing w:lineRule="auto" w:line="273"/>
        <w:ind w:hanging="360" w:left="600"/>
        <w:rPr/>
      </w:pPr>
      <w:r>
        <w:rPr>
          <w:rFonts w:eastAsia="Google Sans Text" w:cs="Google Sans Text" w:ascii="Google Sans Text" w:hAnsi="Google Sans Text"/>
          <w:b/>
          <w:bCs/>
        </w:rPr>
        <w:t>Edge Portability:</w:t>
      </w:r>
      <w:r>
        <w:rPr>
          <w:rFonts w:eastAsia="Google Sans Text" w:cs="Google Sans Text" w:ascii="Google Sans Text" w:hAnsi="Google Sans Text"/>
        </w:rPr>
        <w:t xml:space="preserve"> The Gateway Edge Agent is deployed strictly as a Docker container. This design decision abstracts the underlying hardware complexity, allowing the exact same workflow logic to execute on a Raspberry Pi, a server-class rack, or a hardened industrial gateway, provided they can host a Docker engine.</w:t>
      </w:r>
      <w:r>
        <w:rPr>
          <w:rFonts w:eastAsia="Google Sans Text" w:cs="Google Sans Text" w:ascii="Google Sans Text" w:hAnsi="Google Sans Text"/>
          <w:sz w:val="24"/>
          <w:szCs w:val="24"/>
          <w:vertAlign w:val="superscript"/>
        </w:rPr>
        <w:t>5</w:t>
      </w:r>
    </w:p>
    <w:p>
      <w:pPr>
        <w:pStyle w:val="Heading2"/>
        <w:pBdr/>
        <w:shd w:val="clear" w:fill="auto"/>
        <w:spacing w:lineRule="auto" w:line="273" w:before="0" w:after="225"/>
        <w:rPr>
          <w:rFonts w:ascii="Google Sans" w:hAnsi="Google Sans" w:eastAsia="Google Sans" w:cs="Google Sans"/>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rPr>
        <w:t>3. Communications and Messaging Architecture</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central nervous system of the Losant architecture is its connectivity layer, governed primarily by the MQTT protocol. This layer handles the massive influx of data and ensures secure, reliable communication between the edge and the cloud.</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3.1 MQTT Broker Architecture and Requirements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platform provides a managed, cloud-native MQTT Broker that serves as the primary ingress point.</w:t>
      </w:r>
    </w:p>
    <w:p>
      <w:pPr>
        <w:pStyle w:val="normal1"/>
        <w:numPr>
          <w:ilvl w:val="0"/>
          <w:numId w:val="22"/>
        </w:numPr>
        <w:pBdr/>
        <w:shd w:val="clear" w:fill="auto"/>
        <w:spacing w:lineRule="auto" w:line="273"/>
        <w:ind w:hanging="360" w:left="600"/>
        <w:rPr/>
      </w:pPr>
      <w:r>
        <w:rPr>
          <w:rFonts w:eastAsia="Google Sans Text" w:cs="Google Sans Text" w:ascii="Google Sans Text" w:hAnsi="Google Sans Text"/>
          <w:b/>
          <w:bCs/>
        </w:rPr>
        <w:t>Namespace Architecture:</w:t>
      </w:r>
    </w:p>
    <w:p>
      <w:pPr>
        <w:pStyle w:val="normal1"/>
        <w:numPr>
          <w:ilvl w:val="1"/>
          <w:numId w:val="23"/>
        </w:numPr>
        <w:pBdr/>
        <w:shd w:val="clear" w:fill="auto"/>
        <w:spacing w:lineRule="auto" w:line="273"/>
        <w:ind w:hanging="360" w:left="1200"/>
        <w:rPr/>
      </w:pPr>
      <w:r>
        <w:rPr>
          <w:rFonts w:eastAsia="Google Sans Text" w:cs="Google Sans Text" w:ascii="Google Sans Text" w:hAnsi="Google Sans Text"/>
          <w:b/>
          <w:bCs/>
        </w:rPr>
        <w:t>System Topics:</w:t>
      </w:r>
      <w:r>
        <w:rPr>
          <w:rFonts w:eastAsia="Google Sans Text" w:cs="Google Sans Text" w:ascii="Google Sans Text" w:hAnsi="Google Sans Text"/>
        </w:rPr>
        <w:t xml:space="preserve"> The broker reserves specific topic structures for internal platform functions. losant/&lt;DEVICE_ID&gt;/state is mandated for standardized telemetry reporting, and losant/&lt;DEVICE_ID&gt;/command is used for cloud-to-device control messages.</w:t>
      </w:r>
    </w:p>
    <w:p>
      <w:pPr>
        <w:pStyle w:val="normal1"/>
        <w:numPr>
          <w:ilvl w:val="1"/>
          <w:numId w:val="23"/>
        </w:numPr>
        <w:pBdr/>
        <w:shd w:val="clear" w:fill="auto"/>
        <w:spacing w:lineRule="auto" w:line="273"/>
        <w:ind w:hanging="360" w:left="1200"/>
        <w:rPr/>
      </w:pPr>
      <w:r>
        <w:rPr>
          <w:rFonts w:eastAsia="Google Sans Text" w:cs="Google Sans Text" w:ascii="Google Sans Text" w:hAnsi="Google Sans Text"/>
          <w:b/>
          <w:bCs/>
        </w:rPr>
        <w:t>Unified Namespace (UNS) Support:</w:t>
      </w:r>
      <w:r>
        <w:rPr>
          <w:rFonts w:eastAsia="Google Sans Text" w:cs="Google Sans Text" w:ascii="Google Sans Text" w:hAnsi="Google Sans Text"/>
        </w:rPr>
        <w:t xml:space="preserve"> Crucially, the broker supports </w:t>
      </w:r>
      <w:r>
        <w:rPr>
          <w:rFonts w:eastAsia="Google Sans Text" w:cs="Google Sans Text" w:ascii="Google Sans Text" w:hAnsi="Google Sans Text"/>
          <w:i/>
          <w:iCs/>
        </w:rPr>
        <w:t>custom</w:t>
      </w:r>
      <w:r>
        <w:rPr>
          <w:rFonts w:eastAsia="Google Sans Text" w:cs="Google Sans Text" w:ascii="Google Sans Text" w:hAnsi="Google Sans Text"/>
        </w:rPr>
        <w:t xml:space="preserve"> topic structures (e.g., factory/line1/machine5/vibration). This feature allows enterprises to implement a Unified Namespace architecture, mapping the topic hierarchy to the physical reality of the manufacturing floor (ISA-95 standard) rather than an arbitrary flat ID list. This decoupling of data structure from device identity is a key requirement for modern IIoT scalability.</w:t>
      </w:r>
      <w:r>
        <w:rPr>
          <w:rFonts w:eastAsia="Google Sans Text" w:cs="Google Sans Text" w:ascii="Google Sans Text" w:hAnsi="Google Sans Text"/>
          <w:sz w:val="24"/>
          <w:szCs w:val="24"/>
          <w:vertAlign w:val="superscript"/>
        </w:rPr>
        <w:t>3</w:t>
      </w:r>
    </w:p>
    <w:p>
      <w:pPr>
        <w:pStyle w:val="normal1"/>
        <w:numPr>
          <w:ilvl w:val="0"/>
          <w:numId w:val="22"/>
        </w:numPr>
        <w:pBdr/>
        <w:shd w:val="clear" w:fill="auto"/>
        <w:spacing w:lineRule="auto" w:line="273"/>
        <w:ind w:hanging="360" w:left="600"/>
        <w:rPr/>
      </w:pPr>
      <w:r>
        <w:rPr>
          <w:rFonts w:eastAsia="Google Sans Text" w:cs="Google Sans Text" w:ascii="Google Sans Text" w:hAnsi="Google Sans Text"/>
          <w:b/>
          <w:bCs/>
        </w:rPr>
        <w:t>Security Integration:</w:t>
      </w:r>
      <w:r>
        <w:rPr>
          <w:rFonts w:eastAsia="Google Sans Text" w:cs="Google Sans Text" w:ascii="Google Sans Text" w:hAnsi="Google Sans Text"/>
        </w:rPr>
        <w:t xml:space="preserve"> The broker is tightly coupled with the platform's Access Control Lists (ACLs). Device Access Keys are not binary (allow/deny) but scoped. An Access Key can be restricted to publish only on specific custom topic paths (e.g., site-a/sensors/#), enforcing the principle of least privilege.</w:t>
      </w:r>
      <w:r>
        <w:rPr>
          <w:rFonts w:eastAsia="Google Sans Text" w:cs="Google Sans Text" w:ascii="Google Sans Text" w:hAnsi="Google Sans Text"/>
          <w:sz w:val="24"/>
          <w:szCs w:val="24"/>
          <w:vertAlign w:val="superscript"/>
        </w:rPr>
        <w:t>29</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3.2 Internal Messaging Bus: NATS vs. Kafka</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Behind the public-facing MQTT broker, the architecture requires a high-throughput internal messaging bus to route messages to the Workflow Engine and Data Storage services.</w:t>
      </w:r>
    </w:p>
    <w:p>
      <w:pPr>
        <w:pStyle w:val="normal1"/>
        <w:numPr>
          <w:ilvl w:val="0"/>
          <w:numId w:val="24"/>
        </w:numPr>
        <w:pBdr/>
        <w:shd w:val="clear" w:fill="auto"/>
        <w:spacing w:lineRule="auto" w:line="273"/>
        <w:ind w:hanging="360" w:left="600"/>
        <w:rPr/>
      </w:pPr>
      <w:r>
        <w:rPr>
          <w:rFonts w:eastAsia="Google Sans Text" w:cs="Google Sans Text" w:ascii="Google Sans Text" w:hAnsi="Google Sans Text"/>
          <w:b/>
          <w:bCs/>
        </w:rPr>
        <w:t>Architectural Analysis:</w:t>
      </w:r>
      <w:r>
        <w:rPr>
          <w:rFonts w:eastAsia="Google Sans Text" w:cs="Google Sans Text" w:ascii="Google Sans Text" w:hAnsi="Google Sans Text"/>
        </w:rPr>
        <w:t xml:space="preserve"> While huge-scale systems often use </w:t>
      </w:r>
      <w:r>
        <w:rPr>
          <w:rFonts w:eastAsia="Google Sans Text" w:cs="Google Sans Text" w:ascii="Google Sans Text" w:hAnsi="Google Sans Text"/>
          <w:b/>
          <w:bCs/>
        </w:rPr>
        <w:t>Apache Kafka</w:t>
      </w:r>
      <w:r>
        <w:rPr>
          <w:rFonts w:eastAsia="Google Sans Text" w:cs="Google Sans Text" w:ascii="Google Sans Text" w:hAnsi="Google Sans Text"/>
        </w:rPr>
        <w:t xml:space="preserve"> for its log-based persistence, Losant’s requirement for low-latency, "fire-and-forget" speed for real-time dashboards aligns closer to </w:t>
      </w:r>
      <w:r>
        <w:rPr>
          <w:rFonts w:eastAsia="Google Sans Text" w:cs="Google Sans Text" w:ascii="Google Sans Text" w:hAnsi="Google Sans Text"/>
          <w:b/>
          <w:bCs/>
        </w:rPr>
        <w:t>NATS</w:t>
      </w:r>
      <w:r>
        <w:rPr>
          <w:rFonts w:eastAsia="Google Sans Text" w:cs="Google Sans Text" w:ascii="Google Sans Text" w:hAnsi="Google Sans Text"/>
        </w:rPr>
        <w:t>.</w:t>
      </w:r>
      <w:r>
        <w:rPr>
          <w:rFonts w:eastAsia="Google Sans Text" w:cs="Google Sans Text" w:ascii="Google Sans Text" w:hAnsi="Google Sans Text"/>
          <w:sz w:val="24"/>
          <w:szCs w:val="24"/>
          <w:vertAlign w:val="superscript"/>
        </w:rPr>
        <w:t>31</w:t>
      </w:r>
      <w:r>
        <w:rPr>
          <w:rFonts w:eastAsia="Google Sans Text" w:cs="Google Sans Text" w:ascii="Google Sans Text" w:hAnsi="Google Sans Text"/>
        </w:rPr>
        <w:t xml:space="preserve"> NATS offers lower latency and simpler operational overhead compared to Kafka, making it ideal for the internal routing of ephemeral telemetry data where millisecond delays matter more than infinite log retention.</w:t>
      </w:r>
    </w:p>
    <w:p>
      <w:pPr>
        <w:pStyle w:val="normal1"/>
        <w:numPr>
          <w:ilvl w:val="0"/>
          <w:numId w:val="24"/>
        </w:numPr>
        <w:pBdr/>
        <w:shd w:val="clear" w:fill="auto"/>
        <w:spacing w:lineRule="auto" w:line="273"/>
        <w:ind w:hanging="360" w:left="600"/>
        <w:rPr/>
      </w:pPr>
      <w:r>
        <w:rPr>
          <w:rFonts w:eastAsia="Google Sans Text" w:cs="Google Sans Text" w:ascii="Google Sans Text" w:hAnsi="Google Sans Text"/>
          <w:b/>
          <w:bCs/>
        </w:rPr>
        <w:t>Integration Implications:</w:t>
      </w:r>
      <w:r>
        <w:rPr>
          <w:rFonts w:eastAsia="Google Sans Text" w:cs="Google Sans Text" w:ascii="Google Sans Text" w:hAnsi="Google Sans Text"/>
        </w:rPr>
        <w:t xml:space="preserve"> The presence of NATS-like characteristics implies the system is optimized for </w:t>
      </w:r>
      <w:r>
        <w:rPr>
          <w:rFonts w:eastAsia="Google Sans Text" w:cs="Google Sans Text" w:ascii="Google Sans Text" w:hAnsi="Google Sans Text"/>
          <w:i/>
          <w:iCs/>
        </w:rPr>
        <w:t>stream processing</w:t>
      </w:r>
      <w:r>
        <w:rPr>
          <w:rFonts w:eastAsia="Google Sans Text" w:cs="Google Sans Text" w:ascii="Google Sans Text" w:hAnsi="Google Sans Text"/>
        </w:rPr>
        <w:t xml:space="preserve"> rather than </w:t>
      </w:r>
      <w:r>
        <w:rPr>
          <w:rFonts w:eastAsia="Google Sans Text" w:cs="Google Sans Text" w:ascii="Google Sans Text" w:hAnsi="Google Sans Text"/>
          <w:i/>
          <w:iCs/>
        </w:rPr>
        <w:t>batch processing</w:t>
      </w:r>
      <w:r>
        <w:rPr>
          <w:rFonts w:eastAsia="Google Sans Text" w:cs="Google Sans Text" w:ascii="Google Sans Text" w:hAnsi="Google Sans Text"/>
        </w:rPr>
        <w:t xml:space="preserve"> at the ingestion layer, reinforcing the requirement for real-time workflows over batch analytics.</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3.3 HTTP and WebSocket Ingestion</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For devices or services that cannot speak MQTT, the architecture provides robust HTTP and WebSocket interfaces.</w:t>
      </w:r>
    </w:p>
    <w:p>
      <w:pPr>
        <w:pStyle w:val="normal1"/>
        <w:numPr>
          <w:ilvl w:val="0"/>
          <w:numId w:val="25"/>
        </w:numPr>
        <w:pBdr/>
        <w:shd w:val="clear" w:fill="auto"/>
        <w:spacing w:lineRule="auto" w:line="273"/>
        <w:ind w:hanging="360" w:left="600"/>
        <w:rPr/>
      </w:pPr>
      <w:r>
        <w:rPr>
          <w:rFonts w:eastAsia="Google Sans Text" w:cs="Google Sans Text" w:ascii="Google Sans Text" w:hAnsi="Google Sans Text"/>
          <w:b/>
          <w:bCs/>
        </w:rPr>
        <w:t>Webhooks:</w:t>
      </w:r>
      <w:r>
        <w:rPr>
          <w:rFonts w:eastAsia="Google Sans Text" w:cs="Google Sans Text" w:ascii="Google Sans Text" w:hAnsi="Google Sans Text"/>
        </w:rPr>
        <w:t xml:space="preserve"> The system can generate unique URL endpoints (Webhooks) that trigger workflow logic. This is the standard integration pattern for third-party clouds (e.g., Particle, Sigfox).</w:t>
      </w:r>
      <w:r>
        <w:rPr>
          <w:rFonts w:eastAsia="Google Sans Text" w:cs="Google Sans Text" w:ascii="Google Sans Text" w:hAnsi="Google Sans Text"/>
          <w:sz w:val="24"/>
          <w:szCs w:val="24"/>
          <w:vertAlign w:val="superscript"/>
        </w:rPr>
        <w:t>19</w:t>
      </w:r>
    </w:p>
    <w:p>
      <w:pPr>
        <w:pStyle w:val="normal1"/>
        <w:numPr>
          <w:ilvl w:val="0"/>
          <w:numId w:val="25"/>
        </w:numPr>
        <w:pBdr/>
        <w:shd w:val="clear" w:fill="auto"/>
        <w:spacing w:lineRule="auto" w:line="273"/>
        <w:ind w:hanging="360" w:left="600"/>
        <w:rPr/>
      </w:pPr>
      <w:r>
        <w:rPr>
          <w:rFonts w:eastAsia="Google Sans Text" w:cs="Google Sans Text" w:ascii="Google Sans Text" w:hAnsi="Google Sans Text"/>
          <w:b/>
          <w:bCs/>
        </w:rPr>
        <w:t>WebSocket Triggers:</w:t>
      </w:r>
      <w:r>
        <w:rPr>
          <w:rFonts w:eastAsia="Google Sans Text" w:cs="Google Sans Text" w:ascii="Google Sans Text" w:hAnsi="Google Sans Text"/>
        </w:rPr>
        <w:t xml:space="preserve"> A critical evolution in the architecture is the support for </w:t>
      </w:r>
      <w:r>
        <w:rPr>
          <w:rFonts w:eastAsia="Google Sans Text" w:cs="Google Sans Text" w:ascii="Google Sans Text" w:hAnsi="Google Sans Text"/>
          <w:b/>
          <w:bCs/>
        </w:rPr>
        <w:t>WebSocket</w:t>
      </w:r>
      <w:r>
        <w:rPr>
          <w:rFonts w:eastAsia="Google Sans Text" w:cs="Google Sans Text" w:ascii="Google Sans Text" w:hAnsi="Google Sans Text"/>
        </w:rPr>
        <w:t xml:space="preserve"> connections for ingestion. Unlike stateless HTTP POSTs, a WebSocket connection is persistent.</w:t>
      </w:r>
    </w:p>
    <w:p>
      <w:pPr>
        <w:pStyle w:val="normal1"/>
        <w:numPr>
          <w:ilvl w:val="1"/>
          <w:numId w:val="26"/>
        </w:numPr>
        <w:pBdr/>
        <w:shd w:val="clear" w:fill="auto"/>
        <w:spacing w:lineRule="auto" w:line="273"/>
        <w:ind w:hanging="360" w:left="1200"/>
        <w:rPr/>
      </w:pPr>
      <w:r>
        <w:rPr>
          <w:rFonts w:eastAsia="Google Sans Text" w:cs="Google Sans Text" w:ascii="Google Sans Text" w:hAnsi="Google Sans Text"/>
          <w:i/>
          <w:iCs/>
        </w:rPr>
        <w:t>Requirement:</w:t>
      </w:r>
      <w:r>
        <w:rPr>
          <w:rFonts w:eastAsia="Google Sans Text" w:cs="Google Sans Text" w:ascii="Google Sans Text" w:hAnsi="Google Sans Text"/>
        </w:rPr>
        <w:t xml:space="preserve"> The architecture must handle the "framing" of WebSocket messages. Since WebSockets deliver a stream of raw bytes, the workflow engine (specifically the WebSocket Trigger) must be configured to identify message boundaries (e.g., new line, JSON object) to trigger execution events correctly.</w:t>
      </w:r>
      <w:r>
        <w:rPr>
          <w:rFonts w:eastAsia="Google Sans Text" w:cs="Google Sans Text" w:ascii="Google Sans Text" w:hAnsi="Google Sans Text"/>
          <w:sz w:val="24"/>
          <w:szCs w:val="24"/>
          <w:vertAlign w:val="superscript"/>
        </w:rPr>
        <w:t>33</w:t>
      </w:r>
    </w:p>
    <w:p>
      <w:pPr>
        <w:pStyle w:val="Heading2"/>
        <w:pBdr/>
        <w:shd w:val="clear" w:fill="auto"/>
        <w:spacing w:lineRule="auto" w:line="273" w:before="0" w:after="225"/>
        <w:rPr>
          <w:rFonts w:ascii="Google Sans" w:hAnsi="Google Sans" w:eastAsia="Google Sans" w:cs="Google Sans"/>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rPr>
        <w:t>4. Visual Workflow Engine: Architecture and Requirements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Visual Workflow Engine is the core logical processing unit of the platform. It abstracts complex programming logic into a visual, node-based flow while retaining the power of full code execution when necessary. It is designed to run ubiquitously in the cloud and on the edge.</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4.1 Flow-Based Programming (FBP) Paradigm</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 xml:space="preserve">The engine operates on a </w:t>
      </w:r>
      <w:r>
        <w:rPr>
          <w:rFonts w:eastAsia="Google Sans Text" w:cs="Google Sans Text" w:ascii="Google Sans Text" w:hAnsi="Google Sans Text"/>
          <w:b/>
          <w:bCs/>
        </w:rPr>
        <w:t>Flow-Based Programming</w:t>
      </w:r>
      <w:r>
        <w:rPr>
          <w:rFonts w:eastAsia="Google Sans Text" w:cs="Google Sans Text" w:ascii="Google Sans Text" w:hAnsi="Google Sans Text"/>
        </w:rPr>
        <w:t xml:space="preserve"> paradigm. Processing is defined as a network of "black box" processes (nodes) which exchange data across predefined connections.</w:t>
      </w:r>
    </w:p>
    <w:p>
      <w:pPr>
        <w:pStyle w:val="normal1"/>
        <w:numPr>
          <w:ilvl w:val="0"/>
          <w:numId w:val="27"/>
        </w:numPr>
        <w:pBdr/>
        <w:shd w:val="clear" w:fill="auto"/>
        <w:spacing w:lineRule="auto" w:line="273"/>
        <w:ind w:hanging="360" w:left="600"/>
        <w:rPr/>
      </w:pPr>
      <w:r>
        <w:rPr>
          <w:rFonts w:eastAsia="Google Sans Text" w:cs="Google Sans Text" w:ascii="Google Sans Text" w:hAnsi="Google Sans Text"/>
          <w:b/>
          <w:bCs/>
        </w:rPr>
        <w:t>Payload Propagation:</w:t>
      </w:r>
      <w:r>
        <w:rPr>
          <w:rFonts w:eastAsia="Google Sans Text" w:cs="Google Sans Text" w:ascii="Google Sans Text" w:hAnsi="Google Sans Text"/>
        </w:rPr>
        <w:t xml:space="preserve"> Every workflow execution begins with a payload object. This JSON object traverses the workflow from the Trigger node downwards. Each node in the path receives the payload, performs an operation (mutation, I/O, or logic), and passes the modified payload to the next node.</w:t>
      </w:r>
      <w:r>
        <w:rPr>
          <w:rFonts w:eastAsia="Google Sans Text" w:cs="Google Sans Text" w:ascii="Google Sans Text" w:hAnsi="Google Sans Text"/>
          <w:sz w:val="24"/>
          <w:szCs w:val="24"/>
          <w:vertAlign w:val="superscript"/>
        </w:rPr>
        <w:t>8</w:t>
      </w:r>
    </w:p>
    <w:p>
      <w:pPr>
        <w:pStyle w:val="normal1"/>
        <w:numPr>
          <w:ilvl w:val="0"/>
          <w:numId w:val="27"/>
        </w:numPr>
        <w:pBdr/>
        <w:shd w:val="clear" w:fill="auto"/>
        <w:spacing w:lineRule="auto" w:line="273"/>
        <w:ind w:hanging="360" w:left="600"/>
        <w:rPr/>
      </w:pPr>
      <w:r>
        <w:rPr>
          <w:rFonts w:eastAsia="Google Sans Text" w:cs="Google Sans Text" w:ascii="Google Sans Text" w:hAnsi="Google Sans Text"/>
          <w:b/>
          <w:bCs/>
        </w:rPr>
        <w:t>Stateless vs. Stateful Execution:</w:t>
      </w:r>
    </w:p>
    <w:p>
      <w:pPr>
        <w:pStyle w:val="normal1"/>
        <w:numPr>
          <w:ilvl w:val="1"/>
          <w:numId w:val="28"/>
        </w:numPr>
        <w:pBdr/>
        <w:shd w:val="clear" w:fill="auto"/>
        <w:spacing w:lineRule="auto" w:line="273"/>
        <w:ind w:hanging="360" w:left="1200"/>
        <w:rPr/>
      </w:pPr>
      <w:r>
        <w:rPr>
          <w:rFonts w:eastAsia="Google Sans Text" w:cs="Google Sans Text" w:ascii="Google Sans Text" w:hAnsi="Google Sans Text"/>
          <w:b/>
          <w:bCs/>
        </w:rPr>
        <w:t>Application Workflows:</w:t>
      </w:r>
      <w:r>
        <w:rPr>
          <w:rFonts w:eastAsia="Google Sans Text" w:cs="Google Sans Text" w:ascii="Google Sans Text" w:hAnsi="Google Sans Text"/>
        </w:rPr>
        <w:t xml:space="preserve"> These are generally stateless between executions. Each run is independent, triggered by a discrete event.</w:t>
      </w:r>
    </w:p>
    <w:p>
      <w:pPr>
        <w:pStyle w:val="normal1"/>
        <w:numPr>
          <w:ilvl w:val="1"/>
          <w:numId w:val="28"/>
        </w:numPr>
        <w:pBdr/>
        <w:shd w:val="clear" w:fill="auto"/>
        <w:spacing w:lineRule="auto" w:line="273"/>
        <w:ind w:hanging="360" w:left="1200"/>
        <w:rPr/>
      </w:pPr>
      <w:r>
        <w:rPr>
          <w:rFonts w:eastAsia="Google Sans Text" w:cs="Google Sans Text" w:ascii="Google Sans Text" w:hAnsi="Google Sans Text"/>
          <w:b/>
          <w:bCs/>
        </w:rPr>
        <w:t>State Persistence:</w:t>
      </w:r>
      <w:r>
        <w:rPr>
          <w:rFonts w:eastAsia="Google Sans Text" w:cs="Google Sans Text" w:ascii="Google Sans Text" w:hAnsi="Google Sans Text"/>
        </w:rPr>
        <w:t xml:space="preserve"> To maintain state across runs (e.g., "count the number of errors in the last hour"), the architecture provides persistent </w:t>
      </w:r>
      <w:r>
        <w:rPr>
          <w:rFonts w:eastAsia="Google Sans Text" w:cs="Google Sans Text" w:ascii="Google Sans Text" w:hAnsi="Google Sans Text"/>
          <w:b/>
          <w:bCs/>
        </w:rPr>
        <w:t>Workflow Storage</w:t>
      </w:r>
      <w:r>
        <w:rPr>
          <w:rFonts w:eastAsia="Google Sans Text" w:cs="Google Sans Text" w:ascii="Google Sans Text" w:hAnsi="Google Sans Text"/>
        </w:rPr>
        <w:t xml:space="preserve"> keys backed by Redis. This allows workflows to function as state machines.</w:t>
      </w:r>
      <w:r>
        <w:rPr>
          <w:rFonts w:eastAsia="Google Sans Text" w:cs="Google Sans Text" w:ascii="Google Sans Text" w:hAnsi="Google Sans Text"/>
          <w:sz w:val="24"/>
          <w:szCs w:val="24"/>
          <w:vertAlign w:val="superscript"/>
        </w:rPr>
        <w:t>35</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4.2 Resource Limits and Sandboxing Requirements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To maintain the stability of the multi-tenant environment, the workflow engine enforces strict architectural limits.</w:t>
      </w:r>
    </w:p>
    <w:p>
      <w:pPr>
        <w:pStyle w:val="normal1"/>
        <w:numPr>
          <w:ilvl w:val="0"/>
          <w:numId w:val="29"/>
        </w:numPr>
        <w:pBdr/>
        <w:shd w:val="clear" w:fill="auto"/>
        <w:spacing w:lineRule="auto" w:line="273"/>
        <w:ind w:hanging="360" w:left="600"/>
        <w:rPr/>
      </w:pPr>
      <w:r>
        <w:rPr>
          <w:rFonts w:eastAsia="Google Sans Text" w:cs="Google Sans Text" w:ascii="Google Sans Text" w:hAnsi="Google Sans Text"/>
          <w:b/>
          <w:bCs/>
        </w:rPr>
        <w:t>Execution Timeouts:</w:t>
      </w:r>
      <w:r>
        <w:rPr>
          <w:rFonts w:eastAsia="Google Sans Text" w:cs="Google Sans Text" w:ascii="Google Sans Text" w:hAnsi="Google Sans Text"/>
        </w:rPr>
        <w:t xml:space="preserve"> Cloud workflows are subject to a </w:t>
      </w:r>
      <w:r>
        <w:rPr>
          <w:rFonts w:eastAsia="Google Sans Text" w:cs="Google Sans Text" w:ascii="Google Sans Text" w:hAnsi="Google Sans Text"/>
          <w:b/>
          <w:bCs/>
        </w:rPr>
        <w:t>60-second timeout</w:t>
      </w:r>
      <w:r>
        <w:rPr>
          <w:rFonts w:eastAsia="Google Sans Text" w:cs="Google Sans Text" w:ascii="Google Sans Text" w:hAnsi="Google Sans Text"/>
        </w:rPr>
        <w:t>. If a workflow execution (including all API calls and loops) exceeds this duration, the process is terminated. This requirement forces long-running tasks to be architected as asynchronous "Resource Jobs" rather than synchronous workflow paths.</w:t>
      </w:r>
      <w:r>
        <w:rPr>
          <w:rFonts w:eastAsia="Google Sans Text" w:cs="Google Sans Text" w:ascii="Google Sans Text" w:hAnsi="Google Sans Text"/>
          <w:sz w:val="24"/>
          <w:szCs w:val="24"/>
          <w:vertAlign w:val="superscript"/>
        </w:rPr>
        <w:t>34</w:t>
      </w:r>
    </w:p>
    <w:p>
      <w:pPr>
        <w:pStyle w:val="normal1"/>
        <w:numPr>
          <w:ilvl w:val="0"/>
          <w:numId w:val="29"/>
        </w:numPr>
        <w:pBdr/>
        <w:shd w:val="clear" w:fill="auto"/>
        <w:spacing w:lineRule="auto" w:line="273"/>
        <w:ind w:hanging="360" w:left="600"/>
        <w:rPr/>
      </w:pPr>
      <w:r>
        <w:rPr>
          <w:rFonts w:eastAsia="Google Sans Text" w:cs="Google Sans Text" w:ascii="Google Sans Text" w:hAnsi="Google Sans Text"/>
          <w:b/>
          <w:bCs/>
        </w:rPr>
        <w:t>Payload Size:</w:t>
      </w:r>
      <w:r>
        <w:rPr>
          <w:rFonts w:eastAsia="Google Sans Text" w:cs="Google Sans Text" w:ascii="Google Sans Text" w:hAnsi="Google Sans Text"/>
        </w:rPr>
        <w:t xml:space="preserve"> The maximum payload size for a workflow execution is </w:t>
      </w:r>
      <w:r>
        <w:rPr>
          <w:rFonts w:eastAsia="Google Sans Text" w:cs="Google Sans Text" w:ascii="Google Sans Text" w:hAnsi="Google Sans Text"/>
          <w:b/>
          <w:bCs/>
        </w:rPr>
        <w:t>5MB</w:t>
      </w:r>
      <w:r>
        <w:rPr>
          <w:rFonts w:eastAsia="Google Sans Text" w:cs="Google Sans Text" w:ascii="Google Sans Text" w:hAnsi="Google Sans Text"/>
        </w:rPr>
        <w:t xml:space="preserve">. This limit prevents memory exhaustion in the Node.js runtime. Architecturally, this requires that large datasets (e.g., images, large logs) be stored in object storage (S3) with only the </w:t>
      </w:r>
      <w:r>
        <w:rPr>
          <w:rFonts w:eastAsia="Google Sans Text" w:cs="Google Sans Text" w:ascii="Google Sans Text" w:hAnsi="Google Sans Text"/>
          <w:i/>
          <w:iCs/>
        </w:rPr>
        <w:t>reference URL</w:t>
      </w:r>
      <w:r>
        <w:rPr>
          <w:rFonts w:eastAsia="Google Sans Text" w:cs="Google Sans Text" w:ascii="Google Sans Text" w:hAnsi="Google Sans Text"/>
        </w:rPr>
        <w:t xml:space="preserve"> passed through the workflow, rather than the raw data itself.</w:t>
      </w:r>
      <w:r>
        <w:rPr>
          <w:rFonts w:eastAsia="Google Sans Text" w:cs="Google Sans Text" w:ascii="Google Sans Text" w:hAnsi="Google Sans Text"/>
          <w:sz w:val="24"/>
          <w:szCs w:val="24"/>
          <w:vertAlign w:val="superscript"/>
        </w:rPr>
        <w:t>18</w:t>
      </w:r>
    </w:p>
    <w:p>
      <w:pPr>
        <w:pStyle w:val="normal1"/>
        <w:numPr>
          <w:ilvl w:val="0"/>
          <w:numId w:val="29"/>
        </w:numPr>
        <w:pBdr/>
        <w:shd w:val="clear" w:fill="auto"/>
        <w:spacing w:lineRule="auto" w:line="273"/>
        <w:ind w:hanging="360" w:left="600"/>
        <w:rPr/>
      </w:pPr>
      <w:r>
        <w:rPr>
          <w:rFonts w:eastAsia="Google Sans Text" w:cs="Google Sans Text" w:ascii="Google Sans Text" w:hAnsi="Google Sans Text"/>
          <w:b/>
          <w:bCs/>
        </w:rPr>
        <w:t>Function Node Sandboxing:</w:t>
      </w:r>
      <w:r>
        <w:rPr>
          <w:rFonts w:eastAsia="Google Sans Text" w:cs="Google Sans Text" w:ascii="Google Sans Text" w:hAnsi="Google Sans Text"/>
        </w:rPr>
        <w:t xml:space="preserve"> The "Function Node" allows arbitrary JavaScript execution.</w:t>
      </w:r>
    </w:p>
    <w:p>
      <w:pPr>
        <w:pStyle w:val="normal1"/>
        <w:numPr>
          <w:ilvl w:val="1"/>
          <w:numId w:val="30"/>
        </w:numPr>
        <w:pBdr/>
        <w:shd w:val="clear" w:fill="auto"/>
        <w:spacing w:lineRule="auto" w:line="273"/>
        <w:ind w:hanging="360" w:left="1200"/>
        <w:rPr/>
      </w:pPr>
      <w:r>
        <w:rPr>
          <w:rFonts w:eastAsia="Google Sans Text" w:cs="Google Sans Text" w:ascii="Google Sans Text" w:hAnsi="Google Sans Text"/>
          <w:i/>
          <w:iCs/>
        </w:rPr>
        <w:t>Security Requirement:</w:t>
      </w:r>
      <w:r>
        <w:rPr>
          <w:rFonts w:eastAsia="Google Sans Text" w:cs="Google Sans Text" w:ascii="Google Sans Text" w:hAnsi="Google Sans Text"/>
        </w:rPr>
        <w:t xml:space="preserve"> To prevent malicious code from destabilizing the platform or accessing other tenants' data, these nodes execute within a secure </w:t>
      </w:r>
      <w:r>
        <w:rPr>
          <w:rFonts w:eastAsia="Google Sans Text" w:cs="Google Sans Text" w:ascii="Google Sans Text" w:hAnsi="Google Sans Text"/>
          <w:b/>
          <w:bCs/>
        </w:rPr>
        <w:t>sandbox</w:t>
      </w:r>
      <w:r>
        <w:rPr>
          <w:rFonts w:eastAsia="Google Sans Text" w:cs="Google Sans Text" w:ascii="Google Sans Text" w:hAnsi="Google Sans Text"/>
        </w:rPr>
        <w:t xml:space="preserve"> (likely using Node.js vm or a dedicated isolation process).</w:t>
      </w:r>
    </w:p>
    <w:p>
      <w:pPr>
        <w:pStyle w:val="normal1"/>
        <w:numPr>
          <w:ilvl w:val="1"/>
          <w:numId w:val="30"/>
        </w:numPr>
        <w:pBdr/>
        <w:shd w:val="clear" w:fill="auto"/>
        <w:spacing w:lineRule="auto" w:line="273"/>
        <w:ind w:hanging="360" w:left="1200"/>
        <w:rPr/>
      </w:pPr>
      <w:r>
        <w:rPr>
          <w:rFonts w:eastAsia="Google Sans Text" w:cs="Google Sans Text" w:ascii="Google Sans Text" w:hAnsi="Google Sans Text"/>
          <w:i/>
          <w:iCs/>
        </w:rPr>
        <w:t>Performance Implication:</w:t>
      </w:r>
      <w:r>
        <w:rPr>
          <w:rFonts w:eastAsia="Google Sans Text" w:cs="Google Sans Text" w:ascii="Google Sans Text" w:hAnsi="Google Sans Text"/>
        </w:rPr>
        <w:t xml:space="preserve"> This sandboxing incurs a "cold start" overhead (approx. 500ms). Therefore, the architecture discourages using Function Nodes inside tight loops, favoring native Logic Nodes (Math, Condition) for performance-critical paths.</w:t>
      </w:r>
      <w:r>
        <w:rPr>
          <w:rFonts w:eastAsia="Google Sans Text" w:cs="Google Sans Text" w:ascii="Google Sans Text" w:hAnsi="Google Sans Text"/>
          <w:sz w:val="24"/>
          <w:szCs w:val="24"/>
          <w:vertAlign w:val="superscript"/>
        </w:rPr>
        <w:t>18</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4.3 Node Taxonomy and Functional Roles</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The requirements for the workflow engine necessitate a diverse library of nodes, categorized by their architectural function.</w:t>
      </w:r>
      <w:r>
        <w:rPr>
          <w:rFonts w:eastAsia="Google Sans Text" w:cs="Google Sans Text" w:ascii="Google Sans Text" w:hAnsi="Google Sans Text"/>
          <w:sz w:val="24"/>
          <w:szCs w:val="24"/>
          <w:vertAlign w:val="superscript"/>
        </w:rPr>
        <w:t>8</w:t>
      </w:r>
    </w:p>
    <w:p>
      <w:pPr>
        <w:pStyle w:val="Heading4"/>
        <w:pBdr/>
        <w:shd w:val="clear" w:fill="auto"/>
        <w:spacing w:lineRule="auto" w:line="273" w:before="0" w:after="255"/>
        <w:rPr>
          <w:rFonts w:ascii="Google Sans" w:hAnsi="Google Sans" w:eastAsia="Google Sans" w:cs="Google Sans"/>
        </w:rPr>
      </w:pPr>
      <w:r>
        <w:rPr>
          <w:rFonts w:eastAsia="Google Sans" w:cs="Google Sans" w:ascii="Google Sans" w:hAnsi="Google Sans"/>
        </w:rPr>
        <w:t>4.3.1 Trigger Nodes (Entry Points)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These nodes instantiate the execution context.</w:t>
      </w:r>
    </w:p>
    <w:p>
      <w:pPr>
        <w:pStyle w:val="normal1"/>
        <w:numPr>
          <w:ilvl w:val="0"/>
          <w:numId w:val="2"/>
        </w:numPr>
        <w:pBdr/>
        <w:shd w:val="clear" w:fill="auto"/>
        <w:spacing w:lineRule="auto" w:line="273"/>
        <w:ind w:hanging="360" w:left="600"/>
        <w:rPr/>
      </w:pPr>
      <w:r>
        <w:rPr>
          <w:rFonts w:eastAsia="Google Sans Text" w:cs="Google Sans Text" w:ascii="Google Sans Text" w:hAnsi="Google Sans Text"/>
          <w:b/>
          <w:bCs/>
        </w:rPr>
        <w:t>Device State Trigger:</w:t>
      </w:r>
      <w:r>
        <w:rPr>
          <w:rFonts w:eastAsia="Google Sans Text" w:cs="Google Sans Text" w:ascii="Google Sans Text" w:hAnsi="Google Sans Text"/>
        </w:rPr>
        <w:t xml:space="preserve"> Initiates logic upon receipt of telemetry.</w:t>
      </w:r>
    </w:p>
    <w:p>
      <w:pPr>
        <w:pStyle w:val="normal1"/>
        <w:numPr>
          <w:ilvl w:val="1"/>
          <w:numId w:val="3"/>
        </w:numPr>
        <w:pBdr/>
        <w:shd w:val="clear" w:fill="auto"/>
        <w:spacing w:lineRule="auto" w:line="273"/>
        <w:ind w:hanging="360" w:left="1200"/>
        <w:rPr/>
      </w:pPr>
      <w:r>
        <w:rPr>
          <w:rFonts w:eastAsia="Google Sans Text" w:cs="Google Sans Text" w:ascii="Google Sans Text" w:hAnsi="Google Sans Text"/>
          <w:i/>
          <w:iCs/>
        </w:rPr>
        <w:t>Requirement:</w:t>
      </w:r>
      <w:r>
        <w:rPr>
          <w:rFonts w:eastAsia="Google Sans Text" w:cs="Google Sans Text" w:ascii="Google Sans Text" w:hAnsi="Google Sans Text"/>
        </w:rPr>
        <w:t xml:space="preserve"> Efficient filtering is mandatory to prevent "storming" (e.g., triggering on </w:t>
      </w:r>
      <w:r>
        <w:rPr>
          <w:rFonts w:eastAsia="Google Sans Text" w:cs="Google Sans Text" w:ascii="Google Sans Text" w:hAnsi="Google Sans Text"/>
          <w:i/>
          <w:iCs/>
        </w:rPr>
        <w:t>any</w:t>
      </w:r>
      <w:r>
        <w:rPr>
          <w:rFonts w:eastAsia="Google Sans Text" w:cs="Google Sans Text" w:ascii="Google Sans Text" w:hAnsi="Google Sans Text"/>
        </w:rPr>
        <w:t xml:space="preserve"> attribute change vs. specific ones). The trigger allows filtering by attribute (e.g., "Only trigger if 'temperature' is present").</w:t>
      </w:r>
      <w:r>
        <w:rPr>
          <w:rFonts w:eastAsia="Google Sans Text" w:cs="Google Sans Text" w:ascii="Google Sans Text" w:hAnsi="Google Sans Text"/>
          <w:sz w:val="24"/>
          <w:szCs w:val="24"/>
          <w:vertAlign w:val="superscript"/>
        </w:rPr>
        <w:t>38</w:t>
      </w:r>
    </w:p>
    <w:p>
      <w:pPr>
        <w:pStyle w:val="normal1"/>
        <w:numPr>
          <w:ilvl w:val="0"/>
          <w:numId w:val="2"/>
        </w:numPr>
        <w:pBdr/>
        <w:shd w:val="clear" w:fill="auto"/>
        <w:spacing w:lineRule="auto" w:line="273"/>
        <w:ind w:hanging="360" w:left="600"/>
        <w:rPr/>
      </w:pPr>
      <w:r>
        <w:rPr>
          <w:rFonts w:eastAsia="Google Sans Text" w:cs="Google Sans Text" w:ascii="Google Sans Text" w:hAnsi="Google Sans Text"/>
          <w:b/>
          <w:bCs/>
        </w:rPr>
        <w:t>Timer Trigger:</w:t>
      </w:r>
      <w:r>
        <w:rPr>
          <w:rFonts w:eastAsia="Google Sans Text" w:cs="Google Sans Text" w:ascii="Google Sans Text" w:hAnsi="Google Sans Text"/>
        </w:rPr>
        <w:t xml:space="preserve"> Executes logic on a scheduled basis (cron).</w:t>
      </w:r>
    </w:p>
    <w:p>
      <w:pPr>
        <w:pStyle w:val="normal1"/>
        <w:numPr>
          <w:ilvl w:val="0"/>
          <w:numId w:val="2"/>
        </w:numPr>
        <w:pBdr/>
        <w:shd w:val="clear" w:fill="auto"/>
        <w:spacing w:lineRule="auto" w:line="273"/>
        <w:ind w:hanging="360" w:left="600"/>
        <w:rPr/>
      </w:pPr>
      <w:r>
        <w:rPr>
          <w:rFonts w:eastAsia="Google Sans Text" w:cs="Google Sans Text" w:ascii="Google Sans Text" w:hAnsi="Google Sans Text"/>
          <w:b/>
          <w:bCs/>
        </w:rPr>
        <w:t>MQTT Trigger:</w:t>
      </w:r>
      <w:r>
        <w:rPr>
          <w:rFonts w:eastAsia="Google Sans Text" w:cs="Google Sans Text" w:ascii="Google Sans Text" w:hAnsi="Google Sans Text"/>
        </w:rPr>
        <w:t xml:space="preserve"> Subscribes to custom topics, allowing for logic to be driven by the Unified Namespace structure rather than just device state.</w:t>
      </w:r>
      <w:r>
        <w:rPr>
          <w:rFonts w:eastAsia="Google Sans Text" w:cs="Google Sans Text" w:ascii="Google Sans Text" w:hAnsi="Google Sans Text"/>
          <w:sz w:val="24"/>
          <w:szCs w:val="24"/>
          <w:vertAlign w:val="superscript"/>
        </w:rPr>
        <w:t>39</w:t>
      </w:r>
    </w:p>
    <w:p>
      <w:pPr>
        <w:pStyle w:val="normal1"/>
        <w:numPr>
          <w:ilvl w:val="0"/>
          <w:numId w:val="2"/>
        </w:numPr>
        <w:pBdr/>
        <w:shd w:val="clear" w:fill="auto"/>
        <w:spacing w:lineRule="auto" w:line="273"/>
        <w:ind w:hanging="360" w:left="600"/>
        <w:rPr/>
      </w:pPr>
      <w:r>
        <w:rPr>
          <w:rFonts w:eastAsia="Google Sans Text" w:cs="Google Sans Text" w:ascii="Google Sans Text" w:hAnsi="Google Sans Text"/>
          <w:b/>
          <w:bCs/>
        </w:rPr>
        <w:t>Virtual Button / Manual Trigger:</w:t>
      </w:r>
      <w:r>
        <w:rPr>
          <w:rFonts w:eastAsia="Google Sans Text" w:cs="Google Sans Text" w:ascii="Google Sans Text" w:hAnsi="Google Sans Text"/>
        </w:rPr>
        <w:t xml:space="preserve"> Used for debugging and on-demand execution.</w:t>
      </w:r>
    </w:p>
    <w:p>
      <w:pPr>
        <w:pStyle w:val="Heading4"/>
        <w:pBdr/>
        <w:shd w:val="clear" w:fill="auto"/>
        <w:spacing w:lineRule="auto" w:line="273" w:before="0" w:after="255"/>
        <w:rPr>
          <w:rFonts w:ascii="Google Sans" w:hAnsi="Google Sans" w:eastAsia="Google Sans" w:cs="Google Sans"/>
        </w:rPr>
      </w:pPr>
      <w:r>
        <w:rPr>
          <w:rFonts w:eastAsia="Google Sans" w:cs="Google Sans" w:ascii="Google Sans" w:hAnsi="Google Sans"/>
        </w:rPr>
        <w:t>4.3.2 Logic and Flow Control Nodes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These nodes implement branching and computational logic.</w:t>
      </w:r>
    </w:p>
    <w:p>
      <w:pPr>
        <w:pStyle w:val="normal1"/>
        <w:numPr>
          <w:ilvl w:val="0"/>
          <w:numId w:val="4"/>
        </w:numPr>
        <w:pBdr/>
        <w:shd w:val="clear" w:fill="auto"/>
        <w:spacing w:lineRule="auto" w:line="273"/>
        <w:ind w:hanging="360" w:left="600"/>
        <w:rPr/>
      </w:pPr>
      <w:r>
        <w:rPr>
          <w:rFonts w:eastAsia="Google Sans Text" w:cs="Google Sans Text" w:ascii="Google Sans Text" w:hAnsi="Google Sans Text"/>
          <w:b/>
          <w:bCs/>
        </w:rPr>
        <w:t>Conditional Node:</w:t>
      </w:r>
      <w:r>
        <w:rPr>
          <w:rFonts w:eastAsia="Google Sans Text" w:cs="Google Sans Text" w:ascii="Google Sans Text" w:hAnsi="Google Sans Text"/>
        </w:rPr>
        <w:t xml:space="preserve"> Implements boolean logic (If/Else).</w:t>
      </w:r>
    </w:p>
    <w:p>
      <w:pPr>
        <w:pStyle w:val="normal1"/>
        <w:numPr>
          <w:ilvl w:val="0"/>
          <w:numId w:val="4"/>
        </w:numPr>
        <w:pBdr/>
        <w:shd w:val="clear" w:fill="auto"/>
        <w:spacing w:lineRule="auto" w:line="273"/>
        <w:ind w:hanging="360" w:left="600"/>
        <w:rPr/>
      </w:pPr>
      <w:r>
        <w:rPr>
          <w:rFonts w:eastAsia="Google Sans Text" w:cs="Google Sans Text" w:ascii="Google Sans Text" w:hAnsi="Google Sans Text"/>
          <w:b/>
          <w:bCs/>
        </w:rPr>
        <w:t>Switch Node:</w:t>
      </w:r>
      <w:r>
        <w:rPr>
          <w:rFonts w:eastAsia="Google Sans Text" w:cs="Google Sans Text" w:ascii="Google Sans Text" w:hAnsi="Google Sans Text"/>
        </w:rPr>
        <w:t xml:space="preserve"> Routes the payload based on value matching.</w:t>
      </w:r>
    </w:p>
    <w:p>
      <w:pPr>
        <w:pStyle w:val="normal1"/>
        <w:numPr>
          <w:ilvl w:val="0"/>
          <w:numId w:val="4"/>
        </w:numPr>
        <w:pBdr/>
        <w:shd w:val="clear" w:fill="auto"/>
        <w:spacing w:lineRule="auto" w:line="273"/>
        <w:ind w:hanging="360" w:left="600"/>
        <w:rPr/>
      </w:pPr>
      <w:r>
        <w:rPr>
          <w:rFonts w:eastAsia="Google Sans Text" w:cs="Google Sans Text" w:ascii="Google Sans Text" w:hAnsi="Google Sans Text"/>
          <w:b/>
          <w:bCs/>
        </w:rPr>
        <w:t>Latch Node:</w:t>
      </w:r>
      <w:r>
        <w:rPr>
          <w:rFonts w:eastAsia="Google Sans Text" w:cs="Google Sans Text" w:ascii="Google Sans Text" w:hAnsi="Google Sans Text"/>
        </w:rPr>
        <w:t xml:space="preserve"> Manages frequency of execution (e.g., "Only let one payload through every 10 minutes"), essential for de-bouncing alerts.</w:t>
      </w:r>
    </w:p>
    <w:p>
      <w:pPr>
        <w:pStyle w:val="Heading4"/>
        <w:pBdr/>
        <w:shd w:val="clear" w:fill="auto"/>
        <w:spacing w:lineRule="auto" w:line="273" w:before="0" w:after="255"/>
        <w:rPr>
          <w:rFonts w:ascii="Google Sans" w:hAnsi="Google Sans" w:eastAsia="Google Sans" w:cs="Google Sans"/>
        </w:rPr>
      </w:pPr>
      <w:r>
        <w:rPr>
          <w:rFonts w:eastAsia="Google Sans" w:cs="Google Sans" w:ascii="Google Sans" w:hAnsi="Google Sans"/>
        </w:rPr>
        <w:t>4.3.3 Data and Integration Nodes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These nodes handle I/O operations with the persistence layer or external services.</w:t>
      </w:r>
    </w:p>
    <w:p>
      <w:pPr>
        <w:pStyle w:val="normal1"/>
        <w:numPr>
          <w:ilvl w:val="0"/>
          <w:numId w:val="5"/>
        </w:numPr>
        <w:pBdr/>
        <w:shd w:val="clear" w:fill="auto"/>
        <w:spacing w:lineRule="auto" w:line="273"/>
        <w:ind w:hanging="360" w:left="600"/>
        <w:rPr/>
      </w:pPr>
      <w:r>
        <w:rPr>
          <w:rFonts w:eastAsia="Google Sans Text" w:cs="Google Sans Text" w:ascii="Google Sans Text" w:hAnsi="Google Sans Text"/>
          <w:b/>
          <w:bCs/>
        </w:rPr>
        <w:t>Time Series Query Node:</w:t>
      </w:r>
      <w:r>
        <w:rPr>
          <w:rFonts w:eastAsia="Google Sans Text" w:cs="Google Sans Text" w:ascii="Google Sans Text" w:hAnsi="Google Sans Text"/>
        </w:rPr>
        <w:t xml:space="preserve"> Allows workflows to retrieve historical data from Hot Storage for comparison (e.g., "Is the current temp higher than the average of the last 24 hours?").</w:t>
      </w:r>
      <w:r>
        <w:rPr>
          <w:rFonts w:eastAsia="Google Sans Text" w:cs="Google Sans Text" w:ascii="Google Sans Text" w:hAnsi="Google Sans Text"/>
          <w:sz w:val="24"/>
          <w:szCs w:val="24"/>
          <w:vertAlign w:val="superscript"/>
        </w:rPr>
        <w:t>14</w:t>
      </w:r>
    </w:p>
    <w:p>
      <w:pPr>
        <w:pStyle w:val="normal1"/>
        <w:numPr>
          <w:ilvl w:val="0"/>
          <w:numId w:val="5"/>
        </w:numPr>
        <w:pBdr/>
        <w:shd w:val="clear" w:fill="auto"/>
        <w:spacing w:lineRule="auto" w:line="273"/>
        <w:ind w:hanging="360" w:left="600"/>
        <w:rPr/>
      </w:pPr>
      <w:r>
        <w:rPr>
          <w:rFonts w:eastAsia="Google Sans Text" w:cs="Google Sans Text" w:ascii="Google Sans Text" w:hAnsi="Google Sans Text"/>
          <w:b/>
          <w:bCs/>
        </w:rPr>
        <w:t>SQL/Mongo/Redis Nodes:</w:t>
      </w:r>
      <w:r>
        <w:rPr>
          <w:rFonts w:eastAsia="Google Sans Text" w:cs="Google Sans Text" w:ascii="Google Sans Text" w:hAnsi="Google Sans Text"/>
        </w:rPr>
        <w:t xml:space="preserve"> Provide direct interfaces to external databases, fulfilling the requirement for external system integration. The MongoDB node, for instance, allows for complex document queries to retrieve device metadata.</w:t>
      </w:r>
      <w:r>
        <w:rPr>
          <w:rFonts w:eastAsia="Google Sans Text" w:cs="Google Sans Text" w:ascii="Google Sans Text" w:hAnsi="Google Sans Text"/>
          <w:sz w:val="24"/>
          <w:szCs w:val="24"/>
          <w:vertAlign w:val="superscript"/>
        </w:rPr>
        <w:t>12</w:t>
      </w:r>
    </w:p>
    <w:p>
      <w:pPr>
        <w:pStyle w:val="normal1"/>
        <w:numPr>
          <w:ilvl w:val="0"/>
          <w:numId w:val="5"/>
        </w:numPr>
        <w:pBdr/>
        <w:shd w:val="clear" w:fill="auto"/>
        <w:spacing w:lineRule="auto" w:line="273"/>
        <w:ind w:hanging="360" w:left="600"/>
        <w:rPr/>
      </w:pPr>
      <w:r>
        <w:rPr>
          <w:rFonts w:eastAsia="Google Sans Text" w:cs="Google Sans Text" w:ascii="Google Sans Text" w:hAnsi="Google Sans Text"/>
          <w:b/>
          <w:bCs/>
        </w:rPr>
        <w:t>HTTP Node:</w:t>
      </w:r>
      <w:r>
        <w:rPr>
          <w:rFonts w:eastAsia="Google Sans Text" w:cs="Google Sans Text" w:ascii="Google Sans Text" w:hAnsi="Google Sans Text"/>
        </w:rPr>
        <w:t xml:space="preserve"> Acts as a generic REST client.</w:t>
      </w:r>
    </w:p>
    <w:p>
      <w:pPr>
        <w:pStyle w:val="normal1"/>
        <w:numPr>
          <w:ilvl w:val="1"/>
          <w:numId w:val="6"/>
        </w:numPr>
        <w:pBdr/>
        <w:shd w:val="clear" w:fill="auto"/>
        <w:spacing w:lineRule="auto" w:line="273"/>
        <w:ind w:hanging="360" w:left="1200"/>
        <w:rPr/>
      </w:pPr>
      <w:r>
        <w:rPr>
          <w:rFonts w:eastAsia="Google Sans Text" w:cs="Google Sans Text" w:ascii="Google Sans Text" w:hAnsi="Google Sans Text"/>
          <w:i/>
          <w:iCs/>
        </w:rPr>
        <w:t>Requirement:</w:t>
      </w:r>
      <w:r>
        <w:rPr>
          <w:rFonts w:eastAsia="Google Sans Text" w:cs="Google Sans Text" w:ascii="Google Sans Text" w:hAnsi="Google Sans Text"/>
        </w:rPr>
        <w:t xml:space="preserve"> It must support standard authentication methods (Basic, Bearer, OAuth) and handle timeouts gracefully.</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4.4 Edge vs. Cloud Workflow Divergence</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 xml:space="preserve">A critical architectural distinction exists between </w:t>
      </w:r>
      <w:r>
        <w:rPr>
          <w:rFonts w:eastAsia="Google Sans Text" w:cs="Google Sans Text" w:ascii="Google Sans Text" w:hAnsi="Google Sans Text"/>
          <w:b/>
          <w:bCs/>
        </w:rPr>
        <w:t>Application (Cloud) Workflows</w:t>
      </w:r>
      <w:r>
        <w:rPr>
          <w:rFonts w:eastAsia="Google Sans Text" w:cs="Google Sans Text" w:ascii="Google Sans Text" w:hAnsi="Google Sans Text"/>
        </w:rPr>
        <w:t xml:space="preserve"> and </w:t>
      </w:r>
      <w:r>
        <w:rPr>
          <w:rFonts w:eastAsia="Google Sans Text" w:cs="Google Sans Text" w:ascii="Google Sans Text" w:hAnsi="Google Sans Text"/>
          <w:b/>
          <w:bCs/>
        </w:rPr>
        <w:t>Edge Workflows</w:t>
      </w:r>
      <w:r>
        <w:rPr>
          <w:rFonts w:eastAsia="Google Sans Text" w:cs="Google Sans Text" w:ascii="Google Sans Text" w:hAnsi="Google Sans Text"/>
        </w:rPr>
        <w:t>.</w:t>
      </w:r>
    </w:p>
    <w:tbl>
      <w:tblPr>
        <w:tblStyle w:val="Table2"/>
        <w:tblW w:w="9360" w:type="dxa"/>
        <w:jc w:val="left"/>
        <w:tblInd w:w="0" w:type="dxa"/>
        <w:tblLayout w:type="fixed"/>
        <w:tblCellMar>
          <w:top w:w="0" w:type="dxa"/>
          <w:left w:w="0" w:type="dxa"/>
          <w:bottom w:w="0" w:type="dxa"/>
          <w:right w:w="0" w:type="dxa"/>
        </w:tblCellMar>
        <w:tblLook w:val="0600"/>
      </w:tblPr>
      <w:tblGrid>
        <w:gridCol w:w="3120"/>
        <w:gridCol w:w="3120"/>
        <w:gridCol w:w="3120"/>
      </w:tblGrid>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Feature</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Application Workflow (Cloud)</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Edge Workflow (Local)</w:t>
            </w:r>
          </w:p>
        </w:tc>
      </w:tr>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Runtime Host</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Managed Cloud Server (Node.js Cluster)</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Gateway Edge Agent (Docker Container)</w:t>
            </w:r>
          </w:p>
        </w:tc>
      </w:tr>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Connectivity</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Requires Internet</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Offline-Capable</w:t>
            </w:r>
          </w:p>
        </w:tc>
      </w:tr>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Triggers</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Cloud Events (HTTP, Cloud Timers)</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Local Events (Serial, Local MQTT, File Watch)</w:t>
            </w:r>
          </w:p>
        </w:tc>
      </w:tr>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Latency</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Network Dependent (100ms+)</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Near-Zero (Local Network &lt;10ms)</w:t>
            </w:r>
          </w:p>
        </w:tc>
      </w:tr>
      <w:tr>
        <w:trPr/>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Deployment Model</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Instant Propagation</w:t>
            </w:r>
          </w:p>
        </w:tc>
        <w:tc>
          <w:tcPr>
            <w:tcW w:w="312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Asynchronous Sync (via MQTT control channel)</w:t>
            </w:r>
          </w:p>
        </w:tc>
      </w:tr>
    </w:tbl>
    <w:p>
      <w:pPr>
        <w:pStyle w:val="normal1"/>
        <w:pBdr/>
        <w:shd w:val="clear" w:fill="auto"/>
        <w:spacing w:lineRule="auto" w:line="273" w:before="480" w:after="0"/>
        <w:rPr>
          <w:rFonts w:ascii="Google Sans Text" w:hAnsi="Google Sans Text" w:eastAsia="Google Sans Text" w:cs="Google Sans Text"/>
          <w:sz w:val="24"/>
          <w:szCs w:val="24"/>
          <w:vertAlign w:val="superscript"/>
        </w:rPr>
      </w:pPr>
      <w:r>
        <w:rPr>
          <w:rFonts w:eastAsia="Google Sans Text" w:cs="Google Sans Text" w:ascii="Google Sans Text" w:hAnsi="Google Sans Text"/>
          <w:b/>
          <w:bCs/>
        </w:rPr>
        <w:t>Architectural Insight:</w:t>
      </w:r>
      <w:r>
        <w:rPr>
          <w:rFonts w:eastAsia="Google Sans Text" w:cs="Google Sans Text" w:ascii="Google Sans Text" w:hAnsi="Google Sans Text"/>
        </w:rPr>
        <w:t xml:space="preserve"> The Edge Workflow engine effectively pushes the logical processing capability down the stack. It utilizes the </w:t>
      </w:r>
      <w:r>
        <w:rPr>
          <w:rFonts w:eastAsia="Google Sans Text" w:cs="Google Sans Text" w:ascii="Google Sans Text" w:hAnsi="Google Sans Text"/>
          <w:b/>
          <w:bCs/>
        </w:rPr>
        <w:t>Losant Gateway Edge Agent</w:t>
      </w:r>
      <w:r>
        <w:rPr>
          <w:rFonts w:eastAsia="Google Sans Text" w:cs="Google Sans Text" w:ascii="Google Sans Text" w:hAnsi="Google Sans Text"/>
        </w:rPr>
        <w:t>, which contains a local lightweight MQTT broker and a workflow runner. This allows for "Report by Exception" architectures, where the Edge Workflow filters high-frequency data locally (e.g., vibration data at 1000Hz) and only transmits anomalies to the cloud, significantly reducing bandwidth and cloud storage costs.</w:t>
      </w:r>
      <w:r>
        <w:rPr>
          <w:rFonts w:eastAsia="Google Sans Text" w:cs="Google Sans Text" w:ascii="Google Sans Text" w:hAnsi="Google Sans Text"/>
          <w:sz w:val="24"/>
          <w:szCs w:val="24"/>
          <w:vertAlign w:val="superscript"/>
        </w:rPr>
        <w:t>5</w:t>
      </w:r>
    </w:p>
    <w:p>
      <w:pPr>
        <w:pStyle w:val="Heading2"/>
        <w:pBdr/>
        <w:shd w:val="clear" w:fill="auto"/>
        <w:spacing w:lineRule="auto" w:line="273" w:before="0" w:after="225"/>
        <w:rPr>
          <w:rFonts w:ascii="Google Sans" w:hAnsi="Google Sans" w:eastAsia="Google Sans" w:cs="Google Sans"/>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rPr>
        <w:t>5. Dashboard and Visualization Architecture</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dashboard subsystem is not merely a presentation layer but a complex real-time event processing system. It must adhere to requirements for instant data visibility, historical analysis, and contextual flexibility.</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5.1 Real-Time Data Propagation</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 xml:space="preserve">The dashboard architecture employs a </w:t>
      </w:r>
      <w:r>
        <w:rPr>
          <w:rFonts w:eastAsia="Google Sans Text" w:cs="Google Sans Text" w:ascii="Google Sans Text" w:hAnsi="Google Sans Text"/>
          <w:b/>
          <w:bCs/>
        </w:rPr>
        <w:t>WebSocket-based</w:t>
      </w:r>
      <w:r>
        <w:rPr>
          <w:rFonts w:eastAsia="Google Sans Text" w:cs="Google Sans Text" w:ascii="Google Sans Text" w:hAnsi="Google Sans Text"/>
        </w:rPr>
        <w:t xml:space="preserve"> push mechanism to deliver real-time updates to the client browser, bypassing the latency of traditional HTTP polling.</w:t>
      </w:r>
      <w:r>
        <w:rPr>
          <w:rFonts w:eastAsia="Google Sans Text" w:cs="Google Sans Text" w:ascii="Google Sans Text" w:hAnsi="Google Sans Text"/>
          <w:sz w:val="24"/>
          <w:szCs w:val="24"/>
          <w:vertAlign w:val="superscript"/>
        </w:rPr>
        <w:t>19</w:t>
      </w:r>
    </w:p>
    <w:p>
      <w:pPr>
        <w:pStyle w:val="normal1"/>
        <w:numPr>
          <w:ilvl w:val="0"/>
          <w:numId w:val="7"/>
        </w:numPr>
        <w:pBdr/>
        <w:shd w:val="clear" w:fill="auto"/>
        <w:spacing w:lineRule="auto" w:line="273"/>
        <w:ind w:hanging="360" w:left="600"/>
        <w:rPr/>
      </w:pPr>
      <w:r>
        <w:rPr>
          <w:rFonts w:eastAsia="Google Sans Text" w:cs="Google Sans Text" w:ascii="Google Sans Text" w:hAnsi="Google Sans Text"/>
          <w:b/>
          <w:bCs/>
        </w:rPr>
        <w:t>Subscription Model:</w:t>
      </w:r>
      <w:r>
        <w:rPr>
          <w:rFonts w:eastAsia="Google Sans Text" w:cs="Google Sans Text" w:ascii="Google Sans Text" w:hAnsi="Google Sans Text"/>
        </w:rPr>
        <w:t xml:space="preserve"> When a dashboard loads, the React-based frontend establishes a secure WebSocket connection to the API gateway.</w:t>
      </w:r>
    </w:p>
    <w:p>
      <w:pPr>
        <w:pStyle w:val="normal1"/>
        <w:numPr>
          <w:ilvl w:val="0"/>
          <w:numId w:val="7"/>
        </w:numPr>
        <w:pBdr/>
        <w:shd w:val="clear" w:fill="auto"/>
        <w:spacing w:lineRule="auto" w:line="273"/>
        <w:ind w:hanging="360" w:left="600"/>
        <w:rPr/>
      </w:pPr>
      <w:r>
        <w:rPr>
          <w:rFonts w:eastAsia="Google Sans Text" w:cs="Google Sans Text" w:ascii="Google Sans Text" w:hAnsi="Google Sans Text"/>
          <w:b/>
          <w:bCs/>
        </w:rPr>
        <w:t>Live Stream Blocks:</w:t>
      </w:r>
      <w:r>
        <w:rPr>
          <w:rFonts w:eastAsia="Google Sans Text" w:cs="Google Sans Text" w:ascii="Google Sans Text" w:hAnsi="Google Sans Text"/>
        </w:rPr>
        <w:t xml:space="preserve"> Blocks configured for "Live Stream" bypass the historical database entirely. They subscribe directly to the message bus (via the internal API) for the specific device topics.</w:t>
      </w:r>
    </w:p>
    <w:p>
      <w:pPr>
        <w:pStyle w:val="normal1"/>
        <w:numPr>
          <w:ilvl w:val="1"/>
          <w:numId w:val="8"/>
        </w:numPr>
        <w:pBdr/>
        <w:shd w:val="clear" w:fill="auto"/>
        <w:spacing w:lineRule="auto" w:line="273"/>
        <w:ind w:hanging="360" w:left="1200"/>
        <w:rPr/>
      </w:pPr>
      <w:r>
        <w:rPr>
          <w:rFonts w:eastAsia="Google Sans Text" w:cs="Google Sans Text" w:ascii="Google Sans Text" w:hAnsi="Google Sans Text"/>
          <w:i/>
          <w:iCs/>
        </w:rPr>
        <w:t>Constraint:</w:t>
      </w:r>
      <w:r>
        <w:rPr>
          <w:rFonts w:eastAsia="Google Sans Text" w:cs="Google Sans Text" w:ascii="Google Sans Text" w:hAnsi="Google Sans Text"/>
        </w:rPr>
        <w:t xml:space="preserve"> Because these blocks visualize raw payloads as they arrive, they </w:t>
      </w:r>
      <w:r>
        <w:rPr>
          <w:rFonts w:eastAsia="Google Sans Text" w:cs="Google Sans Text" w:ascii="Google Sans Text" w:hAnsi="Google Sans Text"/>
          <w:b/>
          <w:bCs/>
        </w:rPr>
        <w:t>cannot perform complex server-side aggregations</w:t>
      </w:r>
      <w:r>
        <w:rPr>
          <w:rFonts w:eastAsia="Google Sans Text" w:cs="Google Sans Text" w:ascii="Google Sans Text" w:hAnsi="Google Sans Text"/>
        </w:rPr>
        <w:t xml:space="preserve"> (like mean/average) which require database queries. They visualize the "now." This requires the data source to be raw telemetry streams.</w:t>
      </w:r>
      <w:r>
        <w:rPr>
          <w:rFonts w:eastAsia="Google Sans Text" w:cs="Google Sans Text" w:ascii="Google Sans Text" w:hAnsi="Google Sans Text"/>
          <w:sz w:val="24"/>
          <w:szCs w:val="24"/>
          <w:vertAlign w:val="superscript"/>
        </w:rPr>
        <w:t>22</w:t>
      </w:r>
    </w:p>
    <w:p>
      <w:pPr>
        <w:pStyle w:val="normal1"/>
        <w:numPr>
          <w:ilvl w:val="0"/>
          <w:numId w:val="7"/>
        </w:numPr>
        <w:pBdr/>
        <w:shd w:val="clear" w:fill="auto"/>
        <w:spacing w:lineRule="auto" w:line="273"/>
        <w:ind w:hanging="360" w:left="600"/>
        <w:rPr/>
      </w:pPr>
      <w:r>
        <w:rPr>
          <w:rFonts w:eastAsia="Google Sans Text" w:cs="Google Sans Text" w:ascii="Google Sans Text" w:hAnsi="Google Sans Text"/>
          <w:b/>
          <w:bCs/>
        </w:rPr>
        <w:t>Historical/Aggregated Blocks:</w:t>
      </w:r>
      <w:r>
        <w:rPr>
          <w:rFonts w:eastAsia="Google Sans Text" w:cs="Google Sans Text" w:ascii="Google Sans Text" w:hAnsi="Google Sans Text"/>
        </w:rPr>
        <w:t xml:space="preserve"> Blocks displaying historical trends (e.g., Time Series Graph) rely on polling or scheduled refresh intervals (default 60 seconds). These trigger queries against the </w:t>
      </w:r>
      <w:r>
        <w:rPr>
          <w:rFonts w:eastAsia="Google Sans Text" w:cs="Google Sans Text" w:ascii="Google Sans Text" w:hAnsi="Google Sans Text"/>
          <w:b/>
          <w:bCs/>
        </w:rPr>
        <w:t>Hot Storage</w:t>
      </w:r>
      <w:r>
        <w:rPr>
          <w:rFonts w:eastAsia="Google Sans Text" w:cs="Google Sans Text" w:ascii="Google Sans Text" w:hAnsi="Google Sans Text"/>
        </w:rPr>
        <w:t xml:space="preserve"> (Time-Series DB) to fetch aggregated data points.</w:t>
      </w:r>
    </w:p>
    <w:p>
      <w:pPr>
        <w:pStyle w:val="normal1"/>
        <w:numPr>
          <w:ilvl w:val="1"/>
          <w:numId w:val="9"/>
        </w:numPr>
        <w:pBdr/>
        <w:shd w:val="clear" w:fill="auto"/>
        <w:spacing w:lineRule="auto" w:line="273"/>
        <w:ind w:hanging="360" w:left="1200"/>
        <w:rPr/>
      </w:pPr>
      <w:r>
        <w:rPr>
          <w:rFonts w:eastAsia="Google Sans Text" w:cs="Google Sans Text" w:ascii="Google Sans Text" w:hAnsi="Google Sans Text"/>
          <w:i/>
          <w:iCs/>
        </w:rPr>
        <w:t>Requirement:</w:t>
      </w:r>
      <w:r>
        <w:rPr>
          <w:rFonts w:eastAsia="Google Sans Text" w:cs="Google Sans Text" w:ascii="Google Sans Text" w:hAnsi="Google Sans Text"/>
        </w:rPr>
        <w:t xml:space="preserve"> The architecture mandates that these blocks utilize pre-calculated aggregations (mean, max, min) performed by the database engine to prevent shipping millions of raw data points to the browser.</w:t>
      </w:r>
      <w:r>
        <w:rPr>
          <w:rFonts w:eastAsia="Google Sans Text" w:cs="Google Sans Text" w:ascii="Google Sans Text" w:hAnsi="Google Sans Text"/>
          <w:sz w:val="24"/>
          <w:szCs w:val="24"/>
          <w:vertAlign w:val="superscript"/>
        </w:rPr>
        <w:t>9</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5.2 Context Variable Architecture for Multi-Tenancy</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 xml:space="preserve">For operational scalability, dashboards are architected to be </w:t>
      </w:r>
      <w:r>
        <w:rPr>
          <w:rFonts w:eastAsia="Google Sans Text" w:cs="Google Sans Text" w:ascii="Google Sans Text" w:hAnsi="Google Sans Text"/>
          <w:b/>
          <w:bCs/>
        </w:rPr>
        <w:t>templateable</w:t>
      </w:r>
      <w:r>
        <w:rPr>
          <w:rFonts w:eastAsia="Google Sans Text" w:cs="Google Sans Text" w:ascii="Google Sans Text" w:hAnsi="Google Sans Text"/>
        </w:rPr>
        <w:t>. Hardcoding Device IDs into dashboard blocks is an anti-pattern in large-scale systems.</w:t>
      </w:r>
    </w:p>
    <w:p>
      <w:pPr>
        <w:pStyle w:val="normal1"/>
        <w:numPr>
          <w:ilvl w:val="0"/>
          <w:numId w:val="10"/>
        </w:numPr>
        <w:pBdr/>
        <w:shd w:val="clear" w:fill="auto"/>
        <w:spacing w:lineRule="auto" w:line="273"/>
        <w:ind w:hanging="360" w:left="600"/>
        <w:rPr/>
      </w:pPr>
      <w:r>
        <w:rPr>
          <w:rFonts w:eastAsia="Google Sans Text" w:cs="Google Sans Text" w:ascii="Google Sans Text" w:hAnsi="Google Sans Text"/>
          <w:b/>
          <w:bCs/>
        </w:rPr>
        <w:t>Context Variables:</w:t>
      </w:r>
      <w:r>
        <w:rPr>
          <w:rFonts w:eastAsia="Google Sans Text" w:cs="Google Sans Text" w:ascii="Google Sans Text" w:hAnsi="Google Sans Text"/>
        </w:rPr>
        <w:t xml:space="preserve"> The architecture implements a variable system {{ctx.variableName}} that can be embedded in block configurations (titles, data sources, queries).</w:t>
      </w:r>
    </w:p>
    <w:p>
      <w:pPr>
        <w:pStyle w:val="normal1"/>
        <w:numPr>
          <w:ilvl w:val="0"/>
          <w:numId w:val="10"/>
        </w:numPr>
        <w:pBdr/>
        <w:shd w:val="clear" w:fill="auto"/>
        <w:spacing w:lineRule="auto" w:line="273"/>
        <w:ind w:hanging="360" w:left="600"/>
        <w:rPr/>
      </w:pPr>
      <w:r>
        <w:rPr>
          <w:rFonts w:eastAsia="Google Sans Text" w:cs="Google Sans Text" w:ascii="Google Sans Text" w:hAnsi="Google Sans Text"/>
          <w:b/>
          <w:bCs/>
        </w:rPr>
        <w:t>Dynamic Binding:</w:t>
      </w:r>
      <w:r>
        <w:rPr>
          <w:rFonts w:eastAsia="Google Sans Text" w:cs="Google Sans Text" w:ascii="Google Sans Text" w:hAnsi="Google Sans Text"/>
        </w:rPr>
        <w:t xml:space="preserve"> When a user views the dashboard, they select a context (e.g., "Generator A" or "Customer Site B"). The dashboard engine dynamically binds the selected Device ID or Tag to all blocks referencing that context variable.</w:t>
      </w:r>
    </w:p>
    <w:p>
      <w:pPr>
        <w:pStyle w:val="normal1"/>
        <w:numPr>
          <w:ilvl w:val="0"/>
          <w:numId w:val="10"/>
        </w:numPr>
        <w:pBdr/>
        <w:shd w:val="clear" w:fill="auto"/>
        <w:spacing w:lineRule="auto" w:line="273"/>
        <w:ind w:hanging="360" w:left="600"/>
        <w:rPr/>
      </w:pPr>
      <w:r>
        <w:rPr>
          <w:rFonts w:eastAsia="Google Sans Text" w:cs="Google Sans Text" w:ascii="Google Sans Text" w:hAnsi="Google Sans Text"/>
          <w:b/>
          <w:bCs/>
        </w:rPr>
        <w:t>Inheritance:</w:t>
      </w:r>
      <w:r>
        <w:rPr>
          <w:rFonts w:eastAsia="Google Sans Text" w:cs="Google Sans Text" w:ascii="Google Sans Text" w:hAnsi="Google Sans Text"/>
        </w:rPr>
        <w:t xml:space="preserve"> This allows a single dashboard definition to serve thousands of devices or customers. This is a critical requirement for the "Operational Scalability" principle, ensuring that adding a new customer does not require building a new dashboard.</w:t>
      </w:r>
      <w:r>
        <w:rPr>
          <w:rFonts w:eastAsia="Google Sans Text" w:cs="Google Sans Text" w:ascii="Google Sans Text" w:hAnsi="Google Sans Text"/>
          <w:sz w:val="24"/>
          <w:szCs w:val="24"/>
          <w:vertAlign w:val="superscript"/>
        </w:rPr>
        <w:t>22</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5.3 Dashboard Block Inventory and Specifications</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The system supports a specific set of visualization primitives, each with defined data requirements.</w:t>
      </w:r>
      <w:r>
        <w:rPr>
          <w:rFonts w:eastAsia="Google Sans Text" w:cs="Google Sans Text" w:ascii="Google Sans Text" w:hAnsi="Google Sans Text"/>
          <w:sz w:val="24"/>
          <w:szCs w:val="24"/>
          <w:vertAlign w:val="superscript"/>
        </w:rPr>
        <w:t>22</w:t>
      </w:r>
    </w:p>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sz w:val="24"/>
          <w:szCs w:val="24"/>
          <w:vertAlign w:val="superscript"/>
        </w:rPr>
      </w:r>
    </w:p>
    <w:tbl>
      <w:tblPr>
        <w:tblStyle w:val="Table3"/>
        <w:tblW w:w="9360" w:type="dxa"/>
        <w:jc w:val="left"/>
        <w:tblInd w:w="0" w:type="dxa"/>
        <w:tblLayout w:type="fixed"/>
        <w:tblCellMar>
          <w:top w:w="0" w:type="dxa"/>
          <w:left w:w="0" w:type="dxa"/>
          <w:bottom w:w="0" w:type="dxa"/>
          <w:right w:w="0" w:type="dxa"/>
        </w:tblCellMar>
        <w:tblLook w:val="0600"/>
      </w:tblPr>
      <w:tblGrid>
        <w:gridCol w:w="2340"/>
        <w:gridCol w:w="2340"/>
        <w:gridCol w:w="2340"/>
        <w:gridCol w:w="2339"/>
      </w:tblGrid>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Block Category</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Block Types</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Data Requirement</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Architectural Function</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Telemetry</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Gauge, Time Series Graph, Bar Chart, Pie Chart</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Numeric/Attribute Data</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Visualizes time-series data. Supports aggregations (Mean, Max, Min).</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State</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Device State Table, Device Connection Log, GPS History</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State Logs / Location Data</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Visualizes current state snapshots or historical logs.</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Command</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Input Controls (Buttons, Sliders, Toggles)</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Command Capability</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sz w:val="24"/>
                <w:szCs w:val="24"/>
                <w:vertAlign w:val="superscript"/>
              </w:rPr>
            </w:pPr>
            <w:r>
              <w:rPr>
                <w:rFonts w:eastAsia="Google Sans Text" w:cs="Google Sans Text" w:ascii="Google Sans Text" w:hAnsi="Google Sans Text"/>
              </w:rPr>
              <w:t>Triggers "Device Command" workflows to send instructions back to hardware. Requires losant/&lt;id&gt;/command topic access.</w:t>
            </w:r>
            <w:r>
              <w:rPr>
                <w:rFonts w:eastAsia="Google Sans Text" w:cs="Google Sans Text" w:ascii="Google Sans Text" w:hAnsi="Google Sans Text"/>
                <w:sz w:val="24"/>
                <w:szCs w:val="24"/>
                <w:vertAlign w:val="superscript"/>
              </w:rPr>
              <w:t>45</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Structural</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Custom HTML, Section Header, Image Overlay</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Static/Dynamic Assets</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Used for Digital Twin representations (Image Overlay) or custom embedding.</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b/>
                <w:bCs/>
              </w:rPr>
            </w:pPr>
            <w:r>
              <w:rPr>
                <w:rFonts w:eastAsia="Google Sans Text" w:cs="Google Sans Text" w:ascii="Google Sans Text" w:hAnsi="Google Sans Text"/>
                <w:b/>
                <w:bCs/>
              </w:rPr>
              <w:t>Administrative</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Device List, Dashboard List, Application List</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Metadata</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Navigational aids for multi-tenant applications.</w:t>
            </w:r>
          </w:p>
        </w:tc>
      </w:tr>
    </w:tbl>
    <w:p>
      <w:pPr>
        <w:pStyle w:val="Heading2"/>
        <w:pBdr/>
        <w:shd w:val="clear" w:fill="auto"/>
        <w:spacing w:lineRule="auto" w:line="273" w:before="0" w:after="225"/>
        <w:rPr>
          <w:rFonts w:ascii="Google Sans" w:hAnsi="Google Sans" w:eastAsia="Google Sans" w:cs="Google Sans"/>
        </w:rPr>
      </w:pPr>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rPr>
        <w:t>6. Edge Compute Architecture Requirements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Edge Compute architecture is designed to bridge the gap between physical operational technology (OT) and the digital IT cloud, fulfilling the requirement for reliability in disconnected environments.</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6.1 Containerized Runtime Environment</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 xml:space="preserve">The </w:t>
      </w:r>
      <w:r>
        <w:rPr>
          <w:rFonts w:eastAsia="Google Sans Text" w:cs="Google Sans Text" w:ascii="Google Sans Text" w:hAnsi="Google Sans Text"/>
          <w:b/>
          <w:bCs/>
        </w:rPr>
        <w:t>Gateway Edge Agent (GEA)</w:t>
      </w:r>
      <w:r>
        <w:rPr>
          <w:rFonts w:eastAsia="Google Sans Text" w:cs="Google Sans Text" w:ascii="Google Sans Text" w:hAnsi="Google Sans Text"/>
        </w:rPr>
        <w:t xml:space="preserve"> is the runtime implementation for this layer.</w:t>
      </w:r>
    </w:p>
    <w:p>
      <w:pPr>
        <w:pStyle w:val="normal1"/>
        <w:numPr>
          <w:ilvl w:val="0"/>
          <w:numId w:val="11"/>
        </w:numPr>
        <w:pBdr/>
        <w:shd w:val="clear" w:fill="auto"/>
        <w:spacing w:lineRule="auto" w:line="273"/>
        <w:ind w:hanging="360" w:left="600"/>
        <w:rPr/>
      </w:pPr>
      <w:r>
        <w:rPr>
          <w:rFonts w:eastAsia="Google Sans Text" w:cs="Google Sans Text" w:ascii="Google Sans Text" w:hAnsi="Google Sans Text"/>
          <w:b/>
          <w:bCs/>
        </w:rPr>
        <w:t>Dockerization:</w:t>
      </w:r>
      <w:r>
        <w:rPr>
          <w:rFonts w:eastAsia="Google Sans Text" w:cs="Google Sans Text" w:ascii="Google Sans Text" w:hAnsi="Google Sans Text"/>
        </w:rPr>
        <w:t xml:space="preserve"> The GEA is packaged as a Docker container. This design decision ensures isolation from the host OS and simplifies dependency management. The container includes the workflow engine runtime, a local MQTT broker, and protocol adapters.</w:t>
      </w:r>
      <w:r>
        <w:rPr>
          <w:rFonts w:eastAsia="Google Sans Text" w:cs="Google Sans Text" w:ascii="Google Sans Text" w:hAnsi="Google Sans Text"/>
          <w:sz w:val="24"/>
          <w:szCs w:val="24"/>
          <w:vertAlign w:val="superscript"/>
        </w:rPr>
        <w:t>5</w:t>
      </w:r>
    </w:p>
    <w:p>
      <w:pPr>
        <w:pStyle w:val="normal1"/>
        <w:numPr>
          <w:ilvl w:val="0"/>
          <w:numId w:val="11"/>
        </w:numPr>
        <w:pBdr/>
        <w:shd w:val="clear" w:fill="auto"/>
        <w:spacing w:lineRule="auto" w:line="273"/>
        <w:ind w:hanging="360" w:left="600"/>
        <w:rPr/>
      </w:pPr>
      <w:r>
        <w:rPr>
          <w:rFonts w:eastAsia="Google Sans Text" w:cs="Google Sans Text" w:ascii="Google Sans Text" w:hAnsi="Google Sans Text"/>
          <w:b/>
          <w:bCs/>
        </w:rPr>
        <w:t>Resource Specification:</w:t>
      </w:r>
      <w:r>
        <w:rPr>
          <w:rFonts w:eastAsia="Google Sans Text" w:cs="Google Sans Text" w:ascii="Google Sans Text" w:hAnsi="Google Sans Text"/>
        </w:rPr>
        <w:t xml:space="preserve"> The architecture specifies minimum resource floors—typically </w:t>
      </w:r>
      <w:r>
        <w:rPr>
          <w:rFonts w:eastAsia="Google Sans Text" w:cs="Google Sans Text" w:ascii="Google Sans Text" w:hAnsi="Google Sans Text"/>
          <w:b/>
          <w:bCs/>
        </w:rPr>
        <w:t>512MB RAM</w:t>
      </w:r>
      <w:r>
        <w:rPr>
          <w:rFonts w:eastAsia="Google Sans Text" w:cs="Google Sans Text" w:ascii="Google Sans Text" w:hAnsi="Google Sans Text"/>
        </w:rPr>
        <w:t xml:space="preserve"> and </w:t>
      </w:r>
      <w:r>
        <w:rPr>
          <w:rFonts w:eastAsia="Google Sans Text" w:cs="Google Sans Text" w:ascii="Google Sans Text" w:hAnsi="Google Sans Text"/>
          <w:b/>
          <w:bCs/>
        </w:rPr>
        <w:t>1GHz CPU</w:t>
      </w:r>
      <w:r>
        <w:rPr>
          <w:rFonts w:eastAsia="Google Sans Text" w:cs="Google Sans Text" w:ascii="Google Sans Text" w:hAnsi="Google Sans Text"/>
        </w:rPr>
        <w:t>—to support the overhead of the Docker engine and the Node.js runtime within the container. Recommended specs for production are 1GB RAM and Dual-Core CPUs to handle heavier workflow logic.</w:t>
      </w:r>
      <w:r>
        <w:rPr>
          <w:rFonts w:eastAsia="Google Sans Text" w:cs="Google Sans Text" w:ascii="Google Sans Text" w:hAnsi="Google Sans Text"/>
          <w:sz w:val="24"/>
          <w:szCs w:val="24"/>
          <w:vertAlign w:val="superscript"/>
        </w:rPr>
        <w:t>20</w:t>
      </w:r>
    </w:p>
    <w:p>
      <w:pPr>
        <w:pStyle w:val="normal1"/>
        <w:numPr>
          <w:ilvl w:val="0"/>
          <w:numId w:val="11"/>
        </w:numPr>
        <w:pBdr/>
        <w:shd w:val="clear" w:fill="auto"/>
        <w:spacing w:lineRule="auto" w:line="273"/>
        <w:ind w:hanging="360" w:left="600"/>
        <w:rPr/>
      </w:pPr>
      <w:r>
        <w:rPr>
          <w:rFonts w:eastAsia="Google Sans Text" w:cs="Google Sans Text" w:ascii="Google Sans Text" w:hAnsi="Google Sans Text"/>
          <w:b/>
          <w:bCs/>
        </w:rPr>
        <w:t>Hardware Agnosticism:</w:t>
      </w:r>
      <w:r>
        <w:rPr>
          <w:rFonts w:eastAsia="Google Sans Text" w:cs="Google Sans Text" w:ascii="Google Sans Text" w:hAnsi="Google Sans Text"/>
        </w:rPr>
        <w:t xml:space="preserve"> By relying on Docker, the GEA can run on diverse hardware, from industrial Raspberry Pi derivatives (Revolution Pi) to server-class gateways (Dell Edge Gateways), provided they support the container runtime.</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6.2 Protocol Abstraction and Integration</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Edge Agent serves as a protocol gateway, translating OT protocols into IT standards.</w:t>
      </w:r>
    </w:p>
    <w:p>
      <w:pPr>
        <w:pStyle w:val="normal1"/>
        <w:numPr>
          <w:ilvl w:val="0"/>
          <w:numId w:val="12"/>
        </w:numPr>
        <w:pBdr/>
        <w:shd w:val="clear" w:fill="auto"/>
        <w:spacing w:lineRule="auto" w:line="273"/>
        <w:ind w:hanging="360" w:left="600"/>
        <w:rPr/>
      </w:pPr>
      <w:r>
        <w:rPr>
          <w:rFonts w:eastAsia="Google Sans Text" w:cs="Google Sans Text" w:ascii="Google Sans Text" w:hAnsi="Google Sans Text"/>
          <w:b/>
          <w:bCs/>
        </w:rPr>
        <w:t>Industrial Protocol Support:</w:t>
      </w:r>
      <w:r>
        <w:rPr>
          <w:rFonts w:eastAsia="Google Sans Text" w:cs="Google Sans Text" w:ascii="Google Sans Text" w:hAnsi="Google Sans Text"/>
        </w:rPr>
        <w:t xml:space="preserve"> The architecture requires the agent to speak native OT protocols (Modbus TCP/RTU, BACnet, OPC UA, Siemens S7).</w:t>
      </w:r>
    </w:p>
    <w:p>
      <w:pPr>
        <w:pStyle w:val="normal1"/>
        <w:numPr>
          <w:ilvl w:val="0"/>
          <w:numId w:val="12"/>
        </w:numPr>
        <w:pBdr/>
        <w:shd w:val="clear" w:fill="auto"/>
        <w:spacing w:lineRule="auto" w:line="273"/>
        <w:ind w:hanging="360" w:left="600"/>
        <w:rPr/>
      </w:pPr>
      <w:r>
        <w:rPr>
          <w:rFonts w:eastAsia="Google Sans Text" w:cs="Google Sans Text" w:ascii="Google Sans Text" w:hAnsi="Google Sans Text"/>
          <w:b/>
          <w:bCs/>
        </w:rPr>
        <w:t>Abstraction Layer:</w:t>
      </w:r>
      <w:r>
        <w:rPr>
          <w:rFonts w:eastAsia="Google Sans Text" w:cs="Google Sans Text" w:ascii="Google Sans Text" w:hAnsi="Google Sans Text"/>
        </w:rPr>
        <w:t xml:space="preserve"> The workflow engine provides specific nodes (e.g., "Modbus Read") that abstract the complexity of register mapping into a visual configuration. This removes the need for custom C++ code to interface with PLCs.</w:t>
      </w:r>
    </w:p>
    <w:p>
      <w:pPr>
        <w:pStyle w:val="normal1"/>
        <w:numPr>
          <w:ilvl w:val="0"/>
          <w:numId w:val="12"/>
        </w:numPr>
        <w:pBdr/>
        <w:shd w:val="clear" w:fill="auto"/>
        <w:spacing w:lineRule="auto" w:line="273"/>
        <w:ind w:hanging="360" w:left="600"/>
        <w:rPr/>
      </w:pPr>
      <w:r>
        <w:rPr>
          <w:rFonts w:eastAsia="Google Sans Text" w:cs="Google Sans Text" w:ascii="Google Sans Text" w:hAnsi="Google Sans Text"/>
          <w:b/>
          <w:bCs/>
        </w:rPr>
        <w:t>Peripheral Management:</w:t>
      </w:r>
      <w:r>
        <w:rPr>
          <w:rFonts w:eastAsia="Google Sans Text" w:cs="Google Sans Text" w:ascii="Google Sans Text" w:hAnsi="Google Sans Text"/>
        </w:rPr>
        <w:t xml:space="preserve"> The GEA acts as a master controller for "Peripherals" (sensors/devices connected to the gateway). It polls these peripherals and normalizes their data into the standard Losant payload structure before transmission.</w:t>
      </w:r>
      <w:r>
        <w:rPr>
          <w:rFonts w:eastAsia="Google Sans Text" w:cs="Google Sans Text" w:ascii="Google Sans Text" w:hAnsi="Google Sans Text"/>
          <w:sz w:val="24"/>
          <w:szCs w:val="24"/>
          <w:vertAlign w:val="superscript"/>
        </w:rPr>
        <w:t>24</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6.3 Offline Persistence and Reliability</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 xml:space="preserve">A critical requirement for the Edge architecture is </w:t>
      </w:r>
      <w:r>
        <w:rPr>
          <w:rFonts w:eastAsia="Google Sans Text" w:cs="Google Sans Text" w:ascii="Google Sans Text" w:hAnsi="Google Sans Text"/>
          <w:b/>
          <w:bCs/>
        </w:rPr>
        <w:t>resilience to network partition</w:t>
      </w:r>
      <w:r>
        <w:rPr>
          <w:rFonts w:eastAsia="Google Sans Text" w:cs="Google Sans Text" w:ascii="Google Sans Text" w:hAnsi="Google Sans Text"/>
        </w:rPr>
        <w:t>.</w:t>
      </w:r>
    </w:p>
    <w:p>
      <w:pPr>
        <w:pStyle w:val="normal1"/>
        <w:numPr>
          <w:ilvl w:val="0"/>
          <w:numId w:val="13"/>
        </w:numPr>
        <w:pBdr/>
        <w:shd w:val="clear" w:fill="auto"/>
        <w:spacing w:lineRule="auto" w:line="273"/>
        <w:ind w:hanging="360" w:left="600"/>
        <w:rPr/>
      </w:pPr>
      <w:r>
        <w:rPr>
          <w:rFonts w:eastAsia="Google Sans Text" w:cs="Google Sans Text" w:ascii="Google Sans Text" w:hAnsi="Google Sans Text"/>
          <w:b/>
          <w:bCs/>
        </w:rPr>
        <w:t>Local Buffering:</w:t>
      </w:r>
      <w:r>
        <w:rPr>
          <w:rFonts w:eastAsia="Google Sans Text" w:cs="Google Sans Text" w:ascii="Google Sans Text" w:hAnsi="Google Sans Text"/>
        </w:rPr>
        <w:t xml:space="preserve"> When the upstream connection to the Losant Cloud is lost, the GEA buffers generated telemetry to local disk or memory.</w:t>
      </w:r>
    </w:p>
    <w:p>
      <w:pPr>
        <w:pStyle w:val="normal1"/>
        <w:numPr>
          <w:ilvl w:val="0"/>
          <w:numId w:val="13"/>
        </w:numPr>
        <w:pBdr/>
        <w:shd w:val="clear" w:fill="auto"/>
        <w:spacing w:lineRule="auto" w:line="273"/>
        <w:ind w:hanging="360" w:left="600"/>
        <w:rPr/>
      </w:pPr>
      <w:r>
        <w:rPr>
          <w:rFonts w:eastAsia="Google Sans Text" w:cs="Google Sans Text" w:ascii="Google Sans Text" w:hAnsi="Google Sans Text"/>
          <w:b/>
          <w:bCs/>
        </w:rPr>
        <w:t>Synchronization:</w:t>
      </w:r>
      <w:r>
        <w:rPr>
          <w:rFonts w:eastAsia="Google Sans Text" w:cs="Google Sans Text" w:ascii="Google Sans Text" w:hAnsi="Google Sans Text"/>
        </w:rPr>
        <w:t xml:space="preserve"> Upon connection restoration, the agent flushes the buffer to the cloud MQTT broker.</w:t>
      </w:r>
    </w:p>
    <w:p>
      <w:pPr>
        <w:pStyle w:val="normal1"/>
        <w:numPr>
          <w:ilvl w:val="0"/>
          <w:numId w:val="13"/>
        </w:numPr>
        <w:pBdr/>
        <w:shd w:val="clear" w:fill="auto"/>
        <w:spacing w:lineRule="auto" w:line="273"/>
        <w:ind w:hanging="360" w:left="600"/>
        <w:rPr/>
      </w:pPr>
      <w:r>
        <w:rPr>
          <w:rFonts w:eastAsia="Google Sans Text" w:cs="Google Sans Text" w:ascii="Google Sans Text" w:hAnsi="Google Sans Text"/>
          <w:b/>
          <w:bCs/>
        </w:rPr>
        <w:t>Local Logic Execution:</w:t>
      </w:r>
      <w:r>
        <w:rPr>
          <w:rFonts w:eastAsia="Google Sans Text" w:cs="Google Sans Text" w:ascii="Google Sans Text" w:hAnsi="Google Sans Text"/>
        </w:rPr>
        <w:t xml:space="preserve"> Edge workflows continue to execute locally during outages. This ensures that critical local control loops (e.g., "Turn off pump if temp &gt; 100°C") function without cloud dependency, a mandatory safety requirement for industrial control systems.</w:t>
      </w:r>
      <w:r>
        <w:rPr>
          <w:rFonts w:eastAsia="Google Sans Text" w:cs="Google Sans Text" w:ascii="Google Sans Text" w:hAnsi="Google Sans Text"/>
          <w:sz w:val="24"/>
          <w:szCs w:val="24"/>
          <w:vertAlign w:val="superscript"/>
        </w:rPr>
        <w:t>35</w:t>
      </w:r>
    </w:p>
    <w:p>
      <w:pPr>
        <w:pStyle w:val="Heading2"/>
        <w:pBdr/>
        <w:shd w:val="clear" w:fill="auto"/>
        <w:spacing w:lineRule="auto" w:line="273" w:before="0" w:after="225"/>
        <w:rPr>
          <w:rFonts w:ascii="Google Sans" w:hAnsi="Google Sans" w:eastAsia="Google Sans" w:cs="Google Sans"/>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rPr>
        <w:t>7. System Integration and Unified Namespace (UNS)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platform is designed not as a silo but as an integrated component of a larger enterprise ecosystem.</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7.1 Unified Namespace Implementation</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 xml:space="preserve">The Losant broker and workflow engine are architected to support the concept of a </w:t>
      </w:r>
      <w:r>
        <w:rPr>
          <w:rFonts w:eastAsia="Google Sans Text" w:cs="Google Sans Text" w:ascii="Google Sans Text" w:hAnsi="Google Sans Text"/>
          <w:b/>
          <w:bCs/>
        </w:rPr>
        <w:t>Unified Namespace (UNS)</w:t>
      </w:r>
      <w:r>
        <w:rPr>
          <w:rFonts w:eastAsia="Google Sans Text" w:cs="Google Sans Text" w:ascii="Google Sans Text" w:hAnsi="Google Sans Text"/>
        </w:rPr>
        <w:t>.</w:t>
      </w:r>
    </w:p>
    <w:p>
      <w:pPr>
        <w:pStyle w:val="normal1"/>
        <w:numPr>
          <w:ilvl w:val="0"/>
          <w:numId w:val="14"/>
        </w:numPr>
        <w:pBdr/>
        <w:shd w:val="clear" w:fill="auto"/>
        <w:spacing w:lineRule="auto" w:line="273"/>
        <w:ind w:hanging="360" w:left="600"/>
        <w:rPr/>
      </w:pPr>
      <w:r>
        <w:rPr>
          <w:rFonts w:eastAsia="Google Sans Text" w:cs="Google Sans Text" w:ascii="Google Sans Text" w:hAnsi="Google Sans Text"/>
          <w:b/>
          <w:bCs/>
        </w:rPr>
        <w:t>Concept:</w:t>
      </w:r>
      <w:r>
        <w:rPr>
          <w:rFonts w:eastAsia="Google Sans Text" w:cs="Google Sans Text" w:ascii="Google Sans Text" w:hAnsi="Google Sans Text"/>
        </w:rPr>
        <w:t xml:space="preserve"> UNS is a single source of truth for all data and information in a business, structured in a hierarchy that represents the process (e.g., Enterprise/Site/Area/Line/Cell).</w:t>
      </w:r>
    </w:p>
    <w:p>
      <w:pPr>
        <w:pStyle w:val="normal1"/>
        <w:numPr>
          <w:ilvl w:val="0"/>
          <w:numId w:val="14"/>
        </w:numPr>
        <w:pBdr/>
        <w:shd w:val="clear" w:fill="auto"/>
        <w:spacing w:lineRule="auto" w:line="273"/>
        <w:ind w:hanging="360" w:left="600"/>
        <w:rPr/>
      </w:pPr>
      <w:r>
        <w:rPr>
          <w:rFonts w:eastAsia="Google Sans Text" w:cs="Google Sans Text" w:ascii="Google Sans Text" w:hAnsi="Google Sans Text"/>
          <w:b/>
          <w:bCs/>
        </w:rPr>
        <w:t>Implementation:</w:t>
      </w:r>
      <w:r>
        <w:rPr>
          <w:rFonts w:eastAsia="Google Sans Text" w:cs="Google Sans Text" w:ascii="Google Sans Text" w:hAnsi="Google Sans Text"/>
        </w:rPr>
        <w:t xml:space="preserve"> Using the Losant MQTT Broker's custom topics and the Gateway Edge Agent, users can publish data to a structured topic tree (e.g., KansasCity/Assembly/Line1/Oven/Temp). The Workflow Engine then subscribes to these wildcard topics (e.g., KansasCity/+/+/+/Temp) to process data contextually, decoupling the data producer from the consumer.</w:t>
      </w:r>
      <w:r>
        <w:rPr>
          <w:rFonts w:eastAsia="Google Sans Text" w:cs="Google Sans Text" w:ascii="Google Sans Text" w:hAnsi="Google Sans Text"/>
          <w:sz w:val="24"/>
          <w:szCs w:val="24"/>
          <w:vertAlign w:val="superscript"/>
        </w:rPr>
        <w:t>3</w:t>
      </w:r>
    </w:p>
    <w:p>
      <w:pPr>
        <w:pStyle w:val="Heading3"/>
        <w:pBdr/>
        <w:shd w:val="clear" w:fill="auto"/>
        <w:spacing w:lineRule="auto" w:line="273" w:before="0" w:after="240"/>
        <w:rPr>
          <w:rFonts w:ascii="Google Sans" w:hAnsi="Google Sans" w:eastAsia="Google Sans" w:cs="Google Sans"/>
        </w:rPr>
      </w:pPr>
      <w:r>
        <w:rPr>
          <w:rFonts w:eastAsia="Google Sans" w:cs="Google Sans" w:ascii="Google Sans" w:hAnsi="Google Sans"/>
        </w:rPr>
        <w:t>7.2 Third-Party Service Integration</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platform requires robust connectors to external enterprise systems.</w:t>
      </w:r>
    </w:p>
    <w:p>
      <w:pPr>
        <w:pStyle w:val="normal1"/>
        <w:numPr>
          <w:ilvl w:val="0"/>
          <w:numId w:val="15"/>
        </w:numPr>
        <w:pBdr/>
        <w:shd w:val="clear" w:fill="auto"/>
        <w:spacing w:lineRule="auto" w:line="273"/>
        <w:ind w:hanging="360" w:left="600"/>
        <w:rPr/>
      </w:pPr>
      <w:r>
        <w:rPr>
          <w:rFonts w:eastAsia="Google Sans Text" w:cs="Google Sans Text" w:ascii="Google Sans Text" w:hAnsi="Google Sans Text"/>
          <w:b/>
          <w:bCs/>
        </w:rPr>
        <w:t>Turnkey Integrations:</w:t>
      </w:r>
      <w:r>
        <w:rPr>
          <w:rFonts w:eastAsia="Google Sans Text" w:cs="Google Sans Text" w:ascii="Google Sans Text" w:hAnsi="Google Sans Text"/>
        </w:rPr>
        <w:t xml:space="preserve"> The platform includes "First-Class" nodes for major services (AWS Lambda, Google BigQuery, Twilio, SendGrid). These nodes abstract the authentication and API complexity.</w:t>
      </w:r>
      <w:r>
        <w:rPr>
          <w:rFonts w:eastAsia="Google Sans Text" w:cs="Google Sans Text" w:ascii="Google Sans Text" w:hAnsi="Google Sans Text"/>
          <w:sz w:val="24"/>
          <w:szCs w:val="24"/>
          <w:vertAlign w:val="superscript"/>
        </w:rPr>
        <w:t>2</w:t>
      </w:r>
    </w:p>
    <w:p>
      <w:pPr>
        <w:pStyle w:val="normal1"/>
        <w:numPr>
          <w:ilvl w:val="0"/>
          <w:numId w:val="15"/>
        </w:numPr>
        <w:pBdr/>
        <w:shd w:val="clear" w:fill="auto"/>
        <w:spacing w:lineRule="auto" w:line="273"/>
        <w:ind w:hanging="360" w:left="600"/>
        <w:rPr/>
      </w:pPr>
      <w:r>
        <w:rPr>
          <w:rFonts w:eastAsia="Google Sans Text" w:cs="Google Sans Text" w:ascii="Google Sans Text" w:hAnsi="Google Sans Text"/>
          <w:b/>
          <w:bCs/>
        </w:rPr>
        <w:t>Generic Integration:</w:t>
      </w:r>
      <w:r>
        <w:rPr>
          <w:rFonts w:eastAsia="Google Sans Text" w:cs="Google Sans Text" w:ascii="Google Sans Text" w:hAnsi="Google Sans Text"/>
        </w:rPr>
        <w:t xml:space="preserve"> For services without native nodes, the HTTP Node and Function Node allow for custom integration logic.</w:t>
      </w:r>
    </w:p>
    <w:p>
      <w:pPr>
        <w:pStyle w:val="normal1"/>
        <w:numPr>
          <w:ilvl w:val="0"/>
          <w:numId w:val="15"/>
        </w:numPr>
        <w:pBdr/>
        <w:shd w:val="clear" w:fill="auto"/>
        <w:spacing w:lineRule="auto" w:line="273"/>
        <w:ind w:hanging="360" w:left="600"/>
        <w:rPr/>
      </w:pPr>
      <w:r>
        <w:rPr>
          <w:rFonts w:eastAsia="Google Sans Text" w:cs="Google Sans Text" w:ascii="Google Sans Text" w:hAnsi="Google Sans Text"/>
          <w:b/>
          <w:bCs/>
        </w:rPr>
        <w:t>Ingestion Webhooks:</w:t>
      </w:r>
      <w:r>
        <w:rPr>
          <w:rFonts w:eastAsia="Google Sans Text" w:cs="Google Sans Text" w:ascii="Google Sans Text" w:hAnsi="Google Sans Text"/>
        </w:rPr>
        <w:t xml:space="preserve"> The architecture supports receiving data from other platforms (e.g., The Things Network for LoRaWAN, Particle) via Webhooks, which can then be normalized into the Losant device state model.</w:t>
      </w:r>
      <w:r>
        <w:rPr>
          <w:rFonts w:eastAsia="Google Sans Text" w:cs="Google Sans Text" w:ascii="Google Sans Text" w:hAnsi="Google Sans Text"/>
          <w:sz w:val="24"/>
          <w:szCs w:val="24"/>
          <w:vertAlign w:val="superscript"/>
        </w:rPr>
        <w:t>19</w:t>
      </w:r>
    </w:p>
    <w:p>
      <w:pPr>
        <w:pStyle w:val="Heading2"/>
        <w:pBdr/>
        <w:shd w:val="clear" w:fill="auto"/>
        <w:spacing w:lineRule="auto" w:line="273" w:before="0" w:after="225"/>
        <w:rPr>
          <w:rFonts w:ascii="Google Sans" w:hAnsi="Google Sans" w:eastAsia="Google Sans" w:cs="Google Sans"/>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rPr>
        <w:t>8. Conclusion</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The Losant Enterprise IoT Platform architecture is a robust implementation of modern distributed systems principles applied to the IoT domain. By strictly decoupling the Data Plane (MQTT/HTTP), the Control Plane (Workflows), and the Presentation Plane (Dashboards/Experiences), it achieves the flexibility required for complex industrial applications.</w:t>
      </w:r>
    </w:p>
    <w:p>
      <w:pPr>
        <w:pStyle w:val="normal1"/>
        <w:pBdr/>
        <w:shd w:val="clear" w:fill="auto"/>
        <w:spacing w:lineRule="auto" w:line="273"/>
        <w:rPr>
          <w:rFonts w:ascii="Google Sans Text" w:hAnsi="Google Sans Text" w:eastAsia="Google Sans Text" w:cs="Google Sans Text"/>
        </w:rPr>
      </w:pPr>
      <w:r>
        <w:rPr>
          <w:rFonts w:eastAsia="Google Sans Text" w:cs="Google Sans Text" w:ascii="Google Sans Text" w:hAnsi="Google Sans Text"/>
        </w:rPr>
        <w:t xml:space="preserve">The strategic selection of the technology stack—leveraging the I/O concurrency of </w:t>
      </w:r>
      <w:r>
        <w:rPr>
          <w:rFonts w:eastAsia="Google Sans Text" w:cs="Google Sans Text" w:ascii="Google Sans Text" w:hAnsi="Google Sans Text"/>
          <w:b/>
          <w:bCs/>
        </w:rPr>
        <w:t>Node.js</w:t>
      </w:r>
      <w:r>
        <w:rPr>
          <w:rFonts w:eastAsia="Google Sans Text" w:cs="Google Sans Text" w:ascii="Google Sans Text" w:hAnsi="Google Sans Text"/>
        </w:rPr>
        <w:t xml:space="preserve"> for orchestration, the raw performance of </w:t>
      </w:r>
      <w:r>
        <w:rPr>
          <w:rFonts w:eastAsia="Google Sans Text" w:cs="Google Sans Text" w:ascii="Google Sans Text" w:hAnsi="Google Sans Text"/>
          <w:b/>
          <w:bCs/>
        </w:rPr>
        <w:t>Go</w:t>
      </w:r>
      <w:r>
        <w:rPr>
          <w:rFonts w:eastAsia="Google Sans Text" w:cs="Google Sans Text" w:ascii="Google Sans Text" w:hAnsi="Google Sans Text"/>
        </w:rPr>
        <w:t xml:space="preserve"> for infrastructure, and a </w:t>
      </w:r>
      <w:r>
        <w:rPr>
          <w:rFonts w:eastAsia="Google Sans Text" w:cs="Google Sans Text" w:ascii="Google Sans Text" w:hAnsi="Google Sans Text"/>
          <w:b/>
          <w:bCs/>
        </w:rPr>
        <w:t>Polyglot Persistence</w:t>
      </w:r>
      <w:r>
        <w:rPr>
          <w:rFonts w:eastAsia="Google Sans Text" w:cs="Google Sans Text" w:ascii="Google Sans Text" w:hAnsi="Google Sans Text"/>
        </w:rPr>
        <w:t xml:space="preserve"> layer—allows the platform to address the conflicting requirements of real-time operational visibility and long-term analytical depth. Furthermore, the symmetry between the </w:t>
      </w:r>
      <w:r>
        <w:rPr>
          <w:rFonts w:eastAsia="Google Sans Text" w:cs="Google Sans Text" w:ascii="Google Sans Text" w:hAnsi="Google Sans Text"/>
          <w:b/>
          <w:bCs/>
        </w:rPr>
        <w:t>Cloud</w:t>
      </w:r>
      <w:r>
        <w:rPr>
          <w:rFonts w:eastAsia="Google Sans Text" w:cs="Google Sans Text" w:ascii="Google Sans Text" w:hAnsi="Google Sans Text"/>
        </w:rPr>
        <w:t xml:space="preserve"> and </w:t>
      </w:r>
      <w:r>
        <w:rPr>
          <w:rFonts w:eastAsia="Google Sans Text" w:cs="Google Sans Text" w:ascii="Google Sans Text" w:hAnsi="Google Sans Text"/>
          <w:b/>
          <w:bCs/>
        </w:rPr>
        <w:t>Edge</w:t>
      </w:r>
      <w:r>
        <w:rPr>
          <w:rFonts w:eastAsia="Google Sans Text" w:cs="Google Sans Text" w:ascii="Google Sans Text" w:hAnsi="Google Sans Text"/>
        </w:rPr>
        <w:t xml:space="preserve"> workflow engines provides a unified development model that significantly reduces the complexity of deploying logic to the edge.</w:t>
      </w:r>
    </w:p>
    <w:p>
      <w:pPr>
        <w:pStyle w:val="normal1"/>
        <w:pBdr/>
        <w:shd w:val="clear" w:fill="auto"/>
        <w:spacing w:lineRule="auto" w:line="273" w:before="0" w:after="255"/>
        <w:rPr>
          <w:rFonts w:ascii="Google Sans Text" w:hAnsi="Google Sans Text" w:eastAsia="Google Sans Text" w:cs="Google Sans Text"/>
        </w:rPr>
      </w:pPr>
      <w:r>
        <w:rPr>
          <w:rFonts w:eastAsia="Google Sans Text" w:cs="Google Sans Text" w:ascii="Google Sans Text" w:hAnsi="Google Sans Text"/>
        </w:rPr>
        <w:t>For enterprise implementers, success on this platform relies on strictly adhering to the architectural requirements defined herein: utilizing Edge Workflows for latency-sensitive control, leveraging the Unified Namespace for scalable topic architecture, and employing Context Variables to drive operational scalability in visualization.</w:t>
      </w:r>
    </w:p>
    <w:p>
      <w:pPr>
        <w:pStyle w:val="Heading4"/>
        <w:pBdr/>
        <w:shd w:val="clear" w:fill="auto"/>
        <w:spacing w:lineRule="auto" w:line="240" w:before="0" w:after="255"/>
        <w:rPr>
          <w:rFonts w:ascii="Google Sans" w:hAnsi="Google Sans" w:eastAsia="Google Sans" w:cs="Google Sans"/>
        </w:rPr>
      </w:pPr>
      <w:r>
        <w:rPr>
          <w:rFonts w:eastAsia="Google Sans" w:cs="Google Sans" w:ascii="Google Sans" w:hAnsi="Google Sans"/>
        </w:rPr>
        <w:t>Works cited</w:t>
      </w:r>
    </w:p>
    <w:p>
      <w:pPr>
        <w:pStyle w:val="normal1"/>
        <w:numPr>
          <w:ilvl w:val="0"/>
          <w:numId w:val="16"/>
        </w:numPr>
        <w:pBdr/>
        <w:shd w:val="clear" w:fill="auto"/>
        <w:ind w:hanging="360" w:left="600"/>
        <w:rPr/>
      </w:pPr>
      <w:r>
        <w:rPr>
          <w:rFonts w:eastAsia="Google Sans" w:cs="Google Sans" w:ascii="Google Sans" w:hAnsi="Google Sans"/>
          <w:sz w:val="24"/>
          <w:szCs w:val="24"/>
        </w:rPr>
        <w:t xml:space="preserve">The Fundamental IoT Architecture - Losant IoT Platform, accessed February 4, 2026, </w:t>
      </w:r>
      <w:hyperlink r:id="rId2">
        <w:r>
          <w:rPr>
            <w:rStyle w:val="ListLabel271"/>
            <w:rFonts w:eastAsia="Google Sans" w:cs="Google Sans" w:ascii="Google Sans" w:hAnsi="Google Sans"/>
            <w:color w:val="0000EE"/>
            <w:sz w:val="24"/>
            <w:szCs w:val="24"/>
            <w:u w:val="single"/>
          </w:rPr>
          <w:t>https://www.losant.com/blog/the-fundamental-iot-architecture</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Architecture of an IoT Platform - Operational Scalability, accessed February 4, 2026, </w:t>
      </w:r>
      <w:hyperlink r:id="rId3">
        <w:r>
          <w:rPr>
            <w:rStyle w:val="ListLabel271"/>
            <w:rFonts w:eastAsia="Google Sans" w:cs="Google Sans" w:ascii="Google Sans" w:hAnsi="Google Sans"/>
            <w:color w:val="0000EE"/>
            <w:sz w:val="24"/>
            <w:szCs w:val="24"/>
            <w:u w:val="single"/>
          </w:rPr>
          <w:t>https://www.losant.com/blog/architecture-of-an-iot-platform-operational-scalability</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How to Implement a Unified Namespace with Losant, accessed February 4, 2026, </w:t>
      </w:r>
      <w:hyperlink r:id="rId4">
        <w:r>
          <w:rPr>
            <w:rStyle w:val="ListLabel271"/>
            <w:rFonts w:eastAsia="Google Sans" w:cs="Google Sans" w:ascii="Google Sans" w:hAnsi="Google Sans"/>
            <w:color w:val="0000EE"/>
            <w:sz w:val="24"/>
            <w:szCs w:val="24"/>
            <w:u w:val="single"/>
          </w:rPr>
          <w:t>https://www.losant.com/blog/how-to-implement-a-unified-namespace-with-losant</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Hierarchical Edge Computing - A Practical Edge Architecture for IIoT - Losant IoT Platform, accessed February 4, 2026, </w:t>
      </w:r>
      <w:hyperlink r:id="rId5">
        <w:r>
          <w:rPr>
            <w:rStyle w:val="ListLabel271"/>
            <w:rFonts w:eastAsia="Google Sans" w:cs="Google Sans" w:ascii="Google Sans" w:hAnsi="Google Sans"/>
            <w:color w:val="0000EE"/>
            <w:sz w:val="24"/>
            <w:szCs w:val="24"/>
            <w:u w:val="single"/>
          </w:rPr>
          <w:t>https://www.losant.com/blog/hierarchical-edge-computing-a-practical-edge-architecture-for-iiot</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Gateway Edge Agent | Losant IoT Platform Documentation, accessed February 4, 2026, </w:t>
      </w:r>
      <w:hyperlink r:id="rId6">
        <w:r>
          <w:rPr>
            <w:rStyle w:val="ListLabel271"/>
            <w:rFonts w:eastAsia="Google Sans" w:cs="Google Sans" w:ascii="Google Sans" w:hAnsi="Google Sans"/>
            <w:color w:val="0000EE"/>
            <w:sz w:val="24"/>
            <w:szCs w:val="24"/>
            <w:u w:val="single"/>
          </w:rPr>
          <w:t>https://docs.losant.com/edge-compute/gateway-edge-agent/overview/</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MQTT Node | Losant IoT Platform Documentation, accessed February 4, 2026, </w:t>
      </w:r>
      <w:hyperlink r:id="rId7">
        <w:r>
          <w:rPr>
            <w:rStyle w:val="ListLabel271"/>
            <w:rFonts w:eastAsia="Google Sans" w:cs="Google Sans" w:ascii="Google Sans" w:hAnsi="Google Sans"/>
            <w:color w:val="0000EE"/>
            <w:sz w:val="24"/>
            <w:szCs w:val="24"/>
            <w:u w:val="single"/>
          </w:rPr>
          <w:t>https://docs.losant.com/workflows/outputs/mqtt/</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Losant Enterprise IoT Platform | Features &amp; Services, accessed February 4, 2026, </w:t>
      </w:r>
      <w:hyperlink r:id="rId8">
        <w:r>
          <w:rPr>
            <w:rStyle w:val="ListLabel271"/>
            <w:rFonts w:eastAsia="Google Sans" w:cs="Google Sans" w:ascii="Google Sans" w:hAnsi="Google Sans"/>
            <w:color w:val="0000EE"/>
            <w:sz w:val="24"/>
            <w:szCs w:val="24"/>
            <w:u w:val="single"/>
          </w:rPr>
          <w:t>https://www.losant.com/iot-platform</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Manage IoT Building Easily With a Node-Based Visual Tool, accessed February 4, 2026, </w:t>
      </w:r>
      <w:hyperlink r:id="rId9">
        <w:r>
          <w:rPr>
            <w:rStyle w:val="ListLabel271"/>
            <w:rFonts w:eastAsia="Google Sans" w:cs="Google Sans" w:ascii="Google Sans" w:hAnsi="Google Sans"/>
            <w:color w:val="0000EE"/>
            <w:sz w:val="24"/>
            <w:szCs w:val="24"/>
            <w:u w:val="single"/>
          </w:rPr>
          <w:t>https://www.losant.com/blog/manage-iot-building-easily-with-a-node-based-visual-tool</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The Architecture of an IoT Platform - Data Storage, accessed February 4, 2026, </w:t>
      </w:r>
      <w:hyperlink r:id="rId10">
        <w:r>
          <w:rPr>
            <w:rStyle w:val="ListLabel271"/>
            <w:rFonts w:eastAsia="Google Sans" w:cs="Google Sans" w:ascii="Google Sans" w:hAnsi="Google Sans"/>
            <w:color w:val="0000EE"/>
            <w:sz w:val="24"/>
            <w:szCs w:val="24"/>
            <w:u w:val="single"/>
          </w:rPr>
          <w:t>https://www.losant.com/blog/the-architecture-of-an-iot-platform-data-storage</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Building a Multi-Tenant IoT Application - The Architecture, accessed February 4, 2026, </w:t>
      </w:r>
      <w:hyperlink r:id="rId11">
        <w:r>
          <w:rPr>
            <w:rStyle w:val="ListLabel271"/>
            <w:rFonts w:eastAsia="Google Sans" w:cs="Google Sans" w:ascii="Google Sans" w:hAnsi="Google Sans"/>
            <w:color w:val="0000EE"/>
            <w:sz w:val="24"/>
            <w:szCs w:val="24"/>
            <w:u w:val="single"/>
          </w:rPr>
          <w:t>https://www.losant.com/blog/building-a-multi-tenant-iot-application-the-architecture</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Why Choose Losant vs Node-RED As Your Low-Code Development Platform?, accessed February 4, 2026, </w:t>
      </w:r>
      <w:hyperlink r:id="rId12">
        <w:r>
          <w:rPr>
            <w:rStyle w:val="ListLabel271"/>
            <w:rFonts w:eastAsia="Google Sans" w:cs="Google Sans" w:ascii="Google Sans" w:hAnsi="Google Sans"/>
            <w:color w:val="0000EE"/>
            <w:sz w:val="24"/>
            <w:szCs w:val="24"/>
            <w:u w:val="single"/>
          </w:rPr>
          <w:t>https://www.losant.com/blog/why-choose-losant-vs-node-red-as-your-low-code-development-platform</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MongoDB Node | Losant IoT Platform Documentation, accessed February 4, 2026, </w:t>
      </w:r>
      <w:hyperlink r:id="rId13">
        <w:r>
          <w:rPr>
            <w:rStyle w:val="ListLabel271"/>
            <w:rFonts w:eastAsia="Google Sans" w:cs="Google Sans" w:ascii="Google Sans" w:hAnsi="Google Sans"/>
            <w:color w:val="0000EE"/>
            <w:sz w:val="24"/>
            <w:szCs w:val="24"/>
            <w:u w:val="single"/>
          </w:rPr>
          <w:t>https://docs.losant.com/workflows/data/mongo/</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Redis Node | Losant IoT Platform Documentation, accessed February 4, 2026, </w:t>
      </w:r>
      <w:hyperlink r:id="rId14">
        <w:r>
          <w:rPr>
            <w:rStyle w:val="ListLabel271"/>
            <w:rFonts w:eastAsia="Google Sans" w:cs="Google Sans" w:ascii="Google Sans" w:hAnsi="Google Sans"/>
            <w:color w:val="0000EE"/>
            <w:sz w:val="24"/>
            <w:szCs w:val="24"/>
            <w:u w:val="single"/>
          </w:rPr>
          <w:t>https://docs.losant.com/workflows/data/redis/</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Data: Time Series Node | Losant IoT Platform Documentation, accessed February 4, 2026, </w:t>
      </w:r>
      <w:hyperlink r:id="rId15">
        <w:r>
          <w:rPr>
            <w:rStyle w:val="ListLabel271"/>
            <w:rFonts w:eastAsia="Google Sans" w:cs="Google Sans" w:ascii="Google Sans" w:hAnsi="Google Sans"/>
            <w:color w:val="0000EE"/>
            <w:sz w:val="24"/>
            <w:szCs w:val="24"/>
            <w:u w:val="single"/>
          </w:rPr>
          <w:t>https://docs.losant.com/workflows/data/data-time-series-query/</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Platform Update - Improved Edge Workflow Development, Siemens S7 Nodes, accessed February 4, 2026, </w:t>
      </w:r>
      <w:hyperlink r:id="rId16">
        <w:r>
          <w:rPr>
            <w:rStyle w:val="ListLabel271"/>
            <w:rFonts w:eastAsia="Google Sans" w:cs="Google Sans" w:ascii="Google Sans" w:hAnsi="Google Sans"/>
            <w:color w:val="0000EE"/>
            <w:sz w:val="24"/>
            <w:szCs w:val="24"/>
            <w:u w:val="single"/>
          </w:rPr>
          <w:t>https://www.losant.com/blog/platform-update-improved-edge-workflow-development-siemens-s7-nodes</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Browse All Sub-Agents, accessed February 4, 2026, </w:t>
      </w:r>
      <w:hyperlink r:id="rId17">
        <w:r>
          <w:rPr>
            <w:rStyle w:val="ListLabel271"/>
            <w:rFonts w:eastAsia="Google Sans" w:cs="Google Sans" w:ascii="Google Sans" w:hAnsi="Google Sans"/>
            <w:color w:val="0000EE"/>
            <w:sz w:val="24"/>
            <w:szCs w:val="24"/>
            <w:u w:val="single"/>
          </w:rPr>
          <w:t>https://sub-agents.directory/agents</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The IoT Application Technology Stack - Losant Discussions, accessed February 4, 2026, </w:t>
      </w:r>
      <w:hyperlink r:id="rId18">
        <w:r>
          <w:rPr>
            <w:rStyle w:val="ListLabel271"/>
            <w:rFonts w:eastAsia="Google Sans" w:cs="Google Sans" w:ascii="Google Sans" w:hAnsi="Google Sans"/>
            <w:color w:val="0000EE"/>
            <w:sz w:val="24"/>
            <w:szCs w:val="24"/>
            <w:u w:val="single"/>
          </w:rPr>
          <w:t>https://forums.losant.com/t/the-iot-application-technology-stack/3106</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Function Node | Losant IoT Platform Documentation, accessed February 4, 2026, </w:t>
      </w:r>
      <w:hyperlink r:id="rId19">
        <w:r>
          <w:rPr>
            <w:rStyle w:val="ListLabel271"/>
            <w:rFonts w:eastAsia="Google Sans" w:cs="Google Sans" w:ascii="Google Sans" w:hAnsi="Google Sans"/>
            <w:color w:val="0000EE"/>
            <w:sz w:val="24"/>
            <w:szCs w:val="24"/>
            <w:u w:val="single"/>
          </w:rPr>
          <w:t>https://docs.losant.com/workflows/logic/function/</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Platform Update - WebSocket Support and New Service Credentials, accessed February 4, 2026, </w:t>
      </w:r>
      <w:hyperlink r:id="rId20">
        <w:r>
          <w:rPr>
            <w:rStyle w:val="ListLabel271"/>
            <w:rFonts w:eastAsia="Google Sans" w:cs="Google Sans" w:ascii="Google Sans" w:hAnsi="Google Sans"/>
            <w:color w:val="0000EE"/>
            <w:sz w:val="24"/>
            <w:szCs w:val="24"/>
            <w:u w:val="single"/>
          </w:rPr>
          <w:t>https://www.losant.com/blog/platform-update-websockets-twilio-sendgrid</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Edge Compute Devices | Losant IoT Platform Documentation, accessed February 4, 2026, </w:t>
      </w:r>
      <w:hyperlink r:id="rId21">
        <w:r>
          <w:rPr>
            <w:rStyle w:val="ListLabel271"/>
            <w:rFonts w:eastAsia="Google Sans" w:cs="Google Sans" w:ascii="Google Sans" w:hAnsi="Google Sans"/>
            <w:color w:val="0000EE"/>
            <w:sz w:val="24"/>
            <w:szCs w:val="24"/>
            <w:u w:val="single"/>
          </w:rPr>
          <w:t>https://docs.losant.com/devices/edge-compute/</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Top React Jobs — Week 30, 2021 | by Nicolae - Medium, accessed February 4, 2026, </w:t>
      </w:r>
      <w:hyperlink r:id="rId22">
        <w:r>
          <w:rPr>
            <w:rStyle w:val="ListLabel271"/>
            <w:rFonts w:eastAsia="Google Sans" w:cs="Google Sans" w:ascii="Google Sans" w:hAnsi="Google Sans"/>
            <w:color w:val="0000EE"/>
            <w:sz w:val="24"/>
            <w:szCs w:val="24"/>
            <w:u w:val="single"/>
          </w:rPr>
          <w:t>https://medium.com/@nicolae/top-react-jobs-week-30-2021-4ef78e35fbb6</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Dashboards | Losant IoT Platform Documentation, accessed February 4, 2026, </w:t>
      </w:r>
      <w:hyperlink r:id="rId23">
        <w:r>
          <w:rPr>
            <w:rStyle w:val="ListLabel271"/>
            <w:rFonts w:eastAsia="Google Sans" w:cs="Google Sans" w:ascii="Google Sans" w:hAnsi="Google Sans"/>
            <w:color w:val="0000EE"/>
            <w:sz w:val="24"/>
            <w:szCs w:val="24"/>
            <w:u w:val="single"/>
          </w:rPr>
          <w:t>https://docs.losant.com/dashboards/overview/</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How to Visualize Your Data at the Edge With InfluxDB and Losant, accessed February 4, 2026, </w:t>
      </w:r>
      <w:hyperlink r:id="rId24">
        <w:r>
          <w:rPr>
            <w:rStyle w:val="ListLabel271"/>
            <w:rFonts w:eastAsia="Google Sans" w:cs="Google Sans" w:ascii="Google Sans" w:hAnsi="Google Sans"/>
            <w:color w:val="0000EE"/>
            <w:sz w:val="24"/>
            <w:szCs w:val="24"/>
            <w:u w:val="single"/>
          </w:rPr>
          <w:t>https://www.losant.com/deeper-dive-webinar-replay-how-to-visualize-your-data-at-the-edge-with-influxdb-and-losant</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Introducing Support for MongoDB and Redis Data Sources, New Dashboard Features, and More - Losant IoT Platform, accessed February 4, 2026, </w:t>
      </w:r>
      <w:hyperlink r:id="rId25">
        <w:r>
          <w:rPr>
            <w:rStyle w:val="ListLabel271"/>
            <w:rFonts w:eastAsia="Google Sans" w:cs="Google Sans" w:ascii="Google Sans" w:hAnsi="Google Sans"/>
            <w:color w:val="0000EE"/>
            <w:sz w:val="24"/>
            <w:szCs w:val="24"/>
            <w:u w:val="single"/>
          </w:rPr>
          <w:t>https://www.losant.com/blog/introducing-mongodb-redis-support</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Gateway Edge Agent Usage | Losant IoT Platform Documentation, accessed February 4, 2026, </w:t>
      </w:r>
      <w:hyperlink r:id="rId26">
        <w:r>
          <w:rPr>
            <w:rStyle w:val="ListLabel271"/>
            <w:rFonts w:eastAsia="Google Sans" w:cs="Google Sans" w:ascii="Google Sans" w:hAnsi="Google Sans"/>
            <w:color w:val="0000EE"/>
            <w:sz w:val="24"/>
            <w:szCs w:val="24"/>
            <w:u w:val="single"/>
          </w:rPr>
          <w:t>https://docs.losant.com/edge-compute/gateway-edge-agent/usage/</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Cloud Deployment Options - Losant IoT Platform, accessed February 4, 2026, </w:t>
      </w:r>
      <w:hyperlink r:id="rId27">
        <w:r>
          <w:rPr>
            <w:rStyle w:val="ListLabel271"/>
            <w:rFonts w:eastAsia="Google Sans" w:cs="Google Sans" w:ascii="Google Sans" w:hAnsi="Google Sans"/>
            <w:color w:val="0000EE"/>
            <w:sz w:val="24"/>
            <w:szCs w:val="24"/>
            <w:u w:val="single"/>
          </w:rPr>
          <w:t>https://www.losant.com/cloud-deployment-options</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Docker Swarm vs. Kubernetes - Oracle, accessed February 4, 2026, </w:t>
      </w:r>
      <w:hyperlink r:id="rId28">
        <w:r>
          <w:rPr>
            <w:rStyle w:val="ListLabel271"/>
            <w:rFonts w:eastAsia="Google Sans" w:cs="Google Sans" w:ascii="Google Sans" w:hAnsi="Google Sans"/>
            <w:color w:val="0000EE"/>
            <w:sz w:val="24"/>
            <w:szCs w:val="24"/>
            <w:u w:val="single"/>
          </w:rPr>
          <w:t>https://www.oracle.com/cloud/cloud-native/kubernetes-engine/what-is-kubernetes/vs-docker-swarm/</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Gateway Edge Agent Installation | Losant IoT Platform Documentation, accessed February 4, 2026, </w:t>
      </w:r>
      <w:hyperlink r:id="rId29">
        <w:r>
          <w:rPr>
            <w:rStyle w:val="ListLabel271"/>
            <w:rFonts w:eastAsia="Google Sans" w:cs="Google Sans" w:ascii="Google Sans" w:hAnsi="Google Sans"/>
            <w:color w:val="0000EE"/>
            <w:sz w:val="24"/>
            <w:szCs w:val="24"/>
            <w:u w:val="single"/>
          </w:rPr>
          <w:t>https://docs.losant.com/edge-compute/gateway-edge-agent/installation/</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How To Report Device State Using a Custom MQTT Topic, accessed February 4, 2026, </w:t>
      </w:r>
      <w:hyperlink r:id="rId30">
        <w:r>
          <w:rPr>
            <w:rStyle w:val="ListLabel271"/>
            <w:rFonts w:eastAsia="Google Sans" w:cs="Google Sans" w:ascii="Google Sans" w:hAnsi="Google Sans"/>
            <w:color w:val="0000EE"/>
            <w:sz w:val="24"/>
            <w:szCs w:val="24"/>
            <w:u w:val="single"/>
          </w:rPr>
          <w:t>https://docs.losant.com/guides/how-to-report-device-state-using-a-custom-mqtt-topic/</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MQTT Protocol - Losant IoT Platform Documentation, accessed February 4, 2026, </w:t>
      </w:r>
      <w:hyperlink r:id="rId31">
        <w:r>
          <w:rPr>
            <w:rStyle w:val="ListLabel271"/>
            <w:rFonts w:eastAsia="Google Sans" w:cs="Google Sans" w:ascii="Google Sans" w:hAnsi="Google Sans"/>
            <w:color w:val="0000EE"/>
            <w:sz w:val="24"/>
            <w:szCs w:val="24"/>
            <w:u w:val="single"/>
          </w:rPr>
          <w:t>https://docs.losant.com/mqtt/overview/</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Compare NATS - NATS Docs - NATS.io, accessed February 4, 2026, </w:t>
      </w:r>
      <w:hyperlink r:id="rId32">
        <w:r>
          <w:rPr>
            <w:rStyle w:val="ListLabel271"/>
            <w:rFonts w:eastAsia="Google Sans" w:cs="Google Sans" w:ascii="Google Sans" w:hAnsi="Google Sans"/>
            <w:color w:val="0000EE"/>
            <w:sz w:val="24"/>
            <w:szCs w:val="24"/>
            <w:u w:val="single"/>
          </w:rPr>
          <w:t>https://docs.nats.io/nats-concepts/overview/compare-nats</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NATS and Kafka Compared | Synadia, accessed February 4, 2026, </w:t>
      </w:r>
      <w:hyperlink r:id="rId33">
        <w:r>
          <w:rPr>
            <w:rStyle w:val="ListLabel271"/>
            <w:rFonts w:eastAsia="Google Sans" w:cs="Google Sans" w:ascii="Google Sans" w:hAnsi="Google Sans"/>
            <w:color w:val="0000EE"/>
            <w:sz w:val="24"/>
            <w:szCs w:val="24"/>
            <w:u w:val="single"/>
          </w:rPr>
          <w:t>https://www.synadia.com/blog/nats-and-kafka-compared</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WebSocket Trigger | Losant IoT Platform Documentation, accessed February 4, 2026, </w:t>
      </w:r>
      <w:hyperlink r:id="rId34">
        <w:r>
          <w:rPr>
            <w:rStyle w:val="ListLabel271"/>
            <w:rFonts w:eastAsia="Google Sans" w:cs="Google Sans" w:ascii="Google Sans" w:hAnsi="Google Sans"/>
            <w:color w:val="0000EE"/>
            <w:sz w:val="24"/>
            <w:szCs w:val="24"/>
            <w:u w:val="single"/>
          </w:rPr>
          <w:t>https://docs.losant.com/workflows/triggers/websocket/</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Web socket - persistent connection - Help - Losant Forums, accessed February 4, 2026, </w:t>
      </w:r>
      <w:hyperlink r:id="rId35">
        <w:r>
          <w:rPr>
            <w:rStyle w:val="ListLabel271"/>
            <w:rFonts w:eastAsia="Google Sans" w:cs="Google Sans" w:ascii="Google Sans" w:hAnsi="Google Sans"/>
            <w:color w:val="0000EE"/>
            <w:sz w:val="24"/>
            <w:szCs w:val="24"/>
            <w:u w:val="single"/>
          </w:rPr>
          <w:t>https://forums.losant.com/t/web-socket-persistent-connection/964</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Workflows | Losant IoT Platform Documentation, accessed February 4, 2026, </w:t>
      </w:r>
      <w:hyperlink r:id="rId36">
        <w:r>
          <w:rPr>
            <w:rStyle w:val="ListLabel271"/>
            <w:rFonts w:eastAsia="Google Sans" w:cs="Google Sans" w:ascii="Google Sans" w:hAnsi="Google Sans"/>
            <w:color w:val="0000EE"/>
            <w:sz w:val="24"/>
            <w:szCs w:val="24"/>
            <w:u w:val="single"/>
          </w:rPr>
          <w:t>https://docs.losant.com/workflows/overview/</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Building Performant Workflows | Losant IoT Platform Documentation, accessed February 4, 2026, </w:t>
      </w:r>
      <w:hyperlink r:id="rId37">
        <w:r>
          <w:rPr>
            <w:rStyle w:val="ListLabel271"/>
            <w:rFonts w:eastAsia="Google Sans" w:cs="Google Sans" w:ascii="Google Sans" w:hAnsi="Google Sans"/>
            <w:color w:val="0000EE"/>
            <w:sz w:val="24"/>
            <w:szCs w:val="24"/>
            <w:u w:val="single"/>
          </w:rPr>
          <w:t>https://docs.losant.com/references/performant-workflows/</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List of Workflow Nodes - Losant IoT Platform Documentation, accessed February 4, 2026, </w:t>
      </w:r>
      <w:hyperlink r:id="rId38">
        <w:r>
          <w:rPr>
            <w:rStyle w:val="ListLabel271"/>
            <w:rFonts w:eastAsia="Google Sans" w:cs="Google Sans" w:ascii="Google Sans" w:hAnsi="Google Sans"/>
            <w:color w:val="0000EE"/>
            <w:sz w:val="24"/>
            <w:szCs w:val="24"/>
            <w:u w:val="single"/>
          </w:rPr>
          <w:t>https://docs.losant.com/workflows/list-of-workflow-nodes/</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How To Manipulate and Convert Device Data Using a Workflow, accessed February 4, 2026, </w:t>
      </w:r>
      <w:hyperlink r:id="rId39">
        <w:r>
          <w:rPr>
            <w:rStyle w:val="ListLabel271"/>
            <w:rFonts w:eastAsia="Google Sans" w:cs="Google Sans" w:ascii="Google Sans" w:hAnsi="Google Sans"/>
            <w:color w:val="0000EE"/>
            <w:sz w:val="24"/>
            <w:szCs w:val="24"/>
            <w:u w:val="single"/>
          </w:rPr>
          <w:t>https://docs.losant.com/guides/how-to-manipulate-and-convert-device-data-using-a-workflow/</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MQTT Trigger - Losant IoT Platform Documentation, accessed February 4, 2026, </w:t>
      </w:r>
      <w:hyperlink r:id="rId40">
        <w:r>
          <w:rPr>
            <w:rStyle w:val="ListLabel271"/>
            <w:rFonts w:eastAsia="Google Sans" w:cs="Google Sans" w:ascii="Google Sans" w:hAnsi="Google Sans"/>
            <w:color w:val="0000EE"/>
            <w:sz w:val="24"/>
            <w:szCs w:val="24"/>
            <w:u w:val="single"/>
          </w:rPr>
          <w:t>https://docs.losant.com/workflows/triggers/mqtt/</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Platform Update - Time Series Node, Event Filtering, and Audit Logs for Enterprise, accessed February 4, 2026, </w:t>
      </w:r>
      <w:hyperlink r:id="rId41">
        <w:r>
          <w:rPr>
            <w:rStyle w:val="ListLabel271"/>
            <w:rFonts w:eastAsia="Google Sans" w:cs="Google Sans" w:ascii="Google Sans" w:hAnsi="Google Sans"/>
            <w:color w:val="0000EE"/>
            <w:sz w:val="24"/>
            <w:szCs w:val="24"/>
            <w:u w:val="single"/>
          </w:rPr>
          <w:t>https://www.losant.com/blog/platform-update-20170117</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Losant Edge Compute, accessed February 4, 2026, </w:t>
      </w:r>
      <w:hyperlink r:id="rId42">
        <w:r>
          <w:rPr>
            <w:rStyle w:val="ListLabel271"/>
            <w:rFonts w:eastAsia="Google Sans" w:cs="Google Sans" w:ascii="Google Sans" w:hAnsi="Google Sans"/>
            <w:color w:val="0000EE"/>
            <w:sz w:val="24"/>
            <w:szCs w:val="24"/>
            <w:u w:val="single"/>
          </w:rPr>
          <w:t>https://docs.losant.com/edge-compute/overview/</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Deeper Dive Webinar Replay Implementing a Multi-tenancy Model - Losant IoT Platform, accessed February 4, 2026, </w:t>
      </w:r>
      <w:hyperlink r:id="rId43">
        <w:r>
          <w:rPr>
            <w:rStyle w:val="ListLabel271"/>
            <w:rFonts w:eastAsia="Google Sans" w:cs="Google Sans" w:ascii="Google Sans" w:hAnsi="Google Sans"/>
            <w:color w:val="0000EE"/>
            <w:sz w:val="24"/>
            <w:szCs w:val="24"/>
            <w:u w:val="single"/>
          </w:rPr>
          <w:t>https://www.losant.com/deeper-dive-webinar-replay-implementing-a-multi-tenancy-model</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Dashboard List - Losant IoT Platform Documentation, accessed February 4, 2026, </w:t>
      </w:r>
      <w:hyperlink r:id="rId44">
        <w:r>
          <w:rPr>
            <w:rStyle w:val="ListLabel271"/>
            <w:rFonts w:eastAsia="Google Sans" w:cs="Google Sans" w:ascii="Google Sans" w:hAnsi="Google Sans"/>
            <w:color w:val="0000EE"/>
            <w:sz w:val="24"/>
            <w:szCs w:val="24"/>
            <w:u w:val="single"/>
          </w:rPr>
          <w:t>https://docs.losant.com/dashboards/blocks/dashboard-list/</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Application List - Losant IoT Platform Documentation, accessed February 4, 2026, </w:t>
      </w:r>
      <w:hyperlink r:id="rId45">
        <w:r>
          <w:rPr>
            <w:rStyle w:val="ListLabel271"/>
            <w:rFonts w:eastAsia="Google Sans" w:cs="Google Sans" w:ascii="Google Sans" w:hAnsi="Google Sans"/>
            <w:color w:val="0000EE"/>
            <w:sz w:val="24"/>
            <w:szCs w:val="24"/>
            <w:u w:val="single"/>
          </w:rPr>
          <w:t>https://docs.losant.com/dashboards/blocks/application-list/</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Course 4: Data Visualization | Losant IoT Platform Documentation, accessed February 4, 2026, </w:t>
      </w:r>
      <w:hyperlink r:id="rId46">
        <w:r>
          <w:rPr>
            <w:rStyle w:val="ListLabel271"/>
            <w:rFonts w:eastAsia="Google Sans" w:cs="Google Sans" w:ascii="Google Sans" w:hAnsi="Google Sans"/>
            <w:color w:val="0000EE"/>
            <w:sz w:val="24"/>
            <w:szCs w:val="24"/>
            <w:u w:val="single"/>
          </w:rPr>
          <w:t>https://docs.losant.com/university/course-four/</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Gateway Edge Agent Walkthrough | Losant IoT Platform Documentation, accessed February 4, 2026, </w:t>
      </w:r>
      <w:hyperlink r:id="rId47">
        <w:r>
          <w:rPr>
            <w:rStyle w:val="ListLabel271"/>
            <w:rFonts w:eastAsia="Google Sans" w:cs="Google Sans" w:ascii="Google Sans" w:hAnsi="Google Sans"/>
            <w:color w:val="0000EE"/>
            <w:sz w:val="24"/>
            <w:szCs w:val="24"/>
            <w:u w:val="single"/>
          </w:rPr>
          <w:t>https://docs.losant.com/edge-compute/gateway-edge-agent/walkthrough/</w:t>
        </w:r>
      </w:hyperlink>
    </w:p>
    <w:p>
      <w:pPr>
        <w:pStyle w:val="normal1"/>
        <w:numPr>
          <w:ilvl w:val="0"/>
          <w:numId w:val="16"/>
        </w:numPr>
        <w:pBdr/>
        <w:shd w:val="clear" w:fill="auto"/>
        <w:ind w:hanging="360" w:left="600"/>
        <w:rPr/>
      </w:pPr>
      <w:r>
        <w:rPr>
          <w:rFonts w:eastAsia="Google Sans" w:cs="Google Sans" w:ascii="Google Sans" w:hAnsi="Google Sans"/>
          <w:sz w:val="24"/>
          <w:szCs w:val="24"/>
        </w:rPr>
        <w:t xml:space="preserve">A Smart Environment Application Template using LoRaWAN for monitoring, accessed February 4, 2026, </w:t>
      </w:r>
      <w:hyperlink r:id="rId49">
        <w:r>
          <w:rPr>
            <w:rStyle w:val="Hyperlink"/>
            <w:rFonts w:eastAsia="Google Sans" w:cs="Google Sans" w:ascii="Google Sans" w:hAnsi="Google Sans"/>
            <w:color w:val="0000EE"/>
            <w:sz w:val="24"/>
            <w:szCs w:val="24"/>
            <w:u w:val="single"/>
          </w:rPr>
          <w:t>https://www.losant.com/deeper-dive-webinar-replay-bring-your-smart-environment-to-life</w:t>
        </w:r>
      </w:hyperlink>
    </w:p>
    <w:p>
      <w:pPr>
        <w:pStyle w:val="normal1"/>
        <w:pBdr/>
        <w:shd w:val="clear" w:fill="auto"/>
        <w:ind w:hanging="360" w:left="600"/>
        <w:rPr>
          <w:rFonts w:ascii="Google Sans" w:hAnsi="Google Sans" w:eastAsia="Google Sans" w:cs="Google Sans"/>
          <w:color w:val="0000EE"/>
          <w:sz w:val="24"/>
          <w:szCs w:val="24"/>
          <w:u w:val="single"/>
        </w:rPr>
      </w:pPr>
      <w:r>
        <w:rPr/>
      </w:r>
    </w:p>
    <w:tbl>
      <w:tblPr>
        <w:tblW w:w="6752" w:type="dxa"/>
        <w:jc w:val="left"/>
        <w:tblInd w:w="0" w:type="dxa"/>
        <w:tblLayout w:type="fixed"/>
        <w:tblCellMar>
          <w:top w:w="28" w:type="dxa"/>
          <w:left w:w="28" w:type="dxa"/>
          <w:bottom w:w="28" w:type="dxa"/>
          <w:right w:w="28" w:type="dxa"/>
        </w:tblCellMar>
      </w:tblPr>
      <w:tblGrid>
        <w:gridCol w:w="2318"/>
        <w:gridCol w:w="1373"/>
        <w:gridCol w:w="1508"/>
        <w:gridCol w:w="1553"/>
      </w:tblGrid>
      <w:tr>
        <w:trPr/>
        <w:tc>
          <w:tcPr>
            <w:tcW w:w="2318" w:type="dxa"/>
            <w:tcBorders/>
            <w:vAlign w:val="center"/>
          </w:tcPr>
          <w:p>
            <w:pPr>
              <w:pStyle w:val="TableContents"/>
              <w:rPr/>
            </w:pPr>
            <w:r>
              <w:rPr/>
              <w:t> </w:t>
            </w:r>
          </w:p>
        </w:tc>
        <w:tc>
          <w:tcPr>
            <w:tcW w:w="1373" w:type="dxa"/>
            <w:tcBorders/>
            <w:vAlign w:val="center"/>
          </w:tcPr>
          <w:p>
            <w:pPr>
              <w:pStyle w:val="TableContents"/>
              <w:rPr/>
            </w:pPr>
            <w:r>
              <w:rPr>
                <w:rStyle w:val="Strong"/>
              </w:rPr>
              <w:t>kB</w:t>
            </w:r>
          </w:p>
        </w:tc>
        <w:tc>
          <w:tcPr>
            <w:tcW w:w="1508" w:type="dxa"/>
            <w:tcBorders/>
            <w:vAlign w:val="center"/>
          </w:tcPr>
          <w:p>
            <w:pPr>
              <w:pStyle w:val="TableContents"/>
              <w:rPr/>
            </w:pPr>
            <w:r>
              <w:rPr>
                <w:rStyle w:val="Strong"/>
              </w:rPr>
              <w:t>MB</w:t>
            </w:r>
          </w:p>
        </w:tc>
        <w:tc>
          <w:tcPr>
            <w:tcW w:w="1553" w:type="dxa"/>
            <w:tcBorders/>
            <w:vAlign w:val="center"/>
          </w:tcPr>
          <w:p>
            <w:pPr>
              <w:pStyle w:val="TableContents"/>
              <w:rPr/>
            </w:pPr>
            <w:r>
              <w:rPr>
                <w:rStyle w:val="Strong"/>
              </w:rPr>
              <w:t>GB</w:t>
            </w:r>
          </w:p>
        </w:tc>
      </w:tr>
      <w:tr>
        <w:trPr/>
        <w:tc>
          <w:tcPr>
            <w:tcW w:w="2318" w:type="dxa"/>
            <w:tcBorders/>
            <w:vAlign w:val="center"/>
          </w:tcPr>
          <w:p>
            <w:pPr>
              <w:pStyle w:val="TableContents"/>
              <w:rPr/>
            </w:pPr>
            <w:r>
              <w:rPr/>
              <w:t>Total data flow/sec</w:t>
            </w:r>
          </w:p>
        </w:tc>
        <w:tc>
          <w:tcPr>
            <w:tcW w:w="1373" w:type="dxa"/>
            <w:tcBorders/>
            <w:vAlign w:val="center"/>
          </w:tcPr>
          <w:p>
            <w:pPr>
              <w:pStyle w:val="TableContents"/>
              <w:rPr/>
            </w:pPr>
            <w:r>
              <w:rPr/>
              <w:t>27132.8125</w:t>
            </w:r>
          </w:p>
        </w:tc>
        <w:tc>
          <w:tcPr>
            <w:tcW w:w="1508" w:type="dxa"/>
            <w:tcBorders/>
            <w:vAlign w:val="center"/>
          </w:tcPr>
          <w:p>
            <w:pPr>
              <w:pStyle w:val="TableContents"/>
              <w:rPr/>
            </w:pPr>
            <w:r>
              <w:rPr/>
              <w:t>26.49688721</w:t>
            </w:r>
          </w:p>
        </w:tc>
        <w:tc>
          <w:tcPr>
            <w:tcW w:w="1553" w:type="dxa"/>
            <w:tcBorders/>
            <w:vAlign w:val="center"/>
          </w:tcPr>
          <w:p>
            <w:pPr>
              <w:pStyle w:val="TableContents"/>
              <w:rPr/>
            </w:pPr>
            <w:r>
              <w:rPr/>
              <w:t>0.025875866</w:t>
            </w:r>
          </w:p>
        </w:tc>
      </w:tr>
      <w:tr>
        <w:trPr/>
        <w:tc>
          <w:tcPr>
            <w:tcW w:w="2318" w:type="dxa"/>
            <w:tcBorders/>
            <w:vAlign w:val="center"/>
          </w:tcPr>
          <w:p>
            <w:pPr>
              <w:pStyle w:val="TableContents"/>
              <w:rPr/>
            </w:pPr>
            <w:r>
              <w:rPr/>
              <w:t>Total data flow/hr</w:t>
            </w:r>
          </w:p>
        </w:tc>
        <w:tc>
          <w:tcPr>
            <w:tcW w:w="1373" w:type="dxa"/>
            <w:tcBorders/>
            <w:vAlign w:val="center"/>
          </w:tcPr>
          <w:p>
            <w:pPr>
              <w:pStyle w:val="TableContents"/>
              <w:rPr/>
            </w:pPr>
            <w:r>
              <w:rPr/>
              <w:t>1627968.75</w:t>
            </w:r>
          </w:p>
        </w:tc>
        <w:tc>
          <w:tcPr>
            <w:tcW w:w="1508" w:type="dxa"/>
            <w:tcBorders/>
            <w:vAlign w:val="center"/>
          </w:tcPr>
          <w:p>
            <w:pPr>
              <w:pStyle w:val="TableContents"/>
              <w:rPr/>
            </w:pPr>
            <w:r>
              <w:rPr/>
              <w:t>1589.813232</w:t>
            </w:r>
          </w:p>
        </w:tc>
        <w:tc>
          <w:tcPr>
            <w:tcW w:w="1553" w:type="dxa"/>
            <w:tcBorders/>
            <w:vAlign w:val="center"/>
          </w:tcPr>
          <w:p>
            <w:pPr>
              <w:pStyle w:val="TableContents"/>
              <w:rPr/>
            </w:pPr>
            <w:r>
              <w:rPr/>
              <w:t>1.552551985</w:t>
            </w:r>
          </w:p>
        </w:tc>
      </w:tr>
      <w:tr>
        <w:trPr/>
        <w:tc>
          <w:tcPr>
            <w:tcW w:w="2318" w:type="dxa"/>
            <w:tcBorders/>
            <w:vAlign w:val="center"/>
          </w:tcPr>
          <w:p>
            <w:pPr>
              <w:pStyle w:val="TableContents"/>
              <w:rPr/>
            </w:pPr>
            <w:r>
              <w:rPr/>
              <w:t>Total data flow/day</w:t>
            </w:r>
          </w:p>
        </w:tc>
        <w:tc>
          <w:tcPr>
            <w:tcW w:w="1373" w:type="dxa"/>
            <w:tcBorders/>
            <w:vAlign w:val="center"/>
          </w:tcPr>
          <w:p>
            <w:pPr>
              <w:pStyle w:val="TableContents"/>
              <w:rPr/>
            </w:pPr>
            <w:r>
              <w:rPr/>
              <w:t>97678125</w:t>
            </w:r>
          </w:p>
        </w:tc>
        <w:tc>
          <w:tcPr>
            <w:tcW w:w="1508" w:type="dxa"/>
            <w:tcBorders/>
            <w:vAlign w:val="center"/>
          </w:tcPr>
          <w:p>
            <w:pPr>
              <w:pStyle w:val="TableContents"/>
              <w:rPr/>
            </w:pPr>
            <w:r>
              <w:rPr/>
              <w:t>95388.79395</w:t>
            </w:r>
          </w:p>
        </w:tc>
        <w:tc>
          <w:tcPr>
            <w:tcW w:w="1553" w:type="dxa"/>
            <w:tcBorders/>
            <w:vAlign w:val="center"/>
          </w:tcPr>
          <w:p>
            <w:pPr>
              <w:pStyle w:val="TableContents"/>
              <w:rPr/>
            </w:pPr>
            <w:r>
              <w:rPr/>
              <w:t>93.15311909</w:t>
            </w:r>
          </w:p>
        </w:tc>
      </w:tr>
    </w:tbl>
    <w:p>
      <w:pPr>
        <w:pStyle w:val="Normal"/>
        <w:pBdr/>
        <w:shd w:val="clear" w:fill="auto"/>
        <w:ind w:hanging="360" w:left="600"/>
        <w:rPr>
          <w:rFonts w:ascii="Google Sans" w:hAnsi="Google Sans" w:eastAsia="Google Sans" w:cs="Google Sans"/>
          <w:color w:val="0000EE"/>
          <w:sz w:val="24"/>
          <w:szCs w:val="24"/>
          <w:u w:val="single"/>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Google Sans">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oogle Sans Text">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4">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5">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6">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7">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8">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9">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0">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1">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2">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3">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4">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5">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6">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7">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8">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9">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0">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1">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2">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3">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4">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5">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6">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7">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8">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9">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0">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2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8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pBdr/>
      <w:shd w:val="clear" w:fill="auto"/>
      <w:spacing w:lineRule="auto" w:line="240" w:before="240" w:after="240"/>
    </w:pPr>
    <w:rPr>
      <w:b/>
      <w:bCs/>
      <w:i w:val="false"/>
      <w:iCs w:val="false"/>
      <w:sz w:val="48"/>
      <w:szCs w:val="48"/>
    </w:rPr>
  </w:style>
  <w:style w:type="paragraph" w:styleId="Heading2">
    <w:name w:val="Heading 2"/>
    <w:basedOn w:val="normal1"/>
    <w:next w:val="normal1"/>
    <w:qFormat/>
    <w:pPr>
      <w:pBdr/>
      <w:shd w:val="clear" w:fill="auto"/>
      <w:spacing w:lineRule="auto" w:line="240" w:before="225" w:after="225"/>
    </w:pPr>
    <w:rPr>
      <w:b/>
      <w:bCs/>
      <w:i w:val="false"/>
      <w:iCs w:val="false"/>
      <w:sz w:val="36"/>
      <w:szCs w:val="36"/>
    </w:rPr>
  </w:style>
  <w:style w:type="paragraph" w:styleId="Heading3">
    <w:name w:val="Heading 3"/>
    <w:basedOn w:val="normal1"/>
    <w:next w:val="normal1"/>
    <w:qFormat/>
    <w:pPr>
      <w:pBdr/>
      <w:shd w:val="clear" w:fill="auto"/>
      <w:spacing w:lineRule="auto" w:line="240" w:before="240" w:after="240"/>
    </w:pPr>
    <w:rPr>
      <w:b/>
      <w:bCs/>
      <w:i w:val="false"/>
      <w:iCs w:val="false"/>
      <w:sz w:val="28"/>
      <w:szCs w:val="28"/>
    </w:rPr>
  </w:style>
  <w:style w:type="paragraph" w:styleId="Heading4">
    <w:name w:val="Heading 4"/>
    <w:basedOn w:val="normal1"/>
    <w:next w:val="normal1"/>
    <w:qFormat/>
    <w:pPr>
      <w:pBdr/>
      <w:shd w:val="clear" w:fill="auto"/>
      <w:spacing w:lineRule="auto" w:line="240" w:before="255" w:after="255"/>
    </w:pPr>
    <w:rPr>
      <w:b/>
      <w:bCs/>
      <w:i w:val="false"/>
      <w:iCs w:val="false"/>
      <w:sz w:val="24"/>
      <w:szCs w:val="24"/>
    </w:rPr>
  </w:style>
  <w:style w:type="paragraph" w:styleId="Heading5">
    <w:name w:val="Heading 5"/>
    <w:basedOn w:val="normal1"/>
    <w:next w:val="normal1"/>
    <w:qFormat/>
    <w:pPr>
      <w:pBdr/>
      <w:shd w:val="clear" w:fill="auto"/>
      <w:spacing w:lineRule="auto" w:line="240" w:before="255" w:after="255"/>
    </w:pPr>
    <w:rPr>
      <w:b/>
      <w:bCs/>
      <w:i w:val="false"/>
      <w:iCs w:val="false"/>
      <w:sz w:val="18"/>
      <w:szCs w:val="18"/>
    </w:rPr>
  </w:style>
  <w:style w:type="paragraph" w:styleId="Heading6">
    <w:name w:val="Heading 6"/>
    <w:basedOn w:val="normal1"/>
    <w:next w:val="normal1"/>
    <w:qFormat/>
    <w:pPr>
      <w:pBdr/>
      <w:shd w:val="clear" w:fill="auto"/>
      <w:spacing w:lineRule="auto" w:line="240" w:before="360" w:after="360"/>
    </w:pPr>
    <w:rPr>
      <w:b/>
      <w:bCs/>
      <w:i w:val="false"/>
      <w:iCs w:val="false"/>
      <w:sz w:val="16"/>
      <w:szCs w:val="16"/>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widowControl w:val="false"/>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osant.com/blog/the-fundamental-iot-architecture" TargetMode="External"/><Relationship Id="rId3" Type="http://schemas.openxmlformats.org/officeDocument/2006/relationships/hyperlink" Target="https://www.losant.com/blog/architecture-of-an-iot-platform-operational-scalability" TargetMode="External"/><Relationship Id="rId4" Type="http://schemas.openxmlformats.org/officeDocument/2006/relationships/hyperlink" Target="https://www.losant.com/blog/how-to-implement-a-unified-namespace-with-losant" TargetMode="External"/><Relationship Id="rId5" Type="http://schemas.openxmlformats.org/officeDocument/2006/relationships/hyperlink" Target="https://www.losant.com/blog/hierarchical-edge-computing-a-practical-edge-architecture-for-iiot" TargetMode="External"/><Relationship Id="rId6" Type="http://schemas.openxmlformats.org/officeDocument/2006/relationships/hyperlink" Target="https://docs.losant.com/edge-compute/gateway-edge-agent/overview/" TargetMode="External"/><Relationship Id="rId7" Type="http://schemas.openxmlformats.org/officeDocument/2006/relationships/hyperlink" Target="https://docs.losant.com/workflows/outputs/mqtt/" TargetMode="External"/><Relationship Id="rId8" Type="http://schemas.openxmlformats.org/officeDocument/2006/relationships/hyperlink" Target="https://www.losant.com/iot-platform" TargetMode="External"/><Relationship Id="rId9" Type="http://schemas.openxmlformats.org/officeDocument/2006/relationships/hyperlink" Target="https://www.losant.com/blog/manage-iot-building-easily-with-a-node-based-visual-tool" TargetMode="External"/><Relationship Id="rId10" Type="http://schemas.openxmlformats.org/officeDocument/2006/relationships/hyperlink" Target="https://www.losant.com/blog/the-architecture-of-an-iot-platform-data-storage" TargetMode="External"/><Relationship Id="rId11" Type="http://schemas.openxmlformats.org/officeDocument/2006/relationships/hyperlink" Target="https://www.losant.com/blog/building-a-multi-tenant-iot-application-the-architecture" TargetMode="External"/><Relationship Id="rId12" Type="http://schemas.openxmlformats.org/officeDocument/2006/relationships/hyperlink" Target="https://www.losant.com/blog/why-choose-losant-vs-node-red-as-your-low-code-development-platform" TargetMode="External"/><Relationship Id="rId13" Type="http://schemas.openxmlformats.org/officeDocument/2006/relationships/hyperlink" Target="https://docs.losant.com/workflows/data/mongo/" TargetMode="External"/><Relationship Id="rId14" Type="http://schemas.openxmlformats.org/officeDocument/2006/relationships/hyperlink" Target="https://docs.losant.com/workflows/data/redis/" TargetMode="External"/><Relationship Id="rId15" Type="http://schemas.openxmlformats.org/officeDocument/2006/relationships/hyperlink" Target="https://docs.losant.com/workflows/data/data-time-series-query/" TargetMode="External"/><Relationship Id="rId16" Type="http://schemas.openxmlformats.org/officeDocument/2006/relationships/hyperlink" Target="https://www.losant.com/blog/platform-update-improved-edge-workflow-development-siemens-s7-nodes" TargetMode="External"/><Relationship Id="rId17" Type="http://schemas.openxmlformats.org/officeDocument/2006/relationships/hyperlink" Target="https://sub-agents.directory/agents" TargetMode="External"/><Relationship Id="rId18" Type="http://schemas.openxmlformats.org/officeDocument/2006/relationships/hyperlink" Target="https://forums.losant.com/t/the-iot-application-technology-stack/3106" TargetMode="External"/><Relationship Id="rId19" Type="http://schemas.openxmlformats.org/officeDocument/2006/relationships/hyperlink" Target="https://docs.losant.com/workflows/logic/function/" TargetMode="External"/><Relationship Id="rId20" Type="http://schemas.openxmlformats.org/officeDocument/2006/relationships/hyperlink" Target="https://www.losant.com/blog/platform-update-websockets-twilio-sendgrid" TargetMode="External"/><Relationship Id="rId21" Type="http://schemas.openxmlformats.org/officeDocument/2006/relationships/hyperlink" Target="https://docs.losant.com/devices/edge-compute/" TargetMode="External"/><Relationship Id="rId22" Type="http://schemas.openxmlformats.org/officeDocument/2006/relationships/hyperlink" Target="https://medium.com/@nicolae/top-react-jobs-week-30-2021-4ef78e35fbb6" TargetMode="External"/><Relationship Id="rId23" Type="http://schemas.openxmlformats.org/officeDocument/2006/relationships/hyperlink" Target="https://docs.losant.com/dashboards/overview/" TargetMode="External"/><Relationship Id="rId24" Type="http://schemas.openxmlformats.org/officeDocument/2006/relationships/hyperlink" Target="https://www.losant.com/deeper-dive-webinar-replay-how-to-visualize-your-data-at-the-edge-with-influxdb-and-losant" TargetMode="External"/><Relationship Id="rId25" Type="http://schemas.openxmlformats.org/officeDocument/2006/relationships/hyperlink" Target="https://www.losant.com/blog/introducing-mongodb-redis-support" TargetMode="External"/><Relationship Id="rId26" Type="http://schemas.openxmlformats.org/officeDocument/2006/relationships/hyperlink" Target="https://docs.losant.com/edge-compute/gateway-edge-agent/usage/" TargetMode="External"/><Relationship Id="rId27" Type="http://schemas.openxmlformats.org/officeDocument/2006/relationships/hyperlink" Target="https://www.losant.com/cloud-deployment-options" TargetMode="External"/><Relationship Id="rId28" Type="http://schemas.openxmlformats.org/officeDocument/2006/relationships/hyperlink" Target="https://www.oracle.com/cloud/cloud-native/kubernetes-engine/what-is-kubernetes/vs-docker-swarm/" TargetMode="External"/><Relationship Id="rId29" Type="http://schemas.openxmlformats.org/officeDocument/2006/relationships/hyperlink" Target="https://docs.losant.com/edge-compute/gateway-edge-agent/installation/" TargetMode="External"/><Relationship Id="rId30" Type="http://schemas.openxmlformats.org/officeDocument/2006/relationships/hyperlink" Target="https://docs.losant.com/guides/how-to-report-device-state-using-a-custom-mqtt-topic/" TargetMode="External"/><Relationship Id="rId31" Type="http://schemas.openxmlformats.org/officeDocument/2006/relationships/hyperlink" Target="https://docs.losant.com/mqtt/overview/" TargetMode="External"/><Relationship Id="rId32" Type="http://schemas.openxmlformats.org/officeDocument/2006/relationships/hyperlink" Target="https://docs.nats.io/nats-concepts/overview/compare-nats" TargetMode="External"/><Relationship Id="rId33" Type="http://schemas.openxmlformats.org/officeDocument/2006/relationships/hyperlink" Target="https://www.synadia.com/blog/nats-and-kafka-compared" TargetMode="External"/><Relationship Id="rId34" Type="http://schemas.openxmlformats.org/officeDocument/2006/relationships/hyperlink" Target="https://docs.losant.com/workflows/triggers/websocket/" TargetMode="External"/><Relationship Id="rId35" Type="http://schemas.openxmlformats.org/officeDocument/2006/relationships/hyperlink" Target="https://forums.losant.com/t/web-socket-persistent-connection/964" TargetMode="External"/><Relationship Id="rId36" Type="http://schemas.openxmlformats.org/officeDocument/2006/relationships/hyperlink" Target="https://docs.losant.com/workflows/overview/" TargetMode="External"/><Relationship Id="rId37" Type="http://schemas.openxmlformats.org/officeDocument/2006/relationships/hyperlink" Target="https://docs.losant.com/references/performant-workflows/" TargetMode="External"/><Relationship Id="rId38" Type="http://schemas.openxmlformats.org/officeDocument/2006/relationships/hyperlink" Target="https://docs.losant.com/workflows/list-of-workflow-nodes/" TargetMode="External"/><Relationship Id="rId39" Type="http://schemas.openxmlformats.org/officeDocument/2006/relationships/hyperlink" Target="https://docs.losant.com/guides/how-to-manipulate-and-convert-device-data-using-a-workflow/" TargetMode="External"/><Relationship Id="rId40" Type="http://schemas.openxmlformats.org/officeDocument/2006/relationships/hyperlink" Target="https://docs.losant.com/workflows/triggers/mqtt/" TargetMode="External"/><Relationship Id="rId41" Type="http://schemas.openxmlformats.org/officeDocument/2006/relationships/hyperlink" Target="https://www.losant.com/blog/platform-update-20170117" TargetMode="External"/><Relationship Id="rId42" Type="http://schemas.openxmlformats.org/officeDocument/2006/relationships/hyperlink" Target="https://docs.losant.com/edge-compute/overview/" TargetMode="External"/><Relationship Id="rId43" Type="http://schemas.openxmlformats.org/officeDocument/2006/relationships/hyperlink" Target="https://www.losant.com/deeper-dive-webinar-replay-implementing-a-multi-tenancy-model" TargetMode="External"/><Relationship Id="rId44" Type="http://schemas.openxmlformats.org/officeDocument/2006/relationships/hyperlink" Target="https://docs.losant.com/dashboards/blocks/dashboard-list/" TargetMode="External"/><Relationship Id="rId45" Type="http://schemas.openxmlformats.org/officeDocument/2006/relationships/hyperlink" Target="https://docs.losant.com/dashboards/blocks/application-list/" TargetMode="External"/><Relationship Id="rId46" Type="http://schemas.openxmlformats.org/officeDocument/2006/relationships/hyperlink" Target="https://docs.losant.com/university/course-four/" TargetMode="External"/><Relationship Id="rId47" Type="http://schemas.openxmlformats.org/officeDocument/2006/relationships/hyperlink" Target="https://docs.losant.com/edge-compute/gateway-edge-agent/walkthrough/" TargetMode="External"/><Relationship Id="rId48" Type="http://schemas.openxmlformats.org/officeDocument/2006/relationships/hyperlink" Target="https://www.losant.com/deeper-dive-webinar-replay-bring-your-smart-environment-to-life" TargetMode="External"/><Relationship Id="rId49" Type="http://schemas.openxmlformats.org/officeDocument/2006/relationships/hyperlink" Target="" TargetMode="Externa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16</Pages>
  <Words>4537</Words>
  <Characters>30730</Characters>
  <CharactersWithSpaces>34876</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2026-02-04T18:11:33Z</dcterms:modified>
  <cp:revision>1</cp:revision>
  <dc:subject/>
  <dc:title/>
</cp:coreProperties>
</file>