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line="360" w:lineRule="auto"/>
        <w:jc w:val="center"/>
      </w:pPr>
      <w:r>
        <w:rPr>
          <w:rFonts w:ascii="Times New Roman" w:hAnsi="Times New Roman"/>
          <w:b/>
          <w:i w:val="0"/>
          <w:sz w:val="32"/>
        </w:rPr>
        <w:t>PROGRESSIVE FEATURE ENGINEERING AND IMBALANCED MACHINE LEARNING FOR CREDIT CARD FRAUD DETECTION</w:t>
      </w:r>
    </w:p>
    <w:p>
      <w:pPr>
        <w:keepLines w:val="0"/>
        <w:spacing w:line="360" w:lineRule="auto"/>
      </w:pPr>
    </w:p>
    <w:p>
      <w:pPr>
        <w:spacing w:after="60"/>
        <w:jc w:val="center"/>
      </w:pPr>
      <w:r>
        <w:rPr>
          <w:rFonts w:ascii="Times New Roman" w:hAnsi="Times New Roman"/>
          <w:b/>
          <w:i w:val="0"/>
          <w:sz w:val="24"/>
        </w:rPr>
        <w:t>BY</w:t>
      </w:r>
    </w:p>
    <w:p>
      <w:pPr>
        <w:spacing w:after="60"/>
        <w:jc w:val="center"/>
      </w:pPr>
      <w:r>
        <w:rPr>
          <w:rFonts w:ascii="Times New Roman" w:hAnsi="Times New Roman"/>
          <w:b w:val="0"/>
          <w:i w:val="0"/>
          <w:sz w:val="24"/>
        </w:rPr>
        <w:t>[Student Name]</w:t>
      </w:r>
    </w:p>
    <w:p>
      <w:pPr>
        <w:spacing w:after="60"/>
        <w:jc w:val="center"/>
      </w:pPr>
      <w:r>
        <w:rPr>
          <w:rFonts w:ascii="Times New Roman" w:hAnsi="Times New Roman"/>
          <w:b w:val="0"/>
          <w:i w:val="0"/>
          <w:sz w:val="24"/>
        </w:rPr>
        <w:t>Matriculation Number: [Matriculation Number]</w:t>
      </w:r>
    </w:p>
    <w:p>
      <w:pPr>
        <w:keepLines w:val="0"/>
        <w:spacing w:line="360" w:lineRule="auto"/>
      </w:pPr>
    </w:p>
    <w:p>
      <w:pPr>
        <w:spacing w:after="60"/>
        <w:jc w:val="center"/>
      </w:pPr>
      <w:r>
        <w:rPr>
          <w:rFonts w:ascii="Times New Roman" w:hAnsi="Times New Roman"/>
          <w:b/>
          <w:i w:val="0"/>
          <w:sz w:val="24"/>
        </w:rPr>
        <w:t>A RESEARCH PROJECT SUBMITTED TO</w:t>
      </w:r>
    </w:p>
    <w:p>
      <w:pPr>
        <w:spacing w:after="60"/>
        <w:jc w:val="center"/>
      </w:pPr>
      <w:r>
        <w:rPr>
          <w:rFonts w:ascii="Times New Roman" w:hAnsi="Times New Roman"/>
          <w:b w:val="0"/>
          <w:i w:val="0"/>
          <w:sz w:val="24"/>
        </w:rPr>
        <w:t>[Department]</w:t>
      </w:r>
    </w:p>
    <w:p>
      <w:pPr>
        <w:spacing w:after="60"/>
        <w:jc w:val="center"/>
      </w:pPr>
      <w:r>
        <w:rPr>
          <w:rFonts w:ascii="Times New Roman" w:hAnsi="Times New Roman"/>
          <w:b w:val="0"/>
          <w:i w:val="0"/>
          <w:sz w:val="24"/>
        </w:rPr>
        <w:t>[Faculty]</w:t>
      </w:r>
    </w:p>
    <w:p>
      <w:pPr>
        <w:spacing w:after="60"/>
        <w:jc w:val="center"/>
      </w:pPr>
      <w:r>
        <w:rPr>
          <w:rFonts w:ascii="Times New Roman" w:hAnsi="Times New Roman"/>
          <w:b w:val="0"/>
          <w:i w:val="0"/>
          <w:sz w:val="24"/>
        </w:rPr>
        <w:t>UNIVERSITY OF IBADAN</w:t>
      </w:r>
    </w:p>
    <w:p>
      <w:pPr>
        <w:keepLines w:val="0"/>
        <w:spacing w:line="360" w:lineRule="auto"/>
      </w:pPr>
    </w:p>
    <w:p>
      <w:pPr>
        <w:spacing w:after="60"/>
        <w:jc w:val="center"/>
      </w:pPr>
      <w:r>
        <w:rPr>
          <w:rFonts w:ascii="Times New Roman" w:hAnsi="Times New Roman"/>
          <w:b w:val="0"/>
          <w:i w:val="0"/>
          <w:sz w:val="24"/>
        </w:rPr>
        <w:t>IN PARTIAL FULFILMENT OF THE REQUIREMENTS FOR THE AWARD OF</w:t>
      </w:r>
    </w:p>
    <w:p>
      <w:pPr>
        <w:spacing w:after="60"/>
        <w:jc w:val="center"/>
      </w:pPr>
      <w:r>
        <w:rPr>
          <w:rFonts w:ascii="Times New Roman" w:hAnsi="Times New Roman"/>
          <w:b w:val="0"/>
          <w:i w:val="0"/>
          <w:sz w:val="24"/>
        </w:rPr>
        <w:t>[Degree Programme]</w:t>
      </w:r>
    </w:p>
    <w:p>
      <w:pPr>
        <w:keepLines w:val="0"/>
        <w:spacing w:line="360" w:lineRule="auto"/>
      </w:pPr>
    </w:p>
    <w:p>
      <w:pPr>
        <w:spacing w:after="60"/>
        <w:jc w:val="center"/>
      </w:pPr>
      <w:r>
        <w:rPr>
          <w:rFonts w:ascii="Times New Roman" w:hAnsi="Times New Roman"/>
          <w:b w:val="0"/>
          <w:i w:val="0"/>
          <w:sz w:val="24"/>
        </w:rPr>
        <w:t>SUPERVISOR: [Supervisor Name]</w:t>
      </w:r>
    </w:p>
    <w:p>
      <w:pPr>
        <w:spacing w:after="60"/>
        <w:jc w:val="center"/>
      </w:pPr>
      <w:r>
        <w:rPr>
          <w:rFonts w:ascii="Times New Roman" w:hAnsi="Times New Roman"/>
          <w:b w:val="0"/>
          <w:i w:val="0"/>
          <w:sz w:val="24"/>
        </w:rPr>
        <w:t>DATE: [Month Year]</w:t>
      </w:r>
    </w:p>
    <w:p>
      <w:r>
        <w:br w:type="page"/>
      </w:r>
    </w:p>
    <w:p>
      <w:pPr>
        <w:pStyle w:val="Heading1"/>
        <w:jc w:val="center"/>
      </w:pPr>
      <w:r>
        <w:t>CERTIFICATION PAGE</w:t>
      </w:r>
    </w:p>
    <w:p>
      <w:pPr>
        <w:keepLines w:val="0"/>
        <w:spacing w:line="360" w:lineRule="auto"/>
      </w:pPr>
      <w:r>
        <w:rPr>
          <w:rFonts w:ascii="Times New Roman" w:hAnsi="Times New Roman"/>
          <w:b w:val="0"/>
          <w:i w:val="0"/>
          <w:sz w:val="24"/>
        </w:rPr>
        <w:t>This page is reserved for the certification statement, supervisor endorsement, and required signatures after review by the supervisor and department.</w:t>
      </w:r>
    </w:p>
    <w:p>
      <w:r>
        <w:br w:type="page"/>
      </w:r>
    </w:p>
    <w:p>
      <w:pPr>
        <w:pStyle w:val="Heading1"/>
        <w:jc w:val="center"/>
      </w:pPr>
      <w:r>
        <w:t>DEDICATION PAGE</w:t>
      </w:r>
    </w:p>
    <w:p>
      <w:pPr>
        <w:keepLines w:val="0"/>
        <w:spacing w:line="360" w:lineRule="auto"/>
      </w:pPr>
      <w:r>
        <w:rPr>
          <w:rFonts w:ascii="Times New Roman" w:hAnsi="Times New Roman"/>
          <w:b w:val="0"/>
          <w:i w:val="0"/>
          <w:sz w:val="24"/>
        </w:rPr>
        <w:t>This page is reserved for the dedication statement to be completed by the student before final submission.</w:t>
      </w:r>
    </w:p>
    <w:p>
      <w:r>
        <w:br w:type="page"/>
      </w:r>
    </w:p>
    <w:p>
      <w:pPr>
        <w:pStyle w:val="Heading1"/>
        <w:jc w:val="center"/>
      </w:pPr>
      <w:r>
        <w:t>ACKNOWLEDGMENT PAGE</w:t>
      </w:r>
    </w:p>
    <w:p>
      <w:pPr>
        <w:keepLines w:val="0"/>
        <w:spacing w:line="360" w:lineRule="auto"/>
      </w:pPr>
      <w:r>
        <w:rPr>
          <w:rFonts w:ascii="Times New Roman" w:hAnsi="Times New Roman"/>
          <w:b w:val="0"/>
          <w:i w:val="0"/>
          <w:sz w:val="24"/>
        </w:rPr>
        <w:t>This page is reserved for acknowledgments to the supervisor, department, family, colleagues, and other contributors as appropriate before final submission.</w:t>
      </w:r>
    </w:p>
    <w:p>
      <w:r>
        <w:br w:type="page"/>
      </w:r>
    </w:p>
    <w:p>
      <w:pPr>
        <w:pStyle w:val="Heading1"/>
        <w:jc w:val="center"/>
      </w:pPr>
      <w:r>
        <w:t>ABSTRACT</w:t>
      </w:r>
    </w:p>
    <w:p>
      <w:pPr>
        <w:keepLines w:val="0"/>
        <w:spacing w:line="360" w:lineRule="auto"/>
      </w:pPr>
      <w:r>
        <w:rPr>
          <w:rFonts w:ascii="Times New Roman" w:hAnsi="Times New Roman"/>
          <w:b w:val="0"/>
          <w:i w:val="0"/>
          <w:sz w:val="24"/>
        </w:rPr>
        <w:t>Credit card fraud detection is an important binary classification problem because fraudulent transactions are usually less frequent than legitimate transactions but have significant financial and operational consequences. This study developed a reproducible tabular machine-learning workflow using a researcher-generated synthetic credit card transaction dataset. The cleaned master dataset contained 499,985 transactions, consisting of 62,500 fraudulent transactions and 437,485 legitimate transactions, with a fraud ratio of 12.5004%. Five progressively enriched dataset versions were constructed from the same transaction population in order to examine the effect of feature engineering without changing the underlying sample. The models evaluated were Logistic Regression, Decision Tree, Random Forest, XGBoost, and CatBoost. The experimental design used a stratified 60/20/20 train-validation-test split, 5-fold cross-validation on the training split, PR-AUC implemented as average precision for hyperparameter tuning, validation-based model-family selection, and untouched test-set reporting. SMOTE was evaluated only inside the training pipeline after preprocessing and inside cross-validation folds. At the default threshold, the best result was obtained by v3 SMOTE Random Forest, with precision 0.998525, recall 0.758080, fraud-class F1 of 0.861846, and PR-AUC of 0.855235. After validation-based threshold optimization, the best operating point was v5 No-SMOTE Random Forest at threshold 0.80, with precision 0.999156, recall 0.758000, and fraud-class F1 of 0.862030. The findings indicate that progressive feature engineering improved fraud-class performance and that the observed benefit of SMOTE was threshold-dependent. The report also emphasizes reproducibility, transparent dataset auditing, and cautious interpretation of small performance differences. The study is limited by the synthetic dataset, absence of external validation, and leakage-risk proxy indicators such as MerchantRisk and CardRisk.</w:t>
      </w:r>
    </w:p>
    <w:p>
      <w:r>
        <w:br w:type="page"/>
      </w:r>
    </w:p>
    <w:p>
      <w:pPr>
        <w:pStyle w:val="Heading1"/>
        <w:jc w:val="center"/>
      </w:pPr>
      <w:r>
        <w:t>TABLE OF CONTENTS</w:t>
      </w:r>
    </w:p>
    <w:p>
      <w:pPr>
        <w:keepLines w:val="0"/>
        <w:spacing w:line="288" w:lineRule="auto"/>
      </w:pPr>
      <w:r>
        <w:rPr>
          <w:rFonts w:ascii="Times New Roman" w:hAnsi="Times New Roman"/>
          <w:b w:val="0"/>
          <w:i w:val="0"/>
          <w:sz w:val="24"/>
        </w:rPr>
        <w:t>Title Page</w:t>
      </w:r>
    </w:p>
    <w:p>
      <w:pPr>
        <w:keepLines w:val="0"/>
        <w:spacing w:line="288" w:lineRule="auto"/>
      </w:pPr>
      <w:r>
        <w:rPr>
          <w:rFonts w:ascii="Times New Roman" w:hAnsi="Times New Roman"/>
          <w:b w:val="0"/>
          <w:i w:val="0"/>
          <w:sz w:val="24"/>
        </w:rPr>
        <w:t>Certification Page</w:t>
      </w:r>
    </w:p>
    <w:p>
      <w:pPr>
        <w:keepLines w:val="0"/>
        <w:spacing w:line="288" w:lineRule="auto"/>
      </w:pPr>
      <w:r>
        <w:rPr>
          <w:rFonts w:ascii="Times New Roman" w:hAnsi="Times New Roman"/>
          <w:b w:val="0"/>
          <w:i w:val="0"/>
          <w:sz w:val="24"/>
        </w:rPr>
        <w:t>Dedication Page</w:t>
      </w:r>
    </w:p>
    <w:p>
      <w:pPr>
        <w:keepLines w:val="0"/>
        <w:spacing w:line="288" w:lineRule="auto"/>
      </w:pPr>
      <w:r>
        <w:rPr>
          <w:rFonts w:ascii="Times New Roman" w:hAnsi="Times New Roman"/>
          <w:b w:val="0"/>
          <w:i w:val="0"/>
          <w:sz w:val="24"/>
        </w:rPr>
        <w:t>Acknowledgment Page</w:t>
      </w:r>
    </w:p>
    <w:p>
      <w:pPr>
        <w:keepLines w:val="0"/>
        <w:spacing w:line="288" w:lineRule="auto"/>
      </w:pPr>
      <w:r>
        <w:rPr>
          <w:rFonts w:ascii="Times New Roman" w:hAnsi="Times New Roman"/>
          <w:b w:val="0"/>
          <w:i w:val="0"/>
          <w:sz w:val="24"/>
        </w:rPr>
        <w:t>Abstract</w:t>
      </w:r>
    </w:p>
    <w:p>
      <w:pPr>
        <w:keepLines w:val="0"/>
        <w:spacing w:line="288" w:lineRule="auto"/>
      </w:pPr>
      <w:r>
        <w:rPr>
          <w:rFonts w:ascii="Times New Roman" w:hAnsi="Times New Roman"/>
          <w:b w:val="0"/>
          <w:i w:val="0"/>
          <w:sz w:val="24"/>
        </w:rPr>
        <w:t>List of Figures</w:t>
      </w:r>
    </w:p>
    <w:p>
      <w:pPr>
        <w:keepLines w:val="0"/>
        <w:spacing w:line="288" w:lineRule="auto"/>
      </w:pPr>
      <w:r>
        <w:rPr>
          <w:rFonts w:ascii="Times New Roman" w:hAnsi="Times New Roman"/>
          <w:b w:val="0"/>
          <w:i w:val="0"/>
          <w:sz w:val="24"/>
        </w:rPr>
        <w:t>List of Tables</w:t>
      </w:r>
    </w:p>
    <w:p>
      <w:pPr>
        <w:keepLines w:val="0"/>
        <w:spacing w:line="288" w:lineRule="auto"/>
      </w:pPr>
      <w:r>
        <w:rPr>
          <w:rFonts w:ascii="Times New Roman" w:hAnsi="Times New Roman"/>
          <w:b w:val="0"/>
          <w:i w:val="0"/>
          <w:sz w:val="24"/>
        </w:rPr>
        <w:t>List of Abbreviations</w:t>
      </w:r>
    </w:p>
    <w:p>
      <w:pPr>
        <w:keepLines w:val="0"/>
        <w:spacing w:line="288" w:lineRule="auto"/>
      </w:pPr>
      <w:r>
        <w:rPr>
          <w:rFonts w:ascii="Times New Roman" w:hAnsi="Times New Roman"/>
          <w:b w:val="0"/>
          <w:i w:val="0"/>
          <w:sz w:val="24"/>
        </w:rPr>
        <w:t>Chapter One: Introduction</w:t>
      </w:r>
    </w:p>
    <w:p>
      <w:pPr>
        <w:keepLines w:val="0"/>
        <w:spacing w:line="288" w:lineRule="auto"/>
      </w:pPr>
      <w:r>
        <w:rPr>
          <w:rFonts w:ascii="Times New Roman" w:hAnsi="Times New Roman"/>
          <w:b w:val="0"/>
          <w:i w:val="0"/>
          <w:sz w:val="24"/>
        </w:rPr>
        <w:t>Chapter Two: Literature Review</w:t>
      </w:r>
    </w:p>
    <w:p>
      <w:pPr>
        <w:keepLines w:val="0"/>
        <w:spacing w:line="288" w:lineRule="auto"/>
      </w:pPr>
      <w:r>
        <w:rPr>
          <w:rFonts w:ascii="Times New Roman" w:hAnsi="Times New Roman"/>
          <w:b w:val="0"/>
          <w:i w:val="0"/>
          <w:sz w:val="24"/>
        </w:rPr>
        <w:t>Chapter Three: Methodology</w:t>
      </w:r>
    </w:p>
    <w:p>
      <w:pPr>
        <w:keepLines w:val="0"/>
        <w:spacing w:line="288" w:lineRule="auto"/>
      </w:pPr>
      <w:r>
        <w:rPr>
          <w:rFonts w:ascii="Times New Roman" w:hAnsi="Times New Roman"/>
          <w:b w:val="0"/>
          <w:i w:val="0"/>
          <w:sz w:val="24"/>
        </w:rPr>
        <w:t>Chapter Four: Results and Discussion</w:t>
      </w:r>
    </w:p>
    <w:p>
      <w:pPr>
        <w:keepLines w:val="0"/>
        <w:spacing w:line="288" w:lineRule="auto"/>
      </w:pPr>
      <w:r>
        <w:rPr>
          <w:rFonts w:ascii="Times New Roman" w:hAnsi="Times New Roman"/>
          <w:b w:val="0"/>
          <w:i w:val="0"/>
          <w:sz w:val="24"/>
        </w:rPr>
        <w:t>Chapter Five: Conclusion and Recommendations</w:t>
      </w:r>
    </w:p>
    <w:p>
      <w:pPr>
        <w:keepLines w:val="0"/>
        <w:spacing w:line="288" w:lineRule="auto"/>
      </w:pPr>
      <w:r>
        <w:rPr>
          <w:rFonts w:ascii="Times New Roman" w:hAnsi="Times New Roman"/>
          <w:b w:val="0"/>
          <w:i w:val="0"/>
          <w:sz w:val="24"/>
        </w:rPr>
        <w:t>References</w:t>
      </w:r>
    </w:p>
    <w:p>
      <w:pPr>
        <w:keepLines w:val="0"/>
        <w:spacing w:line="288" w:lineRule="auto"/>
      </w:pPr>
      <w:r>
        <w:rPr>
          <w:rFonts w:ascii="Times New Roman" w:hAnsi="Times New Roman"/>
          <w:b w:val="0"/>
          <w:i w:val="0"/>
          <w:sz w:val="24"/>
        </w:rPr>
        <w:t>Appendices</w:t>
      </w:r>
    </w:p>
    <w:p>
      <w:r>
        <w:br w:type="page"/>
      </w:r>
    </w:p>
    <w:p>
      <w:pPr>
        <w:pStyle w:val="Heading1"/>
        <w:jc w:val="center"/>
      </w:pPr>
      <w:r>
        <w:t>LIST OF FIGURES</w:t>
      </w:r>
    </w:p>
    <w:p>
      <w:pPr>
        <w:keepLines w:val="0"/>
        <w:spacing w:line="288" w:lineRule="auto"/>
      </w:pPr>
      <w:r>
        <w:rPr>
          <w:rFonts w:ascii="Times New Roman" w:hAnsi="Times New Roman"/>
          <w:b w:val="0"/>
          <w:i w:val="0"/>
          <w:sz w:val="24"/>
        </w:rPr>
        <w:t>Figure 1.1: Conceptual digital payment fraud context and need for analytical detection.</w:t>
      </w:r>
    </w:p>
    <w:p>
      <w:pPr>
        <w:keepLines w:val="0"/>
        <w:spacing w:line="288" w:lineRule="auto"/>
      </w:pPr>
      <w:r>
        <w:rPr>
          <w:rFonts w:ascii="Times New Roman" w:hAnsi="Times New Roman"/>
          <w:b w:val="0"/>
          <w:i w:val="0"/>
          <w:sz w:val="24"/>
        </w:rPr>
        <w:t>Figure 1.2: High-level research workflow for the study.</w:t>
      </w:r>
    </w:p>
    <w:p>
      <w:pPr>
        <w:keepLines w:val="0"/>
        <w:spacing w:line="288" w:lineRule="auto"/>
      </w:pPr>
      <w:r>
        <w:rPr>
          <w:rFonts w:ascii="Times New Roman" w:hAnsi="Times New Roman"/>
          <w:b w:val="0"/>
          <w:i w:val="0"/>
          <w:sz w:val="24"/>
        </w:rPr>
        <w:t>Figure 3.1: Experimental pipeline for dataset preparation, model tuning, evaluation, SMOTE comparison, and threshold optimization.</w:t>
      </w:r>
    </w:p>
    <w:p>
      <w:pPr>
        <w:keepLines w:val="0"/>
        <w:spacing w:line="288" w:lineRule="auto"/>
      </w:pPr>
      <w:r>
        <w:rPr>
          <w:rFonts w:ascii="Times New Roman" w:hAnsi="Times New Roman"/>
          <w:b w:val="0"/>
          <w:i w:val="0"/>
          <w:sz w:val="24"/>
        </w:rPr>
        <w:t>Figure 3.2: Progressive dataset version design from v1 to v5.</w:t>
      </w:r>
    </w:p>
    <w:p>
      <w:pPr>
        <w:keepLines w:val="0"/>
        <w:spacing w:line="288" w:lineRule="auto"/>
      </w:pPr>
      <w:r>
        <w:rPr>
          <w:rFonts w:ascii="Times New Roman" w:hAnsi="Times New Roman"/>
          <w:b w:val="0"/>
          <w:i w:val="0"/>
          <w:sz w:val="24"/>
        </w:rPr>
        <w:t>Figure 4.1: Class distribution of the cleaned synthetic transaction dataset.</w:t>
      </w:r>
    </w:p>
    <w:p>
      <w:pPr>
        <w:keepLines w:val="0"/>
        <w:spacing w:line="288" w:lineRule="auto"/>
      </w:pPr>
      <w:r>
        <w:rPr>
          <w:rFonts w:ascii="Times New Roman" w:hAnsi="Times New Roman"/>
          <w:b w:val="0"/>
          <w:i w:val="0"/>
          <w:sz w:val="24"/>
        </w:rPr>
        <w:t>Figure 4.2: Fraud-class F1 comparison between No-SMOTE and SMOTE results.</w:t>
      </w:r>
    </w:p>
    <w:p>
      <w:pPr>
        <w:keepLines w:val="0"/>
        <w:spacing w:line="288" w:lineRule="auto"/>
      </w:pPr>
      <w:r>
        <w:rPr>
          <w:rFonts w:ascii="Times New Roman" w:hAnsi="Times New Roman"/>
          <w:b w:val="0"/>
          <w:i w:val="0"/>
          <w:sz w:val="24"/>
        </w:rPr>
        <w:t>Figure 4.3: Fraud precision comparison between No-SMOTE and SMOTE results.</w:t>
      </w:r>
    </w:p>
    <w:p>
      <w:pPr>
        <w:keepLines w:val="0"/>
        <w:spacing w:line="288" w:lineRule="auto"/>
      </w:pPr>
      <w:r>
        <w:rPr>
          <w:rFonts w:ascii="Times New Roman" w:hAnsi="Times New Roman"/>
          <w:b w:val="0"/>
          <w:i w:val="0"/>
          <w:sz w:val="24"/>
        </w:rPr>
        <w:t>Figure 4.4: Fraud recall comparison between No-SMOTE and SMOTE results.</w:t>
      </w:r>
    </w:p>
    <w:p>
      <w:pPr>
        <w:keepLines w:val="0"/>
        <w:spacing w:line="288" w:lineRule="auto"/>
      </w:pPr>
      <w:r>
        <w:rPr>
          <w:rFonts w:ascii="Times New Roman" w:hAnsi="Times New Roman"/>
          <w:b w:val="0"/>
          <w:i w:val="0"/>
          <w:sz w:val="24"/>
        </w:rPr>
        <w:t>Figure 4.5: PR-AUC comparison between No-SMOTE and SMOTE results.</w:t>
      </w:r>
    </w:p>
    <w:p>
      <w:pPr>
        <w:keepLines w:val="0"/>
        <w:spacing w:line="288" w:lineRule="auto"/>
      </w:pPr>
      <w:r>
        <w:rPr>
          <w:rFonts w:ascii="Times New Roman" w:hAnsi="Times New Roman"/>
          <w:b w:val="0"/>
          <w:i w:val="0"/>
          <w:sz w:val="24"/>
        </w:rPr>
        <w:t>Figure 4.6: Threshold optimization curve for the v5 No-SMOTE Random Forest model.</w:t>
      </w:r>
    </w:p>
    <w:p>
      <w:pPr>
        <w:keepLines w:val="0"/>
        <w:spacing w:line="288" w:lineRule="auto"/>
      </w:pPr>
      <w:r>
        <w:rPr>
          <w:rFonts w:ascii="Times New Roman" w:hAnsi="Times New Roman"/>
          <w:b w:val="0"/>
          <w:i w:val="0"/>
          <w:sz w:val="24"/>
        </w:rPr>
        <w:t>Figure 4.7: Tuned test confusion matrix for the v5 No-SMOTE Random Forest model at threshold 0.80.</w:t>
      </w:r>
    </w:p>
    <w:p>
      <w:pPr>
        <w:keepLines w:val="0"/>
        <w:spacing w:line="288" w:lineRule="auto"/>
      </w:pPr>
      <w:r>
        <w:rPr>
          <w:rFonts w:ascii="Times New Roman" w:hAnsi="Times New Roman"/>
          <w:b w:val="0"/>
          <w:i w:val="0"/>
          <w:sz w:val="24"/>
        </w:rPr>
        <w:t>Figure 4.8: Feature importance for the selected v5 No-SMOTE Random Forest model.</w:t>
      </w:r>
    </w:p>
    <w:p>
      <w:r>
        <w:br w:type="page"/>
      </w:r>
    </w:p>
    <w:p>
      <w:pPr>
        <w:pStyle w:val="Heading1"/>
        <w:jc w:val="center"/>
      </w:pPr>
      <w:r>
        <w:t>LIST OF TABLES</w:t>
      </w:r>
    </w:p>
    <w:p>
      <w:pPr>
        <w:keepLines w:val="0"/>
        <w:spacing w:line="288" w:lineRule="auto"/>
      </w:pPr>
      <w:r>
        <w:rPr>
          <w:rFonts w:ascii="Times New Roman" w:hAnsi="Times New Roman"/>
          <w:b w:val="0"/>
          <w:i w:val="0"/>
          <w:sz w:val="24"/>
        </w:rPr>
        <w:t>Table 3.1: Dataset Summary</w:t>
      </w:r>
    </w:p>
    <w:p>
      <w:pPr>
        <w:keepLines w:val="0"/>
        <w:spacing w:line="288" w:lineRule="auto"/>
      </w:pPr>
      <w:r>
        <w:rPr>
          <w:rFonts w:ascii="Times New Roman" w:hAnsi="Times New Roman"/>
          <w:b w:val="0"/>
          <w:i w:val="0"/>
          <w:sz w:val="24"/>
        </w:rPr>
        <w:t>Table 3.2: Dataset Versions</w:t>
      </w:r>
    </w:p>
    <w:p>
      <w:pPr>
        <w:keepLines w:val="0"/>
        <w:spacing w:line="288" w:lineRule="auto"/>
      </w:pPr>
      <w:r>
        <w:rPr>
          <w:rFonts w:ascii="Times New Roman" w:hAnsi="Times New Roman"/>
          <w:b w:val="0"/>
          <w:i w:val="0"/>
          <w:sz w:val="24"/>
        </w:rPr>
        <w:t>Table 3.3: Experimental Configuration</w:t>
      </w:r>
    </w:p>
    <w:p>
      <w:pPr>
        <w:keepLines w:val="0"/>
        <w:spacing w:line="288" w:lineRule="auto"/>
      </w:pPr>
      <w:r>
        <w:rPr>
          <w:rFonts w:ascii="Times New Roman" w:hAnsi="Times New Roman"/>
          <w:b w:val="0"/>
          <w:i w:val="0"/>
          <w:sz w:val="24"/>
        </w:rPr>
        <w:t>Table 4.1: Best Default-Threshold Results Without SMOTE</w:t>
      </w:r>
    </w:p>
    <w:p>
      <w:pPr>
        <w:keepLines w:val="0"/>
        <w:spacing w:line="288" w:lineRule="auto"/>
      </w:pPr>
      <w:r>
        <w:rPr>
          <w:rFonts w:ascii="Times New Roman" w:hAnsi="Times New Roman"/>
          <w:b w:val="0"/>
          <w:i w:val="0"/>
          <w:sz w:val="24"/>
        </w:rPr>
        <w:t>Table 4.2: Best Default-Threshold Results With SMOTE</w:t>
      </w:r>
    </w:p>
    <w:p>
      <w:pPr>
        <w:keepLines w:val="0"/>
        <w:spacing w:line="288" w:lineRule="auto"/>
      </w:pPr>
      <w:r>
        <w:rPr>
          <w:rFonts w:ascii="Times New Roman" w:hAnsi="Times New Roman"/>
          <w:b w:val="0"/>
          <w:i w:val="0"/>
          <w:sz w:val="24"/>
        </w:rPr>
        <w:t>Table 4.3: Threshold-Tuned Results</w:t>
      </w:r>
    </w:p>
    <w:p>
      <w:pPr>
        <w:keepLines w:val="0"/>
        <w:spacing w:line="288" w:lineRule="auto"/>
      </w:pPr>
      <w:r>
        <w:rPr>
          <w:rFonts w:ascii="Times New Roman" w:hAnsi="Times New Roman"/>
          <w:b w:val="0"/>
          <w:i w:val="0"/>
          <w:sz w:val="24"/>
        </w:rPr>
        <w:t>Table 4.4: Key Findings Summary</w:t>
      </w:r>
    </w:p>
    <w:p>
      <w:r>
        <w:br w:type="page"/>
      </w:r>
    </w:p>
    <w:p>
      <w:pPr>
        <w:pStyle w:val="Heading1"/>
        <w:jc w:val="center"/>
      </w:pPr>
      <w:r>
        <w:t>LIST OF ABBREVIATIONS</w:t>
      </w:r>
    </w:p>
    <w:tbl>
      <w:tblPr>
        <w:tblStyle w:val="TableGrid"/>
        <w:tblW w:type="dxa" w:w="9360"/>
        <w:jc w:val="center"/>
        <w:tblLayout w:type="fixed"/>
        <w:tblLook w:firstColumn="1" w:firstRow="1" w:lastColumn="0" w:lastRow="0" w:noHBand="0" w:noVBand="1" w:val="04A0"/>
      </w:tblPr>
      <w:tblGrid>
        <w:gridCol w:w="1800"/>
        <w:gridCol w:w="7560"/>
      </w:tblGrid>
      <w:tr>
        <w:tc>
          <w:tcPr>
            <w:tcW w:type="dxa" w:w="1800"/>
            <w:tcMar>
              <w:top w:w="90" w:type="dxa"/>
              <w:start w:w="110" w:type="dxa"/>
              <w:bottom w:w="90" w:type="dxa"/>
              <w:end w:w="110" w:type="dxa"/>
            </w:tcMar>
          </w:tcPr>
          <w:p>
            <w:r>
              <w:rPr>
                <w:rFonts w:ascii="Times New Roman" w:hAnsi="Times New Roman"/>
                <w:b/>
                <w:i w:val="0"/>
                <w:sz w:val="22"/>
              </w:rPr>
              <w:t>AI</w:t>
            </w:r>
          </w:p>
        </w:tc>
        <w:tc>
          <w:tcPr>
            <w:tcW w:type="dxa" w:w="7560"/>
            <w:tcMar>
              <w:top w:w="90" w:type="dxa"/>
              <w:start w:w="110" w:type="dxa"/>
              <w:bottom w:w="90" w:type="dxa"/>
              <w:end w:w="110" w:type="dxa"/>
            </w:tcMar>
          </w:tcPr>
          <w:p>
            <w:r>
              <w:rPr>
                <w:rFonts w:ascii="Times New Roman" w:hAnsi="Times New Roman"/>
                <w:b w:val="0"/>
                <w:i w:val="0"/>
                <w:sz w:val="22"/>
              </w:rPr>
              <w:t>Artificial Intelligence</w:t>
            </w:r>
          </w:p>
        </w:tc>
      </w:tr>
      <w:tr>
        <w:tc>
          <w:tcPr>
            <w:tcW w:type="dxa" w:w="1800"/>
            <w:tcMar>
              <w:top w:w="90" w:type="dxa"/>
              <w:start w:w="110" w:type="dxa"/>
              <w:bottom w:w="90" w:type="dxa"/>
              <w:end w:w="110" w:type="dxa"/>
            </w:tcMar>
          </w:tcPr>
          <w:p>
            <w:r>
              <w:rPr>
                <w:rFonts w:ascii="Times New Roman" w:hAnsi="Times New Roman"/>
                <w:b/>
                <w:i w:val="0"/>
                <w:sz w:val="22"/>
              </w:rPr>
              <w:t>ANN</w:t>
            </w:r>
          </w:p>
        </w:tc>
        <w:tc>
          <w:tcPr>
            <w:tcW w:type="dxa" w:w="7560"/>
            <w:tcMar>
              <w:top w:w="90" w:type="dxa"/>
              <w:start w:w="110" w:type="dxa"/>
              <w:bottom w:w="90" w:type="dxa"/>
              <w:end w:w="110" w:type="dxa"/>
            </w:tcMar>
          </w:tcPr>
          <w:p>
            <w:r>
              <w:rPr>
                <w:rFonts w:ascii="Times New Roman" w:hAnsi="Times New Roman"/>
                <w:b w:val="0"/>
                <w:i w:val="0"/>
                <w:sz w:val="22"/>
              </w:rPr>
              <w:t>Artificial Neural Network</w:t>
            </w:r>
          </w:p>
        </w:tc>
      </w:tr>
      <w:tr>
        <w:tc>
          <w:tcPr>
            <w:tcW w:type="dxa" w:w="1800"/>
            <w:tcMar>
              <w:top w:w="90" w:type="dxa"/>
              <w:start w:w="110" w:type="dxa"/>
              <w:bottom w:w="90" w:type="dxa"/>
              <w:end w:w="110" w:type="dxa"/>
            </w:tcMar>
          </w:tcPr>
          <w:p>
            <w:r>
              <w:rPr>
                <w:rFonts w:ascii="Times New Roman" w:hAnsi="Times New Roman"/>
                <w:b/>
                <w:i w:val="0"/>
                <w:sz w:val="22"/>
              </w:rPr>
              <w:t>AUC</w:t>
            </w:r>
          </w:p>
        </w:tc>
        <w:tc>
          <w:tcPr>
            <w:tcW w:type="dxa" w:w="7560"/>
            <w:tcMar>
              <w:top w:w="90" w:type="dxa"/>
              <w:start w:w="110" w:type="dxa"/>
              <w:bottom w:w="90" w:type="dxa"/>
              <w:end w:w="110" w:type="dxa"/>
            </w:tcMar>
          </w:tcPr>
          <w:p>
            <w:r>
              <w:rPr>
                <w:rFonts w:ascii="Times New Roman" w:hAnsi="Times New Roman"/>
                <w:b w:val="0"/>
                <w:i w:val="0"/>
                <w:sz w:val="22"/>
              </w:rPr>
              <w:t>Area Under the Curve</w:t>
            </w:r>
          </w:p>
        </w:tc>
      </w:tr>
      <w:tr>
        <w:tc>
          <w:tcPr>
            <w:tcW w:type="dxa" w:w="1800"/>
            <w:tcMar>
              <w:top w:w="90" w:type="dxa"/>
              <w:start w:w="110" w:type="dxa"/>
              <w:bottom w:w="90" w:type="dxa"/>
              <w:end w:w="110" w:type="dxa"/>
            </w:tcMar>
          </w:tcPr>
          <w:p>
            <w:r>
              <w:rPr>
                <w:rFonts w:ascii="Times New Roman" w:hAnsi="Times New Roman"/>
                <w:b/>
                <w:i w:val="0"/>
                <w:sz w:val="22"/>
              </w:rPr>
              <w:t>CV</w:t>
            </w:r>
          </w:p>
        </w:tc>
        <w:tc>
          <w:tcPr>
            <w:tcW w:type="dxa" w:w="7560"/>
            <w:tcMar>
              <w:top w:w="90" w:type="dxa"/>
              <w:start w:w="110" w:type="dxa"/>
              <w:bottom w:w="90" w:type="dxa"/>
              <w:end w:w="110" w:type="dxa"/>
            </w:tcMar>
          </w:tcPr>
          <w:p>
            <w:r>
              <w:rPr>
                <w:rFonts w:ascii="Times New Roman" w:hAnsi="Times New Roman"/>
                <w:b w:val="0"/>
                <w:i w:val="0"/>
                <w:sz w:val="22"/>
              </w:rPr>
              <w:t>Cross-Validation</w:t>
            </w:r>
          </w:p>
        </w:tc>
      </w:tr>
      <w:tr>
        <w:tc>
          <w:tcPr>
            <w:tcW w:type="dxa" w:w="1800"/>
            <w:tcMar>
              <w:top w:w="90" w:type="dxa"/>
              <w:start w:w="110" w:type="dxa"/>
              <w:bottom w:w="90" w:type="dxa"/>
              <w:end w:w="110" w:type="dxa"/>
            </w:tcMar>
          </w:tcPr>
          <w:p>
            <w:r>
              <w:rPr>
                <w:rFonts w:ascii="Times New Roman" w:hAnsi="Times New Roman"/>
                <w:b/>
                <w:i w:val="0"/>
                <w:sz w:val="22"/>
              </w:rPr>
              <w:t>F1</w:t>
            </w:r>
          </w:p>
        </w:tc>
        <w:tc>
          <w:tcPr>
            <w:tcW w:type="dxa" w:w="7560"/>
            <w:tcMar>
              <w:top w:w="90" w:type="dxa"/>
              <w:start w:w="110" w:type="dxa"/>
              <w:bottom w:w="90" w:type="dxa"/>
              <w:end w:w="110" w:type="dxa"/>
            </w:tcMar>
          </w:tcPr>
          <w:p>
            <w:r>
              <w:rPr>
                <w:rFonts w:ascii="Times New Roman" w:hAnsi="Times New Roman"/>
                <w:b w:val="0"/>
                <w:i w:val="0"/>
                <w:sz w:val="22"/>
              </w:rPr>
              <w:t>F1-score</w:t>
            </w:r>
          </w:p>
        </w:tc>
      </w:tr>
      <w:tr>
        <w:tc>
          <w:tcPr>
            <w:tcW w:type="dxa" w:w="1800"/>
            <w:tcMar>
              <w:top w:w="90" w:type="dxa"/>
              <w:start w:w="110" w:type="dxa"/>
              <w:bottom w:w="90" w:type="dxa"/>
              <w:end w:w="110" w:type="dxa"/>
            </w:tcMar>
          </w:tcPr>
          <w:p>
            <w:r>
              <w:rPr>
                <w:rFonts w:ascii="Times New Roman" w:hAnsi="Times New Roman"/>
                <w:b/>
                <w:i w:val="0"/>
                <w:sz w:val="22"/>
              </w:rPr>
              <w:t>FN</w:t>
            </w:r>
          </w:p>
        </w:tc>
        <w:tc>
          <w:tcPr>
            <w:tcW w:type="dxa" w:w="7560"/>
            <w:tcMar>
              <w:top w:w="90" w:type="dxa"/>
              <w:start w:w="110" w:type="dxa"/>
              <w:bottom w:w="90" w:type="dxa"/>
              <w:end w:w="110" w:type="dxa"/>
            </w:tcMar>
          </w:tcPr>
          <w:p>
            <w:r>
              <w:rPr>
                <w:rFonts w:ascii="Times New Roman" w:hAnsi="Times New Roman"/>
                <w:b w:val="0"/>
                <w:i w:val="0"/>
                <w:sz w:val="22"/>
              </w:rPr>
              <w:t>False Negative</w:t>
            </w:r>
          </w:p>
        </w:tc>
      </w:tr>
      <w:tr>
        <w:tc>
          <w:tcPr>
            <w:tcW w:type="dxa" w:w="1800"/>
            <w:tcMar>
              <w:top w:w="90" w:type="dxa"/>
              <w:start w:w="110" w:type="dxa"/>
              <w:bottom w:w="90" w:type="dxa"/>
              <w:end w:w="110" w:type="dxa"/>
            </w:tcMar>
          </w:tcPr>
          <w:p>
            <w:r>
              <w:rPr>
                <w:rFonts w:ascii="Times New Roman" w:hAnsi="Times New Roman"/>
                <w:b/>
                <w:i w:val="0"/>
                <w:sz w:val="22"/>
              </w:rPr>
              <w:t>FP</w:t>
            </w:r>
          </w:p>
        </w:tc>
        <w:tc>
          <w:tcPr>
            <w:tcW w:type="dxa" w:w="7560"/>
            <w:tcMar>
              <w:top w:w="90" w:type="dxa"/>
              <w:start w:w="110" w:type="dxa"/>
              <w:bottom w:w="90" w:type="dxa"/>
              <w:end w:w="110" w:type="dxa"/>
            </w:tcMar>
          </w:tcPr>
          <w:p>
            <w:r>
              <w:rPr>
                <w:rFonts w:ascii="Times New Roman" w:hAnsi="Times New Roman"/>
                <w:b w:val="0"/>
                <w:i w:val="0"/>
                <w:sz w:val="22"/>
              </w:rPr>
              <w:t>False Positive</w:t>
            </w:r>
          </w:p>
        </w:tc>
      </w:tr>
      <w:tr>
        <w:tc>
          <w:tcPr>
            <w:tcW w:type="dxa" w:w="1800"/>
            <w:tcMar>
              <w:top w:w="90" w:type="dxa"/>
              <w:start w:w="110" w:type="dxa"/>
              <w:bottom w:w="90" w:type="dxa"/>
              <w:end w:w="110" w:type="dxa"/>
            </w:tcMar>
          </w:tcPr>
          <w:p>
            <w:r>
              <w:rPr>
                <w:rFonts w:ascii="Times New Roman" w:hAnsi="Times New Roman"/>
                <w:b/>
                <w:i w:val="0"/>
                <w:sz w:val="22"/>
              </w:rPr>
              <w:t>ML</w:t>
            </w:r>
          </w:p>
        </w:tc>
        <w:tc>
          <w:tcPr>
            <w:tcW w:type="dxa" w:w="7560"/>
            <w:tcMar>
              <w:top w:w="90" w:type="dxa"/>
              <w:start w:w="110" w:type="dxa"/>
              <w:bottom w:w="90" w:type="dxa"/>
              <w:end w:w="110" w:type="dxa"/>
            </w:tcMar>
          </w:tcPr>
          <w:p>
            <w:r>
              <w:rPr>
                <w:rFonts w:ascii="Times New Roman" w:hAnsi="Times New Roman"/>
                <w:b w:val="0"/>
                <w:i w:val="0"/>
                <w:sz w:val="22"/>
              </w:rPr>
              <w:t>Machine Learning</w:t>
            </w:r>
          </w:p>
        </w:tc>
      </w:tr>
      <w:tr>
        <w:tc>
          <w:tcPr>
            <w:tcW w:type="dxa" w:w="1800"/>
            <w:tcMar>
              <w:top w:w="90" w:type="dxa"/>
              <w:start w:w="110" w:type="dxa"/>
              <w:bottom w:w="90" w:type="dxa"/>
              <w:end w:w="110" w:type="dxa"/>
            </w:tcMar>
          </w:tcPr>
          <w:p>
            <w:r>
              <w:rPr>
                <w:rFonts w:ascii="Times New Roman" w:hAnsi="Times New Roman"/>
                <w:b/>
                <w:i w:val="0"/>
                <w:sz w:val="22"/>
              </w:rPr>
              <w:t>PR-AUC</w:t>
            </w:r>
          </w:p>
        </w:tc>
        <w:tc>
          <w:tcPr>
            <w:tcW w:type="dxa" w:w="7560"/>
            <w:tcMar>
              <w:top w:w="90" w:type="dxa"/>
              <w:start w:w="110" w:type="dxa"/>
              <w:bottom w:w="90" w:type="dxa"/>
              <w:end w:w="110" w:type="dxa"/>
            </w:tcMar>
          </w:tcPr>
          <w:p>
            <w:r>
              <w:rPr>
                <w:rFonts w:ascii="Times New Roman" w:hAnsi="Times New Roman"/>
                <w:b w:val="0"/>
                <w:i w:val="0"/>
                <w:sz w:val="22"/>
              </w:rPr>
              <w:t>Precision-Recall Area Under the Curve</w:t>
            </w:r>
          </w:p>
        </w:tc>
      </w:tr>
      <w:tr>
        <w:tc>
          <w:tcPr>
            <w:tcW w:type="dxa" w:w="1800"/>
            <w:tcMar>
              <w:top w:w="90" w:type="dxa"/>
              <w:start w:w="110" w:type="dxa"/>
              <w:bottom w:w="90" w:type="dxa"/>
              <w:end w:w="110" w:type="dxa"/>
            </w:tcMar>
          </w:tcPr>
          <w:p>
            <w:r>
              <w:rPr>
                <w:rFonts w:ascii="Times New Roman" w:hAnsi="Times New Roman"/>
                <w:b/>
                <w:i w:val="0"/>
                <w:sz w:val="22"/>
              </w:rPr>
              <w:t>ROC-AUC</w:t>
            </w:r>
          </w:p>
        </w:tc>
        <w:tc>
          <w:tcPr>
            <w:tcW w:type="dxa" w:w="7560"/>
            <w:tcMar>
              <w:top w:w="90" w:type="dxa"/>
              <w:start w:w="110" w:type="dxa"/>
              <w:bottom w:w="90" w:type="dxa"/>
              <w:end w:w="110" w:type="dxa"/>
            </w:tcMar>
          </w:tcPr>
          <w:p>
            <w:r>
              <w:rPr>
                <w:rFonts w:ascii="Times New Roman" w:hAnsi="Times New Roman"/>
                <w:b w:val="0"/>
                <w:i w:val="0"/>
                <w:sz w:val="22"/>
              </w:rPr>
              <w:t>Receiver Operating Characteristic Area Under the Curve</w:t>
            </w:r>
          </w:p>
        </w:tc>
      </w:tr>
      <w:tr>
        <w:tc>
          <w:tcPr>
            <w:tcW w:type="dxa" w:w="1800"/>
            <w:tcMar>
              <w:top w:w="90" w:type="dxa"/>
              <w:start w:w="110" w:type="dxa"/>
              <w:bottom w:w="90" w:type="dxa"/>
              <w:end w:w="110" w:type="dxa"/>
            </w:tcMar>
          </w:tcPr>
          <w:p>
            <w:r>
              <w:rPr>
                <w:rFonts w:ascii="Times New Roman" w:hAnsi="Times New Roman"/>
                <w:b/>
                <w:i w:val="0"/>
                <w:sz w:val="22"/>
              </w:rPr>
              <w:t>SMOTE</w:t>
            </w:r>
          </w:p>
        </w:tc>
        <w:tc>
          <w:tcPr>
            <w:tcW w:type="dxa" w:w="7560"/>
            <w:tcMar>
              <w:top w:w="90" w:type="dxa"/>
              <w:start w:w="110" w:type="dxa"/>
              <w:bottom w:w="90" w:type="dxa"/>
              <w:end w:w="110" w:type="dxa"/>
            </w:tcMar>
          </w:tcPr>
          <w:p>
            <w:r>
              <w:rPr>
                <w:rFonts w:ascii="Times New Roman" w:hAnsi="Times New Roman"/>
                <w:b w:val="0"/>
                <w:i w:val="0"/>
                <w:sz w:val="22"/>
              </w:rPr>
              <w:t>Synthetic Minority Oversampling Technique</w:t>
            </w:r>
          </w:p>
        </w:tc>
      </w:tr>
      <w:tr>
        <w:tc>
          <w:tcPr>
            <w:tcW w:type="dxa" w:w="1800"/>
            <w:tcMar>
              <w:top w:w="90" w:type="dxa"/>
              <w:start w:w="110" w:type="dxa"/>
              <w:bottom w:w="90" w:type="dxa"/>
              <w:end w:w="110" w:type="dxa"/>
            </w:tcMar>
          </w:tcPr>
          <w:p>
            <w:r>
              <w:rPr>
                <w:rFonts w:ascii="Times New Roman" w:hAnsi="Times New Roman"/>
                <w:b/>
                <w:i w:val="0"/>
                <w:sz w:val="22"/>
              </w:rPr>
              <w:t>TN</w:t>
            </w:r>
          </w:p>
        </w:tc>
        <w:tc>
          <w:tcPr>
            <w:tcW w:type="dxa" w:w="7560"/>
            <w:tcMar>
              <w:top w:w="90" w:type="dxa"/>
              <w:start w:w="110" w:type="dxa"/>
              <w:bottom w:w="90" w:type="dxa"/>
              <w:end w:w="110" w:type="dxa"/>
            </w:tcMar>
          </w:tcPr>
          <w:p>
            <w:r>
              <w:rPr>
                <w:rFonts w:ascii="Times New Roman" w:hAnsi="Times New Roman"/>
                <w:b w:val="0"/>
                <w:i w:val="0"/>
                <w:sz w:val="22"/>
              </w:rPr>
              <w:t>True Negative</w:t>
            </w:r>
          </w:p>
        </w:tc>
      </w:tr>
      <w:tr>
        <w:tc>
          <w:tcPr>
            <w:tcW w:type="dxa" w:w="1800"/>
            <w:tcMar>
              <w:top w:w="90" w:type="dxa"/>
              <w:start w:w="110" w:type="dxa"/>
              <w:bottom w:w="90" w:type="dxa"/>
              <w:end w:w="110" w:type="dxa"/>
            </w:tcMar>
          </w:tcPr>
          <w:p>
            <w:r>
              <w:rPr>
                <w:rFonts w:ascii="Times New Roman" w:hAnsi="Times New Roman"/>
                <w:b/>
                <w:i w:val="0"/>
                <w:sz w:val="22"/>
              </w:rPr>
              <w:t>TP</w:t>
            </w:r>
          </w:p>
        </w:tc>
        <w:tc>
          <w:tcPr>
            <w:tcW w:type="dxa" w:w="7560"/>
            <w:tcMar>
              <w:top w:w="90" w:type="dxa"/>
              <w:start w:w="110" w:type="dxa"/>
              <w:bottom w:w="90" w:type="dxa"/>
              <w:end w:w="110" w:type="dxa"/>
            </w:tcMar>
          </w:tcPr>
          <w:p>
            <w:r>
              <w:rPr>
                <w:rFonts w:ascii="Times New Roman" w:hAnsi="Times New Roman"/>
                <w:b w:val="0"/>
                <w:i w:val="0"/>
                <w:sz w:val="22"/>
              </w:rPr>
              <w:t>True Positive</w:t>
            </w:r>
          </w:p>
        </w:tc>
      </w:tr>
      <w:tr>
        <w:tc>
          <w:tcPr>
            <w:tcW w:type="dxa" w:w="1800"/>
            <w:tcMar>
              <w:top w:w="90" w:type="dxa"/>
              <w:start w:w="110" w:type="dxa"/>
              <w:bottom w:w="90" w:type="dxa"/>
              <w:end w:w="110" w:type="dxa"/>
            </w:tcMar>
          </w:tcPr>
          <w:p>
            <w:r>
              <w:rPr>
                <w:rFonts w:ascii="Times New Roman" w:hAnsi="Times New Roman"/>
                <w:b/>
                <w:i w:val="0"/>
                <w:sz w:val="22"/>
              </w:rPr>
              <w:t>XGBoost</w:t>
            </w:r>
          </w:p>
        </w:tc>
        <w:tc>
          <w:tcPr>
            <w:tcW w:type="dxa" w:w="7560"/>
            <w:tcMar>
              <w:top w:w="90" w:type="dxa"/>
              <w:start w:w="110" w:type="dxa"/>
              <w:bottom w:w="90" w:type="dxa"/>
              <w:end w:w="110" w:type="dxa"/>
            </w:tcMar>
          </w:tcPr>
          <w:p>
            <w:r>
              <w:rPr>
                <w:rFonts w:ascii="Times New Roman" w:hAnsi="Times New Roman"/>
                <w:b w:val="0"/>
                <w:i w:val="0"/>
                <w:sz w:val="22"/>
              </w:rPr>
              <w:t>Extreme Gradient Boosting</w:t>
            </w:r>
          </w:p>
        </w:tc>
      </w:tr>
    </w:tbl>
    <w:p>
      <w:r>
        <w:br w:type="page"/>
      </w:r>
    </w:p>
    <w:p>
      <w:pPr>
        <w:pStyle w:val="Heading1"/>
        <w:jc w:val="center"/>
      </w:pPr>
      <w:r>
        <w:t>CHAPTER ONE: INTRODUCTION</w:t>
      </w:r>
    </w:p>
    <w:p>
      <w:pPr>
        <w:pStyle w:val="Heading2"/>
      </w:pPr>
      <w:r>
        <w:t>1.1 Background of the Study</w:t>
      </w:r>
    </w:p>
    <w:p>
      <w:pPr>
        <w:keepLines w:val="0"/>
        <w:spacing w:line="360" w:lineRule="auto"/>
      </w:pPr>
      <w:r>
        <w:rPr>
          <w:rFonts w:ascii="Times New Roman" w:hAnsi="Times New Roman"/>
          <w:b w:val="0"/>
          <w:i w:val="0"/>
          <w:sz w:val="24"/>
        </w:rPr>
        <w:t>Digital payment channels generate large streams of transaction records. Within these records, fraudulent activity is often a minority event that must be detected without overwhelming legitimate transaction activity. This makes credit card fraud detection a suitable case for imbalanced binary classification, where the aim is not simply to obtain high accuracy but to identify fraud with useful precision and recall.</w:t>
      </w:r>
    </w:p>
    <w:p>
      <w:pPr>
        <w:keepLines w:val="0"/>
        <w:spacing w:line="360" w:lineRule="auto"/>
      </w:pPr>
      <w:r>
        <w:rPr>
          <w:rFonts w:ascii="Times New Roman" w:hAnsi="Times New Roman"/>
          <w:b w:val="0"/>
          <w:i w:val="0"/>
          <w:sz w:val="24"/>
        </w:rPr>
        <w:t>Machine learning has become an important approach for fraud analysis because it can learn statistical patterns from transaction-level attributes. However, the quality of the results depends heavily on dataset preparation, feature engineering, class-imbalance handling, model selection, and evaluation metrics. Figure 1.1 provides a conceptual view of the digital payment fraud context without making unsupported numerical claims.</w:t>
      </w:r>
    </w:p>
    <w:p>
      <w:pPr>
        <w:keepNext/>
        <w:spacing w:before="120" w:after="60"/>
        <w:jc w:val="center"/>
      </w:pPr>
      <w:r>
        <w:drawing>
          <wp:inline xmlns:a="http://schemas.openxmlformats.org/drawingml/2006/main" xmlns:pic="http://schemas.openxmlformats.org/drawingml/2006/picture">
            <wp:extent cx="5303520" cy="2983230"/>
            <wp:docPr id="1" name="Picture 1"/>
            <wp:cNvGraphicFramePr>
              <a:graphicFrameLocks noChangeAspect="1"/>
            </wp:cNvGraphicFramePr>
            <a:graphic>
              <a:graphicData uri="http://schemas.openxmlformats.org/drawingml/2006/picture">
                <pic:pic>
                  <pic:nvPicPr>
                    <pic:cNvPr id="0" name="Figure_1_1_Global_Fraud_Context.png"/>
                    <pic:cNvPicPr/>
                  </pic:nvPicPr>
                  <pic:blipFill>
                    <a:blip r:embed="rId10"/>
                    <a:stretch>
                      <a:fillRect/>
                    </a:stretch>
                  </pic:blipFill>
                  <pic:spPr>
                    <a:xfrm>
                      <a:off x="0" y="0"/>
                      <a:ext cx="5303520" cy="2983230"/>
                    </a:xfrm>
                    <a:prstGeom prst="rect"/>
                  </pic:spPr>
                </pic:pic>
              </a:graphicData>
            </a:graphic>
          </wp:inline>
        </w:drawing>
      </w:r>
    </w:p>
    <w:p>
      <w:pPr>
        <w:keepLines/>
        <w:spacing w:line="240" w:lineRule="auto" w:after="160"/>
        <w:jc w:val="center"/>
      </w:pPr>
      <w:r>
        <w:rPr>
          <w:rFonts w:ascii="Times New Roman" w:hAnsi="Times New Roman"/>
          <w:b/>
          <w:i w:val="0"/>
          <w:sz w:val="20"/>
        </w:rPr>
        <w:t>Figure 1.1: Conceptual digital payment fraud context and need for analytical detection.</w:t>
      </w:r>
    </w:p>
    <w:p>
      <w:pPr>
        <w:keepLines w:val="0"/>
        <w:spacing w:line="360" w:lineRule="auto"/>
      </w:pPr>
      <w:r>
        <w:rPr>
          <w:rFonts w:ascii="Times New Roman" w:hAnsi="Times New Roman"/>
          <w:b w:val="0"/>
          <w:i w:val="0"/>
          <w:sz w:val="24"/>
        </w:rPr>
        <w:t>This study focuses on a researcher-generated synthetic credit card transaction dataset. The work is therefore an academic and reproducibility-oriented investigation of tabular fraud classification, not a live banking deployment.</w:t>
      </w:r>
    </w:p>
    <w:p>
      <w:pPr>
        <w:keepNext/>
        <w:spacing w:before="120" w:after="60"/>
        <w:jc w:val="center"/>
      </w:pPr>
      <w:r>
        <w:drawing>
          <wp:inline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Figure_1_2_Research_Pipeline_Overview.png"/>
                    <pic:cNvPicPr/>
                  </pic:nvPicPr>
                  <pic:blipFill>
                    <a:blip r:embed="rId11"/>
                    <a:stretch>
                      <a:fillRect/>
                    </a:stretch>
                  </pic:blipFill>
                  <pic:spPr>
                    <a:xfrm>
                      <a:off x="0" y="0"/>
                      <a:ext cx="5303520" cy="2983230"/>
                    </a:xfrm>
                    <a:prstGeom prst="rect"/>
                  </pic:spPr>
                </pic:pic>
              </a:graphicData>
            </a:graphic>
          </wp:inline>
        </w:drawing>
      </w:r>
    </w:p>
    <w:p>
      <w:pPr>
        <w:keepLines/>
        <w:spacing w:line="240" w:lineRule="auto" w:after="160"/>
        <w:jc w:val="center"/>
      </w:pPr>
      <w:r>
        <w:rPr>
          <w:rFonts w:ascii="Times New Roman" w:hAnsi="Times New Roman"/>
          <w:b/>
          <w:i w:val="0"/>
          <w:sz w:val="20"/>
        </w:rPr>
        <w:t>Figure 1.2: High-level research workflow for the study.</w:t>
      </w:r>
    </w:p>
    <w:p>
      <w:pPr>
        <w:pStyle w:val="Heading2"/>
      </w:pPr>
      <w:r>
        <w:t>1.2 Statement of the Problem</w:t>
      </w:r>
    </w:p>
    <w:p>
      <w:pPr>
        <w:keepLines w:val="0"/>
        <w:spacing w:line="360" w:lineRule="auto"/>
      </w:pPr>
      <w:r>
        <w:rPr>
          <w:rFonts w:ascii="Times New Roman" w:hAnsi="Times New Roman"/>
          <w:b w:val="0"/>
          <w:i w:val="0"/>
          <w:sz w:val="24"/>
        </w:rPr>
        <w:t>Fraud detection research can be weakened by unclear dataset provenance, duplicated transactions, inconsistent feature sets, and overreliance on accuracy. In the project repository, legacy and merged data artifacts existed alongside newer cleaned datasets. A defensible supervisor-submission report therefore requires a clear statement of which datasets were used, how duplicates were handled, how features were progressively introduced, and how model performance was evaluated.</w:t>
      </w:r>
    </w:p>
    <w:p>
      <w:pPr>
        <w:keepLines w:val="0"/>
        <w:spacing w:line="360" w:lineRule="auto"/>
      </w:pPr>
      <w:r>
        <w:rPr>
          <w:rFonts w:ascii="Times New Roman" w:hAnsi="Times New Roman"/>
          <w:b w:val="0"/>
          <w:i w:val="0"/>
          <w:sz w:val="24"/>
        </w:rPr>
        <w:t>The problem addressed in this study is how to build and evaluate a reproducible tabular machine-learning pipeline for credit card fraud detection while controlling for dataset population, class imbalance, and possible leakage-risk features.</w:t>
      </w:r>
    </w:p>
    <w:p>
      <w:pPr>
        <w:pStyle w:val="Heading2"/>
      </w:pPr>
      <w:r>
        <w:t>1.3 Aim and Objectives of the Study</w:t>
      </w:r>
    </w:p>
    <w:p>
      <w:pPr>
        <w:keepLines w:val="0"/>
        <w:spacing w:line="360" w:lineRule="auto"/>
      </w:pPr>
      <w:r>
        <w:rPr>
          <w:rFonts w:ascii="Times New Roman" w:hAnsi="Times New Roman"/>
          <w:b w:val="0"/>
          <w:i w:val="0"/>
          <w:sz w:val="24"/>
        </w:rPr>
        <w:t>The aim of the study is to evaluate the effect of progressive feature engineering and imbalanced machine-learning strategies on credit card fraud detection using a cleaned synthetic transaction dataset.</w:t>
      </w:r>
    </w:p>
    <w:p>
      <w:pPr>
        <w:keepLines w:val="0"/>
        <w:spacing w:line="288" w:lineRule="auto"/>
      </w:pPr>
      <w:r>
        <w:rPr>
          <w:rFonts w:ascii="Times New Roman" w:hAnsi="Times New Roman"/>
          <w:b w:val="0"/>
          <w:i w:val="0"/>
          <w:sz w:val="24"/>
        </w:rPr>
        <w:t>1. To prepare and validate a clean master transaction dataset for fraud classification.</w:t>
      </w:r>
    </w:p>
    <w:p>
      <w:pPr>
        <w:keepLines w:val="0"/>
        <w:spacing w:line="288" w:lineRule="auto"/>
      </w:pPr>
      <w:r>
        <w:rPr>
          <w:rFonts w:ascii="Times New Roman" w:hAnsi="Times New Roman"/>
          <w:b w:val="0"/>
          <w:i w:val="0"/>
          <w:sz w:val="24"/>
        </w:rPr>
        <w:t>2. To create five progressively enriched dataset versions from the same transaction population.</w:t>
      </w:r>
    </w:p>
    <w:p>
      <w:pPr>
        <w:keepLines w:val="0"/>
        <w:spacing w:line="288" w:lineRule="auto"/>
      </w:pPr>
      <w:r>
        <w:rPr>
          <w:rFonts w:ascii="Times New Roman" w:hAnsi="Times New Roman"/>
          <w:b w:val="0"/>
          <w:i w:val="0"/>
          <w:sz w:val="24"/>
        </w:rPr>
        <w:t>3. To train and compare Logistic Regression, Decision Tree, Random Forest, XGBoost, and CatBoost models.</w:t>
      </w:r>
    </w:p>
    <w:p>
      <w:pPr>
        <w:keepLines w:val="0"/>
        <w:spacing w:line="288" w:lineRule="auto"/>
      </w:pPr>
      <w:r>
        <w:rPr>
          <w:rFonts w:ascii="Times New Roman" w:hAnsi="Times New Roman"/>
          <w:b w:val="0"/>
          <w:i w:val="0"/>
          <w:sz w:val="24"/>
        </w:rPr>
        <w:t>4. To compare No-SMOTE and SMOTE training settings under a leakage-aware pipeline.</w:t>
      </w:r>
    </w:p>
    <w:p>
      <w:pPr>
        <w:keepLines w:val="0"/>
        <w:spacing w:line="288" w:lineRule="auto"/>
      </w:pPr>
      <w:r>
        <w:rPr>
          <w:rFonts w:ascii="Times New Roman" w:hAnsi="Times New Roman"/>
          <w:b w:val="0"/>
          <w:i w:val="0"/>
          <w:sz w:val="24"/>
        </w:rPr>
        <w:t>5. To evaluate default-threshold and threshold-tuned model performance using fraud-class metrics and PR-AUC.</w:t>
      </w:r>
    </w:p>
    <w:p>
      <w:pPr>
        <w:pStyle w:val="Heading2"/>
      </w:pPr>
      <w:r>
        <w:t>1.4 Research Questions</w:t>
      </w:r>
    </w:p>
    <w:p>
      <w:pPr>
        <w:keepLines w:val="0"/>
        <w:spacing w:line="288" w:lineRule="auto"/>
      </w:pPr>
      <w:r>
        <w:rPr>
          <w:rFonts w:ascii="Times New Roman" w:hAnsi="Times New Roman"/>
          <w:b w:val="0"/>
          <w:i w:val="0"/>
          <w:sz w:val="24"/>
        </w:rPr>
        <w:t>1. How does progressive feature engineering affect fraud-class performance across v1 to v5?</w:t>
      </w:r>
    </w:p>
    <w:p>
      <w:pPr>
        <w:keepLines w:val="0"/>
        <w:spacing w:line="288" w:lineRule="auto"/>
      </w:pPr>
      <w:r>
        <w:rPr>
          <w:rFonts w:ascii="Times New Roman" w:hAnsi="Times New Roman"/>
          <w:b w:val="0"/>
          <w:i w:val="0"/>
          <w:sz w:val="24"/>
        </w:rPr>
        <w:t>2. How do No-SMOTE and SMOTE training settings compare at the default threshold?</w:t>
      </w:r>
    </w:p>
    <w:p>
      <w:pPr>
        <w:keepLines w:val="0"/>
        <w:spacing w:line="288" w:lineRule="auto"/>
      </w:pPr>
      <w:r>
        <w:rPr>
          <w:rFonts w:ascii="Times New Roman" w:hAnsi="Times New Roman"/>
          <w:b w:val="0"/>
          <w:i w:val="0"/>
          <w:sz w:val="24"/>
        </w:rPr>
        <w:t>3. Does threshold optimization change the practical advantage observed under SMOTE?</w:t>
      </w:r>
    </w:p>
    <w:p>
      <w:pPr>
        <w:keepLines w:val="0"/>
        <w:spacing w:line="288" w:lineRule="auto"/>
      </w:pPr>
      <w:r>
        <w:rPr>
          <w:rFonts w:ascii="Times New Roman" w:hAnsi="Times New Roman"/>
          <w:b w:val="0"/>
          <w:i w:val="0"/>
          <w:sz w:val="24"/>
        </w:rPr>
        <w:t>4. Which model families provide the strongest fraud-class performance on the cleaned synthetic dataset?</w:t>
      </w:r>
    </w:p>
    <w:p>
      <w:pPr>
        <w:keepLines w:val="0"/>
        <w:spacing w:line="288" w:lineRule="auto"/>
      </w:pPr>
      <w:r>
        <w:rPr>
          <w:rFonts w:ascii="Times New Roman" w:hAnsi="Times New Roman"/>
          <w:b w:val="0"/>
          <w:i w:val="0"/>
          <w:sz w:val="24"/>
        </w:rPr>
        <w:t>5. What limitations affect interpretation of the study results?</w:t>
      </w:r>
    </w:p>
    <w:p>
      <w:pPr>
        <w:pStyle w:val="Heading2"/>
      </w:pPr>
      <w:r>
        <w:t>1.5 Significance of the Study</w:t>
      </w:r>
    </w:p>
    <w:p>
      <w:pPr>
        <w:keepLines w:val="0"/>
        <w:spacing w:line="360" w:lineRule="auto"/>
      </w:pPr>
      <w:r>
        <w:rPr>
          <w:rFonts w:ascii="Times New Roman" w:hAnsi="Times New Roman"/>
          <w:b w:val="0"/>
          <w:i w:val="0"/>
          <w:sz w:val="24"/>
        </w:rPr>
        <w:t>The study is significant because it demonstrates a reproducible workflow for preparing, validating, and evaluating progressively enriched fraud-detection datasets. It also shows why minority-class metrics, threshold policies, and transparent limitation statements are important in imbalanced fraud-detection research.</w:t>
      </w:r>
    </w:p>
    <w:p>
      <w:pPr>
        <w:pStyle w:val="Heading2"/>
      </w:pPr>
      <w:r>
        <w:t>1.6 Scope of the Study</w:t>
      </w:r>
    </w:p>
    <w:p>
      <w:pPr>
        <w:keepLines w:val="0"/>
        <w:spacing w:line="360" w:lineRule="auto"/>
      </w:pPr>
      <w:r>
        <w:rPr>
          <w:rFonts w:ascii="Times New Roman" w:hAnsi="Times New Roman"/>
          <w:b w:val="0"/>
          <w:i w:val="0"/>
          <w:sz w:val="24"/>
        </w:rPr>
        <w:t>The study is limited to binary tabular classification on a researcher-generated synthetic credit card transaction dataset. It evaluates five dataset versions, five model families, No-SMOTE and SMOTE settings, and threshold optimization based on validation predictions. It does not evaluate live transaction streams, institutional data, or deployment infrastructure.</w:t>
      </w:r>
    </w:p>
    <w:p>
      <w:pPr>
        <w:pStyle w:val="Heading2"/>
      </w:pPr>
      <w:r>
        <w:t>1.7 Limitations of the Study</w:t>
      </w:r>
    </w:p>
    <w:p>
      <w:pPr>
        <w:keepLines w:val="0"/>
        <w:spacing w:line="360" w:lineRule="auto"/>
      </w:pPr>
      <w:r>
        <w:rPr>
          <w:rFonts w:ascii="Times New Roman" w:hAnsi="Times New Roman"/>
          <w:b w:val="0"/>
          <w:i w:val="0"/>
          <w:sz w:val="24"/>
        </w:rPr>
        <w:t>The main limitations are the synthetic nature of the dataset, absence of external validation, possible leakage risk in MerchantRisk and CardRisk, static offline splitting, and the absence of repeated-seed or confidence-interval analysis.</w:t>
      </w:r>
    </w:p>
    <w:p>
      <w:pPr>
        <w:pStyle w:val="Heading2"/>
      </w:pPr>
      <w:r>
        <w:t>1.8 Definition of Key Terms</w:t>
      </w:r>
    </w:p>
    <w:p>
      <w:pPr>
        <w:keepLines w:val="0"/>
        <w:spacing w:line="288" w:lineRule="auto"/>
      </w:pPr>
      <w:r>
        <w:rPr>
          <w:rFonts w:ascii="Times New Roman" w:hAnsi="Times New Roman"/>
          <w:b w:val="0"/>
          <w:i w:val="0"/>
          <w:sz w:val="24"/>
        </w:rPr>
        <w:t>FraudFlag: The binary target label indicating whether a transaction is fraudulent or legitimate.</w:t>
      </w:r>
    </w:p>
    <w:p>
      <w:pPr>
        <w:keepLines w:val="0"/>
        <w:spacing w:line="288" w:lineRule="auto"/>
      </w:pPr>
      <w:r>
        <w:rPr>
          <w:rFonts w:ascii="Times New Roman" w:hAnsi="Times New Roman"/>
          <w:b w:val="0"/>
          <w:i w:val="0"/>
          <w:sz w:val="24"/>
        </w:rPr>
        <w:t>SMOTE: A resampling technique that creates synthetic minority-class examples during training.</w:t>
      </w:r>
    </w:p>
    <w:p>
      <w:pPr>
        <w:keepLines w:val="0"/>
        <w:spacing w:line="288" w:lineRule="auto"/>
      </w:pPr>
      <w:r>
        <w:rPr>
          <w:rFonts w:ascii="Times New Roman" w:hAnsi="Times New Roman"/>
          <w:b w:val="0"/>
          <w:i w:val="0"/>
          <w:sz w:val="24"/>
        </w:rPr>
        <w:t>PR-AUC: A metric that summarizes the precision-recall relationship and is useful in imbalanced classification.</w:t>
      </w:r>
    </w:p>
    <w:p>
      <w:pPr>
        <w:keepLines w:val="0"/>
        <w:spacing w:line="288" w:lineRule="auto"/>
      </w:pPr>
      <w:r>
        <w:rPr>
          <w:rFonts w:ascii="Times New Roman" w:hAnsi="Times New Roman"/>
          <w:b w:val="0"/>
          <w:i w:val="0"/>
          <w:sz w:val="24"/>
        </w:rPr>
        <w:t>Feature engineering: The process of creating or transforming variables to improve predictive performance.</w:t>
      </w:r>
    </w:p>
    <w:p>
      <w:pPr>
        <w:keepLines w:val="0"/>
        <w:spacing w:line="288" w:lineRule="auto"/>
      </w:pPr>
      <w:r>
        <w:rPr>
          <w:rFonts w:ascii="Times New Roman" w:hAnsi="Times New Roman"/>
          <w:b w:val="0"/>
          <w:i w:val="0"/>
          <w:sz w:val="24"/>
        </w:rPr>
        <w:t>Threshold optimization: The process of selecting a probability cutoff based on validation predictions before test evaluation.</w:t>
      </w:r>
    </w:p>
    <w:p>
      <w:pPr>
        <w:pStyle w:val="Heading2"/>
      </w:pPr>
      <w:r>
        <w:t>1.9 Organization of the Study</w:t>
      </w:r>
    </w:p>
    <w:p>
      <w:pPr>
        <w:keepLines w:val="0"/>
        <w:spacing w:line="360" w:lineRule="auto"/>
      </w:pPr>
      <w:r>
        <w:rPr>
          <w:rFonts w:ascii="Times New Roman" w:hAnsi="Times New Roman"/>
          <w:b w:val="0"/>
          <w:i w:val="0"/>
          <w:sz w:val="24"/>
        </w:rPr>
        <w:t>Chapter One introduces the study. Chapter Two reviews relevant literature. Chapter Three presents the methodology. Chapter Four reports and discusses the results. Chapter Five concludes the study and provides recommendations.</w:t>
      </w:r>
    </w:p>
    <w:p>
      <w:r>
        <w:br w:type="page"/>
      </w:r>
    </w:p>
    <w:p>
      <w:pPr>
        <w:pStyle w:val="Heading1"/>
        <w:jc w:val="center"/>
      </w:pPr>
      <w:r>
        <w:t>CHAPTER TWO: LITERATURE REVIEW</w:t>
      </w:r>
    </w:p>
    <w:p>
      <w:pPr>
        <w:pStyle w:val="Heading2"/>
      </w:pPr>
      <w:r>
        <w:t>2.1 Conceptual Review</w:t>
      </w:r>
    </w:p>
    <w:p>
      <w:pPr>
        <w:pStyle w:val="Heading3"/>
      </w:pPr>
      <w:r>
        <w:t>2.1.1 Credit Card Fraud</w:t>
      </w:r>
    </w:p>
    <w:p>
      <w:pPr>
        <w:keepLines w:val="0"/>
        <w:spacing w:line="360" w:lineRule="auto"/>
      </w:pPr>
      <w:r>
        <w:rPr>
          <w:rFonts w:ascii="Times New Roman" w:hAnsi="Times New Roman"/>
          <w:b w:val="0"/>
          <w:i w:val="0"/>
          <w:sz w:val="24"/>
        </w:rPr>
        <w:t>Credit card fraud involves unauthorized or deceptive use of payment-card information. Prior fraud-detection literature emphasizes that fraud patterns are dynamic and that detection systems must distinguish suspicious behavior from legitimate high-volume transaction activity [1], [2].</w:t>
      </w:r>
    </w:p>
    <w:p>
      <w:pPr>
        <w:pStyle w:val="Heading3"/>
      </w:pPr>
      <w:r>
        <w:t>2.1.2 Fraud Detection Systems</w:t>
      </w:r>
    </w:p>
    <w:p>
      <w:pPr>
        <w:keepLines w:val="0"/>
        <w:spacing w:line="360" w:lineRule="auto"/>
      </w:pPr>
      <w:r>
        <w:rPr>
          <w:rFonts w:ascii="Times New Roman" w:hAnsi="Times New Roman"/>
          <w:b w:val="0"/>
          <w:i w:val="0"/>
          <w:sz w:val="24"/>
        </w:rPr>
        <w:t>Fraud detection systems traditionally use business rules, thresholds, manual reviews, and risk indicators. Rule-based systems are interpretable but may require frequent updating when fraudulent behavior changes [1], [2].</w:t>
      </w:r>
    </w:p>
    <w:p>
      <w:pPr>
        <w:pStyle w:val="Heading3"/>
      </w:pPr>
      <w:r>
        <w:t>2.1.3 Machine Learning in Fraud Detection</w:t>
      </w:r>
    </w:p>
    <w:p>
      <w:pPr>
        <w:keepLines w:val="0"/>
        <w:spacing w:line="360" w:lineRule="auto"/>
      </w:pPr>
      <w:r>
        <w:rPr>
          <w:rFonts w:ascii="Times New Roman" w:hAnsi="Times New Roman"/>
          <w:b w:val="0"/>
          <w:i w:val="0"/>
          <w:sz w:val="24"/>
        </w:rPr>
        <w:t>Machine-learning systems estimate fraud risk by learning relationships between transaction attributes and labels. Prior studies have used linear classifiers, tree-based methods, ensemble learning, and boosting methods for fraud detection [3]-[8].</w:t>
      </w:r>
    </w:p>
    <w:p>
      <w:pPr>
        <w:pStyle w:val="Heading3"/>
      </w:pPr>
      <w:r>
        <w:t>2.1.4 Imbalanced Classification</w:t>
      </w:r>
    </w:p>
    <w:p>
      <w:pPr>
        <w:keepLines w:val="0"/>
        <w:spacing w:line="360" w:lineRule="auto"/>
      </w:pPr>
      <w:r>
        <w:rPr>
          <w:rFonts w:ascii="Times New Roman" w:hAnsi="Times New Roman"/>
          <w:b w:val="0"/>
          <w:i w:val="0"/>
          <w:sz w:val="24"/>
        </w:rPr>
        <w:t>Fraud detection is usually imbalanced because fraudulent transactions occur less frequently than legitimate transactions. Imbalanced learning literature recommends focusing on minority-class performance, resampling strategies, and cost-sensitive evaluation [9]-[14].</w:t>
      </w:r>
    </w:p>
    <w:p>
      <w:pPr>
        <w:pStyle w:val="Heading3"/>
      </w:pPr>
      <w:r>
        <w:t>2.1.5 Feature Engineering</w:t>
      </w:r>
    </w:p>
    <w:p>
      <w:pPr>
        <w:keepLines w:val="0"/>
        <w:spacing w:line="360" w:lineRule="auto"/>
      </w:pPr>
      <w:r>
        <w:rPr>
          <w:rFonts w:ascii="Times New Roman" w:hAnsi="Times New Roman"/>
          <w:b w:val="0"/>
          <w:i w:val="0"/>
          <w:sz w:val="24"/>
        </w:rPr>
        <w:t>Feature engineering transforms raw variables into more informative predictors. In fraud detection, transaction amount, time, merchant, card, category, and risk-derived indicators can influence model performance [5], [29], [30].</w:t>
      </w:r>
    </w:p>
    <w:p>
      <w:pPr>
        <w:pStyle w:val="Heading3"/>
      </w:pPr>
      <w:r>
        <w:t>2.1.6 Evaluation Metrics</w:t>
      </w:r>
    </w:p>
    <w:p>
      <w:pPr>
        <w:keepLines w:val="0"/>
        <w:spacing w:line="360" w:lineRule="auto"/>
      </w:pPr>
      <w:r>
        <w:rPr>
          <w:rFonts w:ascii="Times New Roman" w:hAnsi="Times New Roman"/>
          <w:b w:val="0"/>
          <w:i w:val="0"/>
          <w:sz w:val="24"/>
        </w:rPr>
        <w:t>Accuracy is often insufficient in imbalanced classification because a model can perform well on the majority class while missing minority-class cases. F1, ROC-AUC, and PR-AUC are therefore commonly used to assess classifier behavior [15]-[17].</w:t>
      </w:r>
    </w:p>
    <w:p>
      <w:pPr>
        <w:pStyle w:val="Heading2"/>
      </w:pPr>
      <w:r>
        <w:t>2.2 Theoretical Review</w:t>
      </w:r>
    </w:p>
    <w:p>
      <w:pPr>
        <w:keepLines w:val="0"/>
        <w:spacing w:line="360" w:lineRule="auto"/>
      </w:pPr>
      <w:r>
        <w:rPr>
          <w:rFonts w:ascii="Times New Roman" w:hAnsi="Times New Roman"/>
          <w:b w:val="0"/>
          <w:i w:val="0"/>
          <w:sz w:val="24"/>
        </w:rPr>
        <w:t>The study is grounded in supervised learning theory, where models learn a mapping from input features to a known target label. It also draws on imbalanced learning theory, which explains why class distribution affects model training and evaluation. Ensemble learning theory is relevant because Random Forest, XGBoost, and CatBoost combine multiple decision structures to improve predictive performance [18]-[22]. Finally, the risk-based fraud detection framework motivates the use of transaction and proxy risk indicators while requiring caution about feature provenance.</w:t>
      </w:r>
    </w:p>
    <w:p>
      <w:pPr>
        <w:pStyle w:val="Heading2"/>
      </w:pPr>
      <w:r>
        <w:t>2.3 Empirical Review</w:t>
      </w:r>
    </w:p>
    <w:p>
      <w:pPr>
        <w:keepLines w:val="0"/>
        <w:spacing w:line="360" w:lineRule="auto"/>
      </w:pPr>
      <w:r>
        <w:rPr>
          <w:rFonts w:ascii="Times New Roman" w:hAnsi="Times New Roman"/>
          <w:b w:val="0"/>
          <w:i w:val="0"/>
          <w:sz w:val="24"/>
        </w:rPr>
        <w:t>Empirical studies in credit card fraud detection have shown that model performance depends on data preparation, feature construction, class imbalance handling, and evaluation design [3]-[8]. SMOTE and related methods are widely used to address minority-class scarcity, but their benefit depends on the model, data distribution, and operating threshold [9]-[14].</w:t>
      </w:r>
    </w:p>
    <w:p>
      <w:pPr>
        <w:keepLines w:val="0"/>
        <w:spacing w:line="360" w:lineRule="auto"/>
      </w:pPr>
      <w:r>
        <w:rPr>
          <w:rFonts w:ascii="Times New Roman" w:hAnsi="Times New Roman"/>
          <w:b w:val="0"/>
          <w:i w:val="0"/>
          <w:sz w:val="24"/>
        </w:rPr>
        <w:t>Tree-based and boosting models are often competitive on tabular fraud data because they can model nonlinear feature interactions [18]-[22]. Prior work also emphasizes careful model selection and validation to avoid overfitting and biased performance estimates [23]-[28].</w:t>
      </w:r>
    </w:p>
    <w:p>
      <w:pPr>
        <w:pStyle w:val="Heading2"/>
      </w:pPr>
      <w:r>
        <w:t>2.4 Research Gap</w:t>
      </w:r>
    </w:p>
    <w:p>
      <w:pPr>
        <w:keepLines w:val="0"/>
        <w:spacing w:line="360" w:lineRule="auto"/>
      </w:pPr>
      <w:r>
        <w:rPr>
          <w:rFonts w:ascii="Times New Roman" w:hAnsi="Times New Roman"/>
          <w:b w:val="0"/>
          <w:i w:val="0"/>
          <w:sz w:val="24"/>
        </w:rPr>
        <w:t>The gap addressed in this study is the need for a controlled comparison of progressive feature engineering across the same cleaned transaction population. This design helps separate feature effects from changes caused by sample size, duplicate records, or class-ratio differences.</w:t>
      </w:r>
    </w:p>
    <w:p>
      <w:pPr>
        <w:pStyle w:val="Heading2"/>
      </w:pPr>
      <w:r>
        <w:t>2.5 Summary of Literature Review</w:t>
      </w:r>
    </w:p>
    <w:p>
      <w:pPr>
        <w:keepLines w:val="0"/>
        <w:spacing w:line="360" w:lineRule="auto"/>
      </w:pPr>
      <w:r>
        <w:rPr>
          <w:rFonts w:ascii="Times New Roman" w:hAnsi="Times New Roman"/>
          <w:b w:val="0"/>
          <w:i w:val="0"/>
          <w:sz w:val="24"/>
        </w:rPr>
        <w:t>The literature supports the use of machine learning, feature engineering, and minority-class metrics in fraud detection. It also cautions that resampling, model selection, and proxy risk indicators must be handled carefully to avoid unsupported claims.</w:t>
      </w:r>
    </w:p>
    <w:p>
      <w:r>
        <w:br w:type="page"/>
      </w:r>
    </w:p>
    <w:p>
      <w:pPr>
        <w:pStyle w:val="Heading1"/>
        <w:jc w:val="center"/>
      </w:pPr>
      <w:r>
        <w:t>CHAPTER THREE: METHODOLOGY</w:t>
      </w:r>
    </w:p>
    <w:p>
      <w:pPr>
        <w:pStyle w:val="Heading2"/>
      </w:pPr>
      <w:r>
        <w:t>3.1 Research Design</w:t>
      </w:r>
    </w:p>
    <w:p>
      <w:pPr>
        <w:keepLines w:val="0"/>
        <w:spacing w:line="360" w:lineRule="auto"/>
      </w:pPr>
      <w:r>
        <w:rPr>
          <w:rFonts w:ascii="Times New Roman" w:hAnsi="Times New Roman"/>
          <w:b w:val="0"/>
          <w:i w:val="0"/>
          <w:sz w:val="24"/>
        </w:rPr>
        <w:t>The study adopted an experimental quantitative design. Five dataset versions were prepared from the same cleaned master population and evaluated using the same train-validation-test protocol.</w:t>
      </w:r>
    </w:p>
    <w:p>
      <w:pPr>
        <w:pStyle w:val="Heading2"/>
      </w:pPr>
      <w:r>
        <w:t>3.2 Dataset Generation and Description</w:t>
      </w:r>
    </w:p>
    <w:p>
      <w:pPr>
        <w:keepLines w:val="0"/>
        <w:spacing w:line="360" w:lineRule="auto"/>
      </w:pPr>
      <w:r>
        <w:rPr>
          <w:rFonts w:ascii="Times New Roman" w:hAnsi="Times New Roman"/>
          <w:b w:val="0"/>
          <w:i w:val="0"/>
          <w:sz w:val="24"/>
        </w:rPr>
        <w:t>The master dataset was data/research_master_dataset.csv. It contained 499,985 transactions, with 62,500 fraud cases and 437,485 legitimate cases. The target label was FraudFlag. Language-processing features were not present; the task was binary tabular classification.</w:t>
      </w:r>
    </w:p>
    <w:p>
      <w:pPr>
        <w:keepNext/>
        <w:keepLines w:val="0"/>
        <w:spacing w:line="240" w:lineRule="auto"/>
        <w:jc w:val="center"/>
      </w:pPr>
      <w:r>
        <w:rPr>
          <w:rFonts w:ascii="Times New Roman" w:hAnsi="Times New Roman"/>
          <w:b/>
          <w:i w:val="0"/>
          <w:sz w:val="20"/>
        </w:rPr>
        <w:t>Table 3.1: Dataset Summary</w:t>
      </w:r>
    </w:p>
    <w:tbl>
      <w:tblPr>
        <w:tblStyle w:val="TableGrid"/>
        <w:tblW w:type="dxa" w:w="9360"/>
        <w:jc w:val="center"/>
        <w:tblLayout w:type="fixed"/>
        <w:tblLook w:firstColumn="1" w:firstRow="1" w:lastColumn="0" w:lastRow="0" w:noHBand="0" w:noVBand="1" w:val="04A0"/>
      </w:tblPr>
      <w:tblGrid>
        <w:gridCol w:w="2700"/>
        <w:gridCol w:w="6660"/>
      </w:tblGrid>
      <w:tr>
        <w:trPr>
          <w:tblHeader w:val="true"/>
        </w:trPr>
        <w:tc>
          <w:tcPr>
            <w:tcW w:type="dxa" w:w="2700"/>
            <w:tcMar>
              <w:top w:w="90" w:type="dxa"/>
              <w:start w:w="110" w:type="dxa"/>
              <w:bottom w:w="90" w:type="dxa"/>
              <w:end w:w="110" w:type="dxa"/>
            </w:tcMar>
            <w:vAlign w:val="center"/>
            <w:shd w:fill="F2F2F2"/>
          </w:tcPr>
          <w:p>
            <w:pPr>
              <w:spacing w:after="0" w:line="240" w:lineRule="auto"/>
            </w:pPr>
            <w:r>
              <w:rPr>
                <w:rFonts w:ascii="Times New Roman" w:hAnsi="Times New Roman"/>
                <w:b/>
                <w:i w:val="0"/>
                <w:sz w:val="18"/>
              </w:rPr>
              <w:t>Property</w:t>
            </w:r>
          </w:p>
        </w:tc>
        <w:tc>
          <w:tcPr>
            <w:tcW w:type="dxa" w:w="666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8"/>
              </w:rPr>
              <w:t>Value</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Dataset file</w:t>
            </w:r>
          </w:p>
        </w:tc>
        <w:tc>
          <w:tcPr>
            <w:tcW w:type="dxa" w:w="6660"/>
            <w:tcMar>
              <w:top w:w="90" w:type="dxa"/>
              <w:start w:w="110" w:type="dxa"/>
              <w:bottom w:w="90" w:type="dxa"/>
              <w:end w:w="110" w:type="dxa"/>
            </w:tcMar>
            <w:vAlign w:val="center"/>
          </w:tcPr>
          <w:p>
            <w:pPr>
              <w:spacing w:after="0" w:line="240" w:lineRule="auto"/>
            </w:pPr>
            <w:r>
              <w:rPr>
                <w:rFonts w:ascii="Times New Roman" w:hAnsi="Times New Roman"/>
                <w:b w:val="0"/>
                <w:i w:val="0"/>
                <w:sz w:val="18"/>
              </w:rPr>
              <w:t>data/research_master_dataset.csv</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Dataset type</w:t>
            </w:r>
          </w:p>
        </w:tc>
        <w:tc>
          <w:tcPr>
            <w:tcW w:type="dxa" w:w="6660"/>
            <w:tcMar>
              <w:top w:w="90" w:type="dxa"/>
              <w:start w:w="110" w:type="dxa"/>
              <w:bottom w:w="90" w:type="dxa"/>
              <w:end w:w="110" w:type="dxa"/>
            </w:tcMar>
            <w:vAlign w:val="center"/>
          </w:tcPr>
          <w:p>
            <w:pPr>
              <w:spacing w:after="0" w:line="240" w:lineRule="auto"/>
            </w:pPr>
            <w:r>
              <w:rPr>
                <w:rFonts w:ascii="Times New Roman" w:hAnsi="Times New Roman"/>
                <w:b w:val="0"/>
                <w:i w:val="0"/>
                <w:sz w:val="18"/>
              </w:rPr>
              <w:t>Researcher-generated synthetic transaction dataset</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Task</w:t>
            </w:r>
          </w:p>
        </w:tc>
        <w:tc>
          <w:tcPr>
            <w:tcW w:type="dxa" w:w="6660"/>
            <w:tcMar>
              <w:top w:w="90" w:type="dxa"/>
              <w:start w:w="110" w:type="dxa"/>
              <w:bottom w:w="90" w:type="dxa"/>
              <w:end w:w="110" w:type="dxa"/>
            </w:tcMar>
            <w:vAlign w:val="center"/>
          </w:tcPr>
          <w:p>
            <w:pPr>
              <w:spacing w:after="0" w:line="240" w:lineRule="auto"/>
            </w:pPr>
            <w:r>
              <w:rPr>
                <w:rFonts w:ascii="Times New Roman" w:hAnsi="Times New Roman"/>
                <w:b w:val="0"/>
                <w:i w:val="0"/>
                <w:sz w:val="18"/>
              </w:rPr>
              <w:t>Binary tabular classification</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Target label</w:t>
            </w:r>
          </w:p>
        </w:tc>
        <w:tc>
          <w:tcPr>
            <w:tcW w:type="dxa" w:w="66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FraudFlag</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Total transactions</w:t>
            </w:r>
          </w:p>
        </w:tc>
        <w:tc>
          <w:tcPr>
            <w:tcW w:type="dxa" w:w="66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499,985</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Fraud transactions</w:t>
            </w:r>
          </w:p>
        </w:tc>
        <w:tc>
          <w:tcPr>
            <w:tcW w:type="dxa" w:w="66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62,500</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Legitimate transactions</w:t>
            </w:r>
          </w:p>
        </w:tc>
        <w:tc>
          <w:tcPr>
            <w:tcW w:type="dxa" w:w="66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437,485</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Fraud ratio</w:t>
            </w:r>
          </w:p>
        </w:tc>
        <w:tc>
          <w:tcPr>
            <w:tcW w:type="dxa" w:w="66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12.5004%</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Missing values in final datasets</w:t>
            </w:r>
          </w:p>
        </w:tc>
        <w:tc>
          <w:tcPr>
            <w:tcW w:type="dxa" w:w="66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0</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Exact duplicate rows in final datasets</w:t>
            </w:r>
          </w:p>
        </w:tc>
        <w:tc>
          <w:tcPr>
            <w:tcW w:type="dxa" w:w="66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0</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Duplicate TransactionID values in final datasets</w:t>
            </w:r>
          </w:p>
        </w:tc>
        <w:tc>
          <w:tcPr>
            <w:tcW w:type="dxa" w:w="66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0</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Language-processing features</w:t>
            </w:r>
          </w:p>
        </w:tc>
        <w:tc>
          <w:tcPr>
            <w:tcW w:type="dxa" w:w="66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Not present</w:t>
            </w:r>
          </w:p>
        </w:tc>
      </w:tr>
    </w:tbl>
    <w:p>
      <w:pPr>
        <w:keepLines w:val="0"/>
        <w:spacing w:line="240" w:lineRule="auto"/>
      </w:pPr>
    </w:p>
    <w:p>
      <w:pPr>
        <w:pStyle w:val="Heading2"/>
      </w:pPr>
      <w:r>
        <w:t>3.3 Dataset Cleaning and Validation</w:t>
      </w:r>
    </w:p>
    <w:p>
      <w:pPr>
        <w:keepLines w:val="0"/>
        <w:spacing w:line="360" w:lineRule="auto"/>
      </w:pPr>
      <w:r>
        <w:rPr>
          <w:rFonts w:ascii="Times New Roman" w:hAnsi="Times New Roman"/>
          <w:b w:val="0"/>
          <w:i w:val="0"/>
          <w:sz w:val="24"/>
        </w:rPr>
        <w:t>The raw merged provenance file had 849,999 rows and 350,014 exact duplicate rows. It was not used as an additional main experiment. The final datasets had zero missing values, zero exact duplicate rows, and zero duplicate TransactionID values.</w:t>
      </w:r>
    </w:p>
    <w:p>
      <w:pPr>
        <w:pStyle w:val="Heading2"/>
      </w:pPr>
      <w:r>
        <w:t>3.4 Dataset Versioning Strategy</w:t>
      </w:r>
    </w:p>
    <w:p>
      <w:pPr>
        <w:keepLines w:val="0"/>
        <w:spacing w:line="360" w:lineRule="auto"/>
      </w:pPr>
      <w:r>
        <w:rPr>
          <w:rFonts w:ascii="Times New Roman" w:hAnsi="Times New Roman"/>
          <w:b w:val="0"/>
          <w:i w:val="0"/>
          <w:sz w:val="24"/>
        </w:rPr>
        <w:t>The five versions were designed to be progressively feature-rich while retaining the same transaction population. This improved experimental control because model changes could be interpreted in relation to feature availability.</w:t>
      </w:r>
    </w:p>
    <w:p>
      <w:pPr>
        <w:keepNext/>
        <w:keepLines w:val="0"/>
        <w:spacing w:line="240" w:lineRule="auto"/>
        <w:jc w:val="center"/>
      </w:pPr>
      <w:r>
        <w:rPr>
          <w:rFonts w:ascii="Times New Roman" w:hAnsi="Times New Roman"/>
          <w:b/>
          <w:i w:val="0"/>
          <w:sz w:val="20"/>
        </w:rPr>
        <w:t>Table 3.2: Dataset Versions</w:t>
      </w:r>
    </w:p>
    <w:tbl>
      <w:tblPr>
        <w:tblStyle w:val="TableGrid"/>
        <w:tblW w:type="dxa" w:w="9360"/>
        <w:jc w:val="center"/>
        <w:tblLayout w:type="fixed"/>
        <w:tblLook w:firstColumn="1" w:firstRow="1" w:lastColumn="0" w:lastRow="0" w:noHBand="0" w:noVBand="1" w:val="04A0"/>
      </w:tblPr>
      <w:tblGrid>
        <w:gridCol w:w="900"/>
        <w:gridCol w:w="1000"/>
        <w:gridCol w:w="900"/>
        <w:gridCol w:w="3600"/>
        <w:gridCol w:w="2960"/>
      </w:tblGrid>
      <w:tr>
        <w:trPr>
          <w:tblHeader w:val="true"/>
        </w:trPr>
        <w:tc>
          <w:tcPr>
            <w:tcW w:type="dxa" w:w="900"/>
            <w:tcMar>
              <w:top w:w="90" w:type="dxa"/>
              <w:start w:w="110" w:type="dxa"/>
              <w:bottom w:w="90" w:type="dxa"/>
              <w:end w:w="110" w:type="dxa"/>
            </w:tcMar>
            <w:vAlign w:val="center"/>
            <w:shd w:fill="F2F2F2"/>
          </w:tcPr>
          <w:p>
            <w:pPr>
              <w:spacing w:after="0" w:line="240" w:lineRule="auto"/>
            </w:pPr>
            <w:r>
              <w:rPr>
                <w:rFonts w:ascii="Times New Roman" w:hAnsi="Times New Roman"/>
                <w:b/>
                <w:i w:val="0"/>
                <w:sz w:val="18"/>
              </w:rPr>
              <w:t>Version</w:t>
            </w:r>
          </w:p>
        </w:tc>
        <w:tc>
          <w:tcPr>
            <w:tcW w:type="dxa" w:w="100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8"/>
              </w:rPr>
              <w:t>Rows</w:t>
            </w:r>
          </w:p>
        </w:tc>
        <w:tc>
          <w:tcPr>
            <w:tcW w:type="dxa" w:w="90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8"/>
              </w:rPr>
              <w:t>Columns</w:t>
            </w:r>
          </w:p>
        </w:tc>
        <w:tc>
          <w:tcPr>
            <w:tcW w:type="dxa" w:w="3600"/>
            <w:tcMar>
              <w:top w:w="90" w:type="dxa"/>
              <w:start w:w="110" w:type="dxa"/>
              <w:bottom w:w="90" w:type="dxa"/>
              <w:end w:w="110" w:type="dxa"/>
            </w:tcMar>
            <w:vAlign w:val="center"/>
            <w:shd w:fill="F2F2F2"/>
          </w:tcPr>
          <w:p>
            <w:pPr>
              <w:spacing w:after="0" w:line="240" w:lineRule="auto"/>
            </w:pPr>
            <w:r>
              <w:rPr>
                <w:rFonts w:ascii="Times New Roman" w:hAnsi="Times New Roman"/>
                <w:b/>
                <w:i w:val="0"/>
                <w:sz w:val="18"/>
              </w:rPr>
              <w:t>Added Feature Group</w:t>
            </w:r>
          </w:p>
        </w:tc>
        <w:tc>
          <w:tcPr>
            <w:tcW w:type="dxa" w:w="296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8"/>
              </w:rPr>
              <w:t>Purpose</w:t>
            </w:r>
          </w:p>
        </w:tc>
      </w:tr>
      <w:tr>
        <w:tc>
          <w:tcPr>
            <w:tcW w:type="dxa" w:w="900"/>
            <w:tcMar>
              <w:top w:w="90" w:type="dxa"/>
              <w:start w:w="110" w:type="dxa"/>
              <w:bottom w:w="90" w:type="dxa"/>
              <w:end w:w="110" w:type="dxa"/>
            </w:tcMar>
            <w:vAlign w:val="center"/>
          </w:tcPr>
          <w:p>
            <w:pPr>
              <w:spacing w:after="0" w:line="240" w:lineRule="auto"/>
            </w:pPr>
            <w:r>
              <w:rPr>
                <w:rFonts w:ascii="Times New Roman" w:hAnsi="Times New Roman"/>
                <w:b w:val="0"/>
                <w:i w:val="0"/>
                <w:sz w:val="18"/>
              </w:rPr>
              <w:t>v1</w:t>
            </w:r>
          </w:p>
        </w:tc>
        <w:tc>
          <w:tcPr>
            <w:tcW w:type="dxa" w:w="10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499,985</w:t>
            </w:r>
          </w:p>
        </w:tc>
        <w:tc>
          <w:tcPr>
            <w:tcW w:type="dxa" w:w="9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8</w:t>
            </w:r>
          </w:p>
        </w:tc>
        <w:tc>
          <w:tcPr>
            <w:tcW w:type="dxa" w:w="3600"/>
            <w:tcMar>
              <w:top w:w="90" w:type="dxa"/>
              <w:start w:w="110" w:type="dxa"/>
              <w:bottom w:w="90" w:type="dxa"/>
              <w:end w:w="110" w:type="dxa"/>
            </w:tcMar>
            <w:vAlign w:val="center"/>
          </w:tcPr>
          <w:p>
            <w:pPr>
              <w:spacing w:after="0" w:line="240" w:lineRule="auto"/>
            </w:pPr>
            <w:r>
              <w:rPr>
                <w:rFonts w:ascii="Times New Roman" w:hAnsi="Times New Roman"/>
                <w:b w:val="0"/>
                <w:i w:val="0"/>
                <w:sz w:val="18"/>
              </w:rPr>
              <w:t>Baseline transaction, categorical, and time fields</w:t>
            </w:r>
          </w:p>
        </w:tc>
        <w:tc>
          <w:tcPr>
            <w:tcW w:type="dxa" w:w="2960"/>
            <w:tcMar>
              <w:top w:w="90" w:type="dxa"/>
              <w:start w:w="110" w:type="dxa"/>
              <w:bottom w:w="90" w:type="dxa"/>
              <w:end w:w="110" w:type="dxa"/>
            </w:tcMar>
            <w:vAlign w:val="center"/>
          </w:tcPr>
          <w:p>
            <w:pPr>
              <w:spacing w:after="0" w:line="240" w:lineRule="auto"/>
            </w:pPr>
            <w:r>
              <w:rPr>
                <w:rFonts w:ascii="Times New Roman" w:hAnsi="Times New Roman"/>
                <w:b w:val="0"/>
                <w:i w:val="0"/>
                <w:sz w:val="18"/>
              </w:rPr>
              <w:t>Baseline comparator</w:t>
            </w:r>
          </w:p>
        </w:tc>
      </w:tr>
      <w:tr>
        <w:tc>
          <w:tcPr>
            <w:tcW w:type="dxa" w:w="900"/>
            <w:tcMar>
              <w:top w:w="90" w:type="dxa"/>
              <w:start w:w="110" w:type="dxa"/>
              <w:bottom w:w="90" w:type="dxa"/>
              <w:end w:w="110" w:type="dxa"/>
            </w:tcMar>
            <w:vAlign w:val="center"/>
          </w:tcPr>
          <w:p>
            <w:pPr>
              <w:spacing w:after="0" w:line="240" w:lineRule="auto"/>
            </w:pPr>
            <w:r>
              <w:rPr>
                <w:rFonts w:ascii="Times New Roman" w:hAnsi="Times New Roman"/>
                <w:b w:val="0"/>
                <w:i w:val="0"/>
                <w:sz w:val="18"/>
              </w:rPr>
              <w:t>v2</w:t>
            </w:r>
          </w:p>
        </w:tc>
        <w:tc>
          <w:tcPr>
            <w:tcW w:type="dxa" w:w="10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499,985</w:t>
            </w:r>
          </w:p>
        </w:tc>
        <w:tc>
          <w:tcPr>
            <w:tcW w:type="dxa" w:w="9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11</w:t>
            </w:r>
          </w:p>
        </w:tc>
        <w:tc>
          <w:tcPr>
            <w:tcW w:type="dxa" w:w="3600"/>
            <w:tcMar>
              <w:top w:w="90" w:type="dxa"/>
              <w:start w:w="110" w:type="dxa"/>
              <w:bottom w:w="90" w:type="dxa"/>
              <w:end w:w="110" w:type="dxa"/>
            </w:tcMar>
            <w:vAlign w:val="center"/>
          </w:tcPr>
          <w:p>
            <w:pPr>
              <w:spacing w:after="0" w:line="240" w:lineRule="auto"/>
            </w:pPr>
            <w:r>
              <w:rPr>
                <w:rFonts w:ascii="Times New Roman" w:hAnsi="Times New Roman"/>
                <w:b w:val="0"/>
                <w:i w:val="0"/>
                <w:sz w:val="18"/>
              </w:rPr>
              <w:t>High-amount flag, night-transaction flag, subcategory</w:t>
            </w:r>
          </w:p>
        </w:tc>
        <w:tc>
          <w:tcPr>
            <w:tcW w:type="dxa" w:w="2960"/>
            <w:tcMar>
              <w:top w:w="90" w:type="dxa"/>
              <w:start w:w="110" w:type="dxa"/>
              <w:bottom w:w="90" w:type="dxa"/>
              <w:end w:w="110" w:type="dxa"/>
            </w:tcMar>
            <w:vAlign w:val="center"/>
          </w:tcPr>
          <w:p>
            <w:pPr>
              <w:spacing w:after="0" w:line="240" w:lineRule="auto"/>
            </w:pPr>
            <w:r>
              <w:rPr>
                <w:rFonts w:ascii="Times New Roman" w:hAnsi="Times New Roman"/>
                <w:b w:val="0"/>
                <w:i w:val="0"/>
                <w:sz w:val="18"/>
              </w:rPr>
              <w:t>Assess simple risk indicators</w:t>
            </w:r>
          </w:p>
        </w:tc>
      </w:tr>
      <w:tr>
        <w:tc>
          <w:tcPr>
            <w:tcW w:type="dxa" w:w="900"/>
            <w:tcMar>
              <w:top w:w="90" w:type="dxa"/>
              <w:start w:w="110" w:type="dxa"/>
              <w:bottom w:w="90" w:type="dxa"/>
              <w:end w:w="110" w:type="dxa"/>
            </w:tcMar>
            <w:vAlign w:val="center"/>
          </w:tcPr>
          <w:p>
            <w:pPr>
              <w:spacing w:after="0" w:line="240" w:lineRule="auto"/>
            </w:pPr>
            <w:r>
              <w:rPr>
                <w:rFonts w:ascii="Times New Roman" w:hAnsi="Times New Roman"/>
                <w:b w:val="0"/>
                <w:i w:val="0"/>
                <w:sz w:val="18"/>
              </w:rPr>
              <w:t>v3</w:t>
            </w:r>
          </w:p>
        </w:tc>
        <w:tc>
          <w:tcPr>
            <w:tcW w:type="dxa" w:w="10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499,985</w:t>
            </w:r>
          </w:p>
        </w:tc>
        <w:tc>
          <w:tcPr>
            <w:tcW w:type="dxa" w:w="9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13</w:t>
            </w:r>
          </w:p>
        </w:tc>
        <w:tc>
          <w:tcPr>
            <w:tcW w:type="dxa" w:w="3600"/>
            <w:tcMar>
              <w:top w:w="90" w:type="dxa"/>
              <w:start w:w="110" w:type="dxa"/>
              <w:bottom w:w="90" w:type="dxa"/>
              <w:end w:w="110" w:type="dxa"/>
            </w:tcMar>
            <w:vAlign w:val="center"/>
          </w:tcPr>
          <w:p>
            <w:pPr>
              <w:spacing w:after="0" w:line="240" w:lineRule="auto"/>
            </w:pPr>
            <w:r>
              <w:rPr>
                <w:rFonts w:ascii="Times New Roman" w:hAnsi="Times New Roman"/>
                <w:b w:val="0"/>
                <w:i w:val="0"/>
                <w:sz w:val="18"/>
              </w:rPr>
              <w:t>Merchant-risk and card-risk indicators</w:t>
            </w:r>
          </w:p>
        </w:tc>
        <w:tc>
          <w:tcPr>
            <w:tcW w:type="dxa" w:w="2960"/>
            <w:tcMar>
              <w:top w:w="90" w:type="dxa"/>
              <w:start w:w="110" w:type="dxa"/>
              <w:bottom w:w="90" w:type="dxa"/>
              <w:end w:w="110" w:type="dxa"/>
            </w:tcMar>
            <w:vAlign w:val="center"/>
          </w:tcPr>
          <w:p>
            <w:pPr>
              <w:spacing w:after="0" w:line="240" w:lineRule="auto"/>
            </w:pPr>
            <w:r>
              <w:rPr>
                <w:rFonts w:ascii="Times New Roman" w:hAnsi="Times New Roman"/>
                <w:b w:val="0"/>
                <w:i w:val="0"/>
                <w:sz w:val="18"/>
              </w:rPr>
              <w:t>Assess proxy risk enrichment</w:t>
            </w:r>
          </w:p>
        </w:tc>
      </w:tr>
      <w:tr>
        <w:tc>
          <w:tcPr>
            <w:tcW w:type="dxa" w:w="900"/>
            <w:tcMar>
              <w:top w:w="90" w:type="dxa"/>
              <w:start w:w="110" w:type="dxa"/>
              <w:bottom w:w="90" w:type="dxa"/>
              <w:end w:w="110" w:type="dxa"/>
            </w:tcMar>
            <w:vAlign w:val="center"/>
          </w:tcPr>
          <w:p>
            <w:pPr>
              <w:spacing w:after="0" w:line="240" w:lineRule="auto"/>
            </w:pPr>
            <w:r>
              <w:rPr>
                <w:rFonts w:ascii="Times New Roman" w:hAnsi="Times New Roman"/>
                <w:b w:val="0"/>
                <w:i w:val="0"/>
                <w:sz w:val="18"/>
              </w:rPr>
              <w:t>v4</w:t>
            </w:r>
          </w:p>
        </w:tc>
        <w:tc>
          <w:tcPr>
            <w:tcW w:type="dxa" w:w="10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499,985</w:t>
            </w:r>
          </w:p>
        </w:tc>
        <w:tc>
          <w:tcPr>
            <w:tcW w:type="dxa" w:w="9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21</w:t>
            </w:r>
          </w:p>
        </w:tc>
        <w:tc>
          <w:tcPr>
            <w:tcW w:type="dxa" w:w="3600"/>
            <w:tcMar>
              <w:top w:w="90" w:type="dxa"/>
              <w:start w:w="110" w:type="dxa"/>
              <w:bottom w:w="90" w:type="dxa"/>
              <w:end w:w="110" w:type="dxa"/>
            </w:tcMar>
            <w:vAlign w:val="center"/>
          </w:tcPr>
          <w:p>
            <w:pPr>
              <w:spacing w:after="0" w:line="240" w:lineRule="auto"/>
            </w:pPr>
            <w:r>
              <w:rPr>
                <w:rFonts w:ascii="Times New Roman" w:hAnsi="Times New Roman"/>
                <w:b w:val="0"/>
                <w:i w:val="0"/>
                <w:sz w:val="18"/>
              </w:rPr>
              <w:t>Amount and time engineered features</w:t>
            </w:r>
          </w:p>
        </w:tc>
        <w:tc>
          <w:tcPr>
            <w:tcW w:type="dxa" w:w="2960"/>
            <w:tcMar>
              <w:top w:w="90" w:type="dxa"/>
              <w:start w:w="110" w:type="dxa"/>
              <w:bottom w:w="90" w:type="dxa"/>
              <w:end w:w="110" w:type="dxa"/>
            </w:tcMar>
            <w:vAlign w:val="center"/>
          </w:tcPr>
          <w:p>
            <w:pPr>
              <w:spacing w:after="0" w:line="240" w:lineRule="auto"/>
            </w:pPr>
            <w:r>
              <w:rPr>
                <w:rFonts w:ascii="Times New Roman" w:hAnsi="Times New Roman"/>
                <w:b w:val="0"/>
                <w:i w:val="0"/>
                <w:sz w:val="18"/>
              </w:rPr>
              <w:t>Assess advanced engineered predictors</w:t>
            </w:r>
          </w:p>
        </w:tc>
      </w:tr>
      <w:tr>
        <w:tc>
          <w:tcPr>
            <w:tcW w:type="dxa" w:w="900"/>
            <w:tcMar>
              <w:top w:w="90" w:type="dxa"/>
              <w:start w:w="110" w:type="dxa"/>
              <w:bottom w:w="90" w:type="dxa"/>
              <w:end w:w="110" w:type="dxa"/>
            </w:tcMar>
            <w:vAlign w:val="center"/>
          </w:tcPr>
          <w:p>
            <w:pPr>
              <w:spacing w:after="0" w:line="240" w:lineRule="auto"/>
            </w:pPr>
            <w:r>
              <w:rPr>
                <w:rFonts w:ascii="Times New Roman" w:hAnsi="Times New Roman"/>
                <w:b w:val="0"/>
                <w:i w:val="0"/>
                <w:sz w:val="18"/>
              </w:rPr>
              <w:t>v5</w:t>
            </w:r>
          </w:p>
        </w:tc>
        <w:tc>
          <w:tcPr>
            <w:tcW w:type="dxa" w:w="10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499,985</w:t>
            </w:r>
          </w:p>
        </w:tc>
        <w:tc>
          <w:tcPr>
            <w:tcW w:type="dxa" w:w="9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23</w:t>
            </w:r>
          </w:p>
        </w:tc>
        <w:tc>
          <w:tcPr>
            <w:tcW w:type="dxa" w:w="3600"/>
            <w:tcMar>
              <w:top w:w="90" w:type="dxa"/>
              <w:start w:w="110" w:type="dxa"/>
              <w:bottom w:w="90" w:type="dxa"/>
              <w:end w:w="110" w:type="dxa"/>
            </w:tcMar>
            <w:vAlign w:val="center"/>
          </w:tcPr>
          <w:p>
            <w:pPr>
              <w:spacing w:after="0" w:line="240" w:lineRule="auto"/>
            </w:pPr>
            <w:r>
              <w:rPr>
                <w:rFonts w:ascii="Times New Roman" w:hAnsi="Times New Roman"/>
                <w:b w:val="0"/>
                <w:i w:val="0"/>
                <w:sz w:val="18"/>
              </w:rPr>
              <w:t>Night-high-amount flag and composite risk score</w:t>
            </w:r>
          </w:p>
        </w:tc>
        <w:tc>
          <w:tcPr>
            <w:tcW w:type="dxa" w:w="2960"/>
            <w:tcMar>
              <w:top w:w="90" w:type="dxa"/>
              <w:start w:w="110" w:type="dxa"/>
              <w:bottom w:w="90" w:type="dxa"/>
              <w:end w:w="110" w:type="dxa"/>
            </w:tcMar>
            <w:vAlign w:val="center"/>
          </w:tcPr>
          <w:p>
            <w:pPr>
              <w:spacing w:after="0" w:line="240" w:lineRule="auto"/>
            </w:pPr>
            <w:r>
              <w:rPr>
                <w:rFonts w:ascii="Times New Roman" w:hAnsi="Times New Roman"/>
                <w:b w:val="0"/>
                <w:i w:val="0"/>
                <w:sz w:val="18"/>
              </w:rPr>
              <w:t>Assess full engineered feature set</w:t>
            </w:r>
          </w:p>
        </w:tc>
      </w:tr>
    </w:tbl>
    <w:p>
      <w:pPr>
        <w:keepLines w:val="0"/>
        <w:spacing w:line="240" w:lineRule="auto"/>
      </w:pPr>
    </w:p>
    <w:p>
      <w:pPr>
        <w:keepNext/>
        <w:spacing w:before="120" w:after="60"/>
        <w:jc w:val="center"/>
      </w:pPr>
      <w:r>
        <w:drawing>
          <wp:inline xmlns:a="http://schemas.openxmlformats.org/drawingml/2006/main" xmlns:pic="http://schemas.openxmlformats.org/drawingml/2006/picture">
            <wp:extent cx="5303520" cy="2541623"/>
            <wp:docPr id="3" name="Picture 3"/>
            <wp:cNvGraphicFramePr>
              <a:graphicFrameLocks noChangeAspect="1"/>
            </wp:cNvGraphicFramePr>
            <a:graphic>
              <a:graphicData uri="http://schemas.openxmlformats.org/drawingml/2006/picture">
                <pic:pic>
                  <pic:nvPicPr>
                    <pic:cNvPr id="0" name="Figure_3_2_Dataset_Version_Progression.png"/>
                    <pic:cNvPicPr/>
                  </pic:nvPicPr>
                  <pic:blipFill>
                    <a:blip r:embed="rId12"/>
                    <a:stretch>
                      <a:fillRect/>
                    </a:stretch>
                  </pic:blipFill>
                  <pic:spPr>
                    <a:xfrm>
                      <a:off x="0" y="0"/>
                      <a:ext cx="5303520" cy="2541623"/>
                    </a:xfrm>
                    <a:prstGeom prst="rect"/>
                  </pic:spPr>
                </pic:pic>
              </a:graphicData>
            </a:graphic>
          </wp:inline>
        </w:drawing>
      </w:r>
    </w:p>
    <w:p>
      <w:pPr>
        <w:keepLines/>
        <w:spacing w:line="240" w:lineRule="auto" w:after="160"/>
        <w:jc w:val="center"/>
      </w:pPr>
      <w:r>
        <w:rPr>
          <w:rFonts w:ascii="Times New Roman" w:hAnsi="Times New Roman"/>
          <w:b/>
          <w:i w:val="0"/>
          <w:sz w:val="20"/>
        </w:rPr>
        <w:t>Figure 3.2: Progressive dataset version design from v1 to v5.</w:t>
      </w:r>
    </w:p>
    <w:p>
      <w:pPr>
        <w:pStyle w:val="Heading2"/>
      </w:pPr>
      <w:r>
        <w:t>3.5 Feature Engineering</w:t>
      </w:r>
    </w:p>
    <w:p>
      <w:pPr>
        <w:keepLines w:val="0"/>
        <w:spacing w:line="360" w:lineRule="auto"/>
      </w:pPr>
      <w:r>
        <w:rPr>
          <w:rFonts w:ascii="Times New Roman" w:hAnsi="Times New Roman"/>
          <w:b w:val="0"/>
          <w:i w:val="0"/>
          <w:sz w:val="24"/>
        </w:rPr>
        <w:t>The feature engineering strategy introduced high-amount flags, night transaction indicators, subcategory information, merchant and card proxy risk indicators, amount transformations, time-derived features, and composite risk scores. MerchantRisk and CardRisk were treated cautiously because they may be target-proximal proxy features.</w:t>
      </w:r>
    </w:p>
    <w:p>
      <w:pPr>
        <w:pStyle w:val="Heading2"/>
      </w:pPr>
      <w:r>
        <w:t>3.6 Data Preprocessing</w:t>
      </w:r>
    </w:p>
    <w:p>
      <w:pPr>
        <w:keepLines w:val="0"/>
        <w:spacing w:line="360" w:lineRule="auto"/>
      </w:pPr>
      <w:r>
        <w:rPr>
          <w:rFonts w:ascii="Times New Roman" w:hAnsi="Times New Roman"/>
          <w:b w:val="0"/>
          <w:i w:val="0"/>
          <w:sz w:val="24"/>
        </w:rPr>
        <w:t>Logistic Regression used imputation, one-hot encoding, and numeric scaling. Decision Tree, Random Forest, and XGBoost used imputation and frequency encoding for categorical variables. CatBoost followed the repository implementation, with preprocessing and feature handling integrated according to the final pipeline.</w:t>
      </w:r>
    </w:p>
    <w:p>
      <w:pPr>
        <w:pStyle w:val="Heading2"/>
      </w:pPr>
      <w:r>
        <w:t>3.7 Train/Validation/Test Split</w:t>
      </w:r>
    </w:p>
    <w:p>
      <w:pPr>
        <w:keepLines w:val="0"/>
        <w:spacing w:line="360" w:lineRule="auto"/>
      </w:pPr>
      <w:r>
        <w:rPr>
          <w:rFonts w:ascii="Times New Roman" w:hAnsi="Times New Roman"/>
          <w:b w:val="0"/>
          <w:i w:val="0"/>
          <w:sz w:val="24"/>
        </w:rPr>
        <w:t>The split was stratified at a 60/20/20 ratio. The training set contained 299,991 records, the validation set contained 99,997 records, and the test set contained 99,997 records. Model selection used the validation split, while final reporting used the untouched test split.</w:t>
      </w:r>
    </w:p>
    <w:p>
      <w:pPr>
        <w:pStyle w:val="Heading2"/>
      </w:pPr>
      <w:r>
        <w:t>3.8 Class Imbalance Handling with SMOTE</w:t>
      </w:r>
    </w:p>
    <w:p>
      <w:pPr>
        <w:keepLines w:val="0"/>
        <w:spacing w:line="360" w:lineRule="auto"/>
      </w:pPr>
      <w:r>
        <w:rPr>
          <w:rFonts w:ascii="Times New Roman" w:hAnsi="Times New Roman"/>
          <w:b w:val="0"/>
          <w:i w:val="0"/>
          <w:sz w:val="24"/>
        </w:rPr>
        <w:t>SMOTE was applied only inside the imblearn training pipeline, after preprocessing and inside cross-validation folds. It was not applied before the train-validation-test split.</w:t>
      </w:r>
    </w:p>
    <w:p>
      <w:pPr>
        <w:pStyle w:val="Heading2"/>
      </w:pPr>
      <w:r>
        <w:t>3.9 Machine Learning Algorithms</w:t>
      </w:r>
    </w:p>
    <w:p>
      <w:pPr>
        <w:pStyle w:val="Heading3"/>
      </w:pPr>
      <w:r>
        <w:t>3.9.1 Logistic Regression</w:t>
      </w:r>
    </w:p>
    <w:p>
      <w:pPr>
        <w:keepLines w:val="0"/>
        <w:spacing w:line="360" w:lineRule="auto"/>
      </w:pPr>
      <w:r>
        <w:rPr>
          <w:rFonts w:ascii="Times New Roman" w:hAnsi="Times New Roman"/>
          <w:b w:val="0"/>
          <w:i w:val="0"/>
          <w:sz w:val="24"/>
        </w:rPr>
        <w:t>Logistic Regression served as a linear baseline for tabular fraud classification.</w:t>
      </w:r>
    </w:p>
    <w:p>
      <w:pPr>
        <w:pStyle w:val="Heading3"/>
      </w:pPr>
      <w:r>
        <w:t>3.9.2 Decision Tree</w:t>
      </w:r>
    </w:p>
    <w:p>
      <w:pPr>
        <w:keepLines w:val="0"/>
        <w:spacing w:line="360" w:lineRule="auto"/>
      </w:pPr>
      <w:r>
        <w:rPr>
          <w:rFonts w:ascii="Times New Roman" w:hAnsi="Times New Roman"/>
          <w:b w:val="0"/>
          <w:i w:val="0"/>
          <w:sz w:val="24"/>
        </w:rPr>
        <w:t>Decision Tree models created rule-based splits over preprocessed transaction features.</w:t>
      </w:r>
    </w:p>
    <w:p>
      <w:pPr>
        <w:pStyle w:val="Heading3"/>
      </w:pPr>
      <w:r>
        <w:t>3.9.3 Random Forest</w:t>
      </w:r>
    </w:p>
    <w:p>
      <w:pPr>
        <w:keepLines w:val="0"/>
        <w:spacing w:line="360" w:lineRule="auto"/>
      </w:pPr>
      <w:r>
        <w:rPr>
          <w:rFonts w:ascii="Times New Roman" w:hAnsi="Times New Roman"/>
          <w:b w:val="0"/>
          <w:i w:val="0"/>
          <w:sz w:val="24"/>
        </w:rPr>
        <w:t>Random Forest used an ensemble of decision trees to reduce variance and capture nonlinear feature interactions.</w:t>
      </w:r>
    </w:p>
    <w:p>
      <w:pPr>
        <w:pStyle w:val="Heading3"/>
      </w:pPr>
      <w:r>
        <w:t>3.9.4 XGBoost</w:t>
      </w:r>
    </w:p>
    <w:p>
      <w:pPr>
        <w:keepLines w:val="0"/>
        <w:spacing w:line="360" w:lineRule="auto"/>
      </w:pPr>
      <w:r>
        <w:rPr>
          <w:rFonts w:ascii="Times New Roman" w:hAnsi="Times New Roman"/>
          <w:b w:val="0"/>
          <w:i w:val="0"/>
          <w:sz w:val="24"/>
        </w:rPr>
        <w:t>XGBoost used gradient-boosted decision trees and was evaluated as a strong tabular classifier.</w:t>
      </w:r>
    </w:p>
    <w:p>
      <w:pPr>
        <w:pStyle w:val="Heading3"/>
      </w:pPr>
      <w:r>
        <w:t>3.9.5 CatBoost</w:t>
      </w:r>
    </w:p>
    <w:p>
      <w:pPr>
        <w:keepLines w:val="0"/>
        <w:spacing w:line="360" w:lineRule="auto"/>
      </w:pPr>
      <w:r>
        <w:rPr>
          <w:rFonts w:ascii="Times New Roman" w:hAnsi="Times New Roman"/>
          <w:b w:val="0"/>
          <w:i w:val="0"/>
          <w:sz w:val="24"/>
        </w:rPr>
        <w:t>CatBoost was evaluated because of its suitability for datasets containing categorical variables and nonlinear relationships.</w:t>
      </w:r>
    </w:p>
    <w:p>
      <w:pPr>
        <w:pStyle w:val="Heading2"/>
      </w:pPr>
      <w:r>
        <w:t>3.10 Hyperparameter Tuning</w:t>
      </w:r>
    </w:p>
    <w:p>
      <w:pPr>
        <w:keepLines w:val="0"/>
        <w:spacing w:line="360" w:lineRule="auto"/>
      </w:pPr>
      <w:r>
        <w:rPr>
          <w:rFonts w:ascii="Times New Roman" w:hAnsi="Times New Roman"/>
          <w:b w:val="0"/>
          <w:i w:val="0"/>
          <w:sz w:val="24"/>
        </w:rPr>
        <w:t>Hyperparameter tuning used 5-fold cross-validation on the training split, with PR-AUC implemented as average precision as the tuning metric.</w:t>
      </w:r>
    </w:p>
    <w:p>
      <w:pPr>
        <w:pStyle w:val="Heading2"/>
      </w:pPr>
      <w:r>
        <w:t>3.11 Threshold Optimization</w:t>
      </w:r>
    </w:p>
    <w:p>
      <w:pPr>
        <w:keepLines w:val="0"/>
        <w:spacing w:line="360" w:lineRule="auto"/>
      </w:pPr>
      <w:r>
        <w:rPr>
          <w:rFonts w:ascii="Times New Roman" w:hAnsi="Times New Roman"/>
          <w:b w:val="0"/>
          <w:i w:val="0"/>
          <w:sz w:val="24"/>
        </w:rPr>
        <w:t>Threshold optimization selected probability cutoffs on validation predictions and then evaluated the selected cutoffs on test predictions.</w:t>
      </w:r>
    </w:p>
    <w:p>
      <w:pPr>
        <w:pStyle w:val="Heading2"/>
      </w:pPr>
      <w:r>
        <w:t>3.12 Evaluation Metrics</w:t>
      </w:r>
    </w:p>
    <w:p>
      <w:pPr>
        <w:keepLines w:val="0"/>
        <w:spacing w:line="360" w:lineRule="auto"/>
      </w:pPr>
      <w:r>
        <w:rPr>
          <w:rFonts w:ascii="Times New Roman" w:hAnsi="Times New Roman"/>
          <w:b w:val="0"/>
          <w:i w:val="0"/>
          <w:sz w:val="24"/>
        </w:rPr>
        <w:t>The study reported fraud precision, fraud recall, fraud-class F1, ROC-AUC, and PR-AUC. Fraud-class F1 and PR-AUC were emphasized because the problem was imbalanced.</w:t>
      </w:r>
    </w:p>
    <w:p>
      <w:pPr>
        <w:pStyle w:val="Heading2"/>
      </w:pPr>
      <w:r>
        <w:t>3.13 Experimental Pipeline</w:t>
      </w:r>
    </w:p>
    <w:p>
      <w:pPr>
        <w:keepLines w:val="0"/>
        <w:spacing w:line="360" w:lineRule="auto"/>
      </w:pPr>
      <w:r>
        <w:rPr>
          <w:rFonts w:ascii="Times New Roman" w:hAnsi="Times New Roman"/>
          <w:b w:val="0"/>
          <w:i w:val="0"/>
          <w:sz w:val="24"/>
        </w:rPr>
        <w:t>The complete workflow is shown in Figure 3.1. It includes dataset preparation, feature versioning, preprocessing, cross-validated tuning, validation selection, test evaluation, SMOTE comparison, and threshold tuning.</w:t>
      </w:r>
    </w:p>
    <w:p>
      <w:pPr>
        <w:keepNext/>
        <w:spacing w:before="120" w:after="60"/>
        <w:jc w:val="center"/>
      </w:pPr>
      <w:r>
        <w:drawing>
          <wp:inline xmlns:a="http://schemas.openxmlformats.org/drawingml/2006/main" xmlns:pic="http://schemas.openxmlformats.org/drawingml/2006/picture">
            <wp:extent cx="5303520" cy="2671486"/>
            <wp:docPr id="4" name="Picture 4"/>
            <wp:cNvGraphicFramePr>
              <a:graphicFrameLocks noChangeAspect="1"/>
            </wp:cNvGraphicFramePr>
            <a:graphic>
              <a:graphicData uri="http://schemas.openxmlformats.org/drawingml/2006/picture">
                <pic:pic>
                  <pic:nvPicPr>
                    <pic:cNvPr id="0" name="Figure_3_1_Experimental_Pipeline.png"/>
                    <pic:cNvPicPr/>
                  </pic:nvPicPr>
                  <pic:blipFill>
                    <a:blip r:embed="rId13"/>
                    <a:stretch>
                      <a:fillRect/>
                    </a:stretch>
                  </pic:blipFill>
                  <pic:spPr>
                    <a:xfrm>
                      <a:off x="0" y="0"/>
                      <a:ext cx="5303520" cy="2671486"/>
                    </a:xfrm>
                    <a:prstGeom prst="rect"/>
                  </pic:spPr>
                </pic:pic>
              </a:graphicData>
            </a:graphic>
          </wp:inline>
        </w:drawing>
      </w:r>
    </w:p>
    <w:p>
      <w:pPr>
        <w:keepLines/>
        <w:spacing w:line="240" w:lineRule="auto" w:after="160"/>
        <w:jc w:val="center"/>
      </w:pPr>
      <w:r>
        <w:rPr>
          <w:rFonts w:ascii="Times New Roman" w:hAnsi="Times New Roman"/>
          <w:b/>
          <w:i w:val="0"/>
          <w:sz w:val="20"/>
        </w:rPr>
        <w:t>Figure 3.1: Experimental pipeline for dataset preparation, model tuning, evaluation, SMOTE comparison, and threshold optimization.</w:t>
      </w:r>
    </w:p>
    <w:p>
      <w:r>
        <w:br w:type="page"/>
      </w:r>
    </w:p>
    <w:p>
      <w:pPr>
        <w:keepNext/>
        <w:keepLines w:val="0"/>
        <w:spacing w:line="240" w:lineRule="auto"/>
        <w:jc w:val="center"/>
      </w:pPr>
      <w:r>
        <w:rPr>
          <w:rFonts w:ascii="Times New Roman" w:hAnsi="Times New Roman"/>
          <w:b/>
          <w:i w:val="0"/>
          <w:sz w:val="20"/>
        </w:rPr>
        <w:t>Table 3.3: Experimental Configuration</w:t>
      </w:r>
    </w:p>
    <w:tbl>
      <w:tblPr>
        <w:tblStyle w:val="TableGrid"/>
        <w:tblW w:type="dxa" w:w="9360"/>
        <w:jc w:val="center"/>
        <w:tblLayout w:type="fixed"/>
        <w:tblLook w:firstColumn="1" w:firstRow="1" w:lastColumn="0" w:lastRow="0" w:noHBand="0" w:noVBand="1" w:val="04A0"/>
      </w:tblPr>
      <w:tblGrid>
        <w:gridCol w:w="2700"/>
        <w:gridCol w:w="6660"/>
      </w:tblGrid>
      <w:tr>
        <w:trPr>
          <w:tblHeader w:val="true"/>
        </w:trPr>
        <w:tc>
          <w:tcPr>
            <w:tcW w:type="dxa" w:w="2700"/>
            <w:tcMar>
              <w:top w:w="90" w:type="dxa"/>
              <w:start w:w="110" w:type="dxa"/>
              <w:bottom w:w="90" w:type="dxa"/>
              <w:end w:w="110" w:type="dxa"/>
            </w:tcMar>
            <w:vAlign w:val="center"/>
            <w:shd w:fill="F2F2F2"/>
          </w:tcPr>
          <w:p>
            <w:pPr>
              <w:spacing w:after="0" w:line="240" w:lineRule="auto"/>
            </w:pPr>
            <w:r>
              <w:rPr>
                <w:rFonts w:ascii="Times New Roman" w:hAnsi="Times New Roman"/>
                <w:b/>
                <w:i w:val="0"/>
                <w:sz w:val="18"/>
              </w:rPr>
              <w:t>Component</w:t>
            </w:r>
          </w:p>
        </w:tc>
        <w:tc>
          <w:tcPr>
            <w:tcW w:type="dxa" w:w="666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8"/>
              </w:rPr>
              <w:t>Configuration</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Split strategy</w:t>
            </w:r>
          </w:p>
        </w:tc>
        <w:tc>
          <w:tcPr>
            <w:tcW w:type="dxa" w:w="6660"/>
            <w:tcMar>
              <w:top w:w="90" w:type="dxa"/>
              <w:start w:w="110" w:type="dxa"/>
              <w:bottom w:w="90" w:type="dxa"/>
              <w:end w:w="110" w:type="dxa"/>
            </w:tcMar>
            <w:vAlign w:val="center"/>
          </w:tcPr>
          <w:p>
            <w:pPr>
              <w:spacing w:after="0" w:line="240" w:lineRule="auto"/>
            </w:pPr>
            <w:r>
              <w:rPr>
                <w:rFonts w:ascii="Times New Roman" w:hAnsi="Times New Roman"/>
                <w:b w:val="0"/>
                <w:i w:val="0"/>
                <w:sz w:val="18"/>
              </w:rPr>
              <w:t>Stratified train/validation/test split</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Split ratio</w:t>
            </w:r>
          </w:p>
        </w:tc>
        <w:tc>
          <w:tcPr>
            <w:tcW w:type="dxa" w:w="66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60/20/20</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Training records</w:t>
            </w:r>
          </w:p>
        </w:tc>
        <w:tc>
          <w:tcPr>
            <w:tcW w:type="dxa" w:w="66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299,991</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Validation records</w:t>
            </w:r>
          </w:p>
        </w:tc>
        <w:tc>
          <w:tcPr>
            <w:tcW w:type="dxa" w:w="66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99,997</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Test records</w:t>
            </w:r>
          </w:p>
        </w:tc>
        <w:tc>
          <w:tcPr>
            <w:tcW w:type="dxa" w:w="66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99,997</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Cross-validation</w:t>
            </w:r>
          </w:p>
        </w:tc>
        <w:tc>
          <w:tcPr>
            <w:tcW w:type="dxa" w:w="6660"/>
            <w:tcMar>
              <w:top w:w="90" w:type="dxa"/>
              <w:start w:w="110" w:type="dxa"/>
              <w:bottom w:w="90" w:type="dxa"/>
              <w:end w:w="110" w:type="dxa"/>
            </w:tcMar>
            <w:vAlign w:val="center"/>
          </w:tcPr>
          <w:p>
            <w:pPr>
              <w:spacing w:after="0" w:line="240" w:lineRule="auto"/>
            </w:pPr>
            <w:r>
              <w:rPr>
                <w:rFonts w:ascii="Times New Roman" w:hAnsi="Times New Roman"/>
                <w:b w:val="0"/>
                <w:i w:val="0"/>
                <w:sz w:val="18"/>
              </w:rPr>
              <w:t>5-fold CV on training split</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Hyperparameter tuning metric</w:t>
            </w:r>
          </w:p>
        </w:tc>
        <w:tc>
          <w:tcPr>
            <w:tcW w:type="dxa" w:w="6660"/>
            <w:tcMar>
              <w:top w:w="90" w:type="dxa"/>
              <w:start w:w="110" w:type="dxa"/>
              <w:bottom w:w="90" w:type="dxa"/>
              <w:end w:w="110" w:type="dxa"/>
            </w:tcMar>
            <w:vAlign w:val="center"/>
          </w:tcPr>
          <w:p>
            <w:pPr>
              <w:spacing w:after="0" w:line="240" w:lineRule="auto"/>
            </w:pPr>
            <w:r>
              <w:rPr>
                <w:rFonts w:ascii="Times New Roman" w:hAnsi="Times New Roman"/>
                <w:b w:val="0"/>
                <w:i w:val="0"/>
                <w:sz w:val="18"/>
              </w:rPr>
              <w:t>PR-AUC / average precision</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Model-family selection</w:t>
            </w:r>
          </w:p>
        </w:tc>
        <w:tc>
          <w:tcPr>
            <w:tcW w:type="dxa" w:w="66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8"/>
              </w:rPr>
              <w:t>Validation split</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Final reporting</w:t>
            </w:r>
          </w:p>
        </w:tc>
        <w:tc>
          <w:tcPr>
            <w:tcW w:type="dxa" w:w="6660"/>
            <w:tcMar>
              <w:top w:w="90" w:type="dxa"/>
              <w:start w:w="110" w:type="dxa"/>
              <w:bottom w:w="90" w:type="dxa"/>
              <w:end w:w="110" w:type="dxa"/>
            </w:tcMar>
            <w:vAlign w:val="center"/>
          </w:tcPr>
          <w:p>
            <w:pPr>
              <w:spacing w:after="0" w:line="240" w:lineRule="auto"/>
            </w:pPr>
            <w:r>
              <w:rPr>
                <w:rFonts w:ascii="Times New Roman" w:hAnsi="Times New Roman"/>
                <w:b w:val="0"/>
                <w:i w:val="0"/>
                <w:sz w:val="18"/>
              </w:rPr>
              <w:t>Untouched test split</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SMOTE placement</w:t>
            </w:r>
          </w:p>
        </w:tc>
        <w:tc>
          <w:tcPr>
            <w:tcW w:type="dxa" w:w="6660"/>
            <w:tcMar>
              <w:top w:w="90" w:type="dxa"/>
              <w:start w:w="110" w:type="dxa"/>
              <w:bottom w:w="90" w:type="dxa"/>
              <w:end w:w="110" w:type="dxa"/>
            </w:tcMar>
            <w:vAlign w:val="center"/>
          </w:tcPr>
          <w:p>
            <w:pPr>
              <w:spacing w:after="0" w:line="240" w:lineRule="auto"/>
            </w:pPr>
            <w:r>
              <w:rPr>
                <w:rFonts w:ascii="Times New Roman" w:hAnsi="Times New Roman"/>
                <w:b w:val="0"/>
                <w:i w:val="0"/>
                <w:sz w:val="18"/>
              </w:rPr>
              <w:t>Inside imblearn pipeline, after preprocessing, inside CV folds</w:t>
            </w:r>
          </w:p>
        </w:tc>
      </w:tr>
      <w:tr>
        <w:tc>
          <w:tcPr>
            <w:tcW w:type="dxa" w:w="2700"/>
            <w:tcMar>
              <w:top w:w="90" w:type="dxa"/>
              <w:start w:w="110" w:type="dxa"/>
              <w:bottom w:w="90" w:type="dxa"/>
              <w:end w:w="110" w:type="dxa"/>
            </w:tcMar>
            <w:vAlign w:val="center"/>
          </w:tcPr>
          <w:p>
            <w:pPr>
              <w:spacing w:after="0" w:line="240" w:lineRule="auto"/>
            </w:pPr>
            <w:r>
              <w:rPr>
                <w:rFonts w:ascii="Times New Roman" w:hAnsi="Times New Roman"/>
                <w:b w:val="0"/>
                <w:i w:val="0"/>
                <w:sz w:val="18"/>
              </w:rPr>
              <w:t>Excluded model features</w:t>
            </w:r>
          </w:p>
        </w:tc>
        <w:tc>
          <w:tcPr>
            <w:tcW w:type="dxa" w:w="6660"/>
            <w:tcMar>
              <w:top w:w="90" w:type="dxa"/>
              <w:start w:w="110" w:type="dxa"/>
              <w:bottom w:w="90" w:type="dxa"/>
              <w:end w:w="110" w:type="dxa"/>
            </w:tcMar>
            <w:vAlign w:val="center"/>
          </w:tcPr>
          <w:p>
            <w:pPr>
              <w:spacing w:after="0" w:line="240" w:lineRule="auto"/>
            </w:pPr>
            <w:r>
              <w:rPr>
                <w:rFonts w:ascii="Times New Roman" w:hAnsi="Times New Roman"/>
                <w:b w:val="0"/>
                <w:i w:val="0"/>
                <w:sz w:val="18"/>
              </w:rPr>
              <w:t>FraudFlag, TransactionID, Time, DayOfWeek, Month, IsWeekend, IsWeekendDerived</w:t>
            </w:r>
          </w:p>
        </w:tc>
      </w:tr>
    </w:tbl>
    <w:p>
      <w:pPr>
        <w:keepLines w:val="0"/>
        <w:spacing w:line="240" w:lineRule="auto"/>
      </w:pPr>
    </w:p>
    <w:p>
      <w:pPr>
        <w:pStyle w:val="Heading2"/>
      </w:pPr>
      <w:r>
        <w:t>3.14 Tools and Software</w:t>
      </w:r>
    </w:p>
    <w:p>
      <w:pPr>
        <w:keepLines w:val="0"/>
        <w:spacing w:line="360" w:lineRule="auto"/>
      </w:pPr>
      <w:r>
        <w:rPr>
          <w:rFonts w:ascii="Times New Roman" w:hAnsi="Times New Roman"/>
          <w:b w:val="0"/>
          <w:i w:val="0"/>
          <w:sz w:val="24"/>
        </w:rPr>
        <w:t>The repository used Python scripts for dataset generation, validation, model training, threshold tuning, and reporting. The active scripts included scripts/generate_all_versions.py, scripts/ml_pipeline_core.py, and scripts/run_experiments_standard.py.</w:t>
      </w:r>
    </w:p>
    <w:p>
      <w:pPr>
        <w:pStyle w:val="Heading2"/>
      </w:pPr>
      <w:r>
        <w:t>3.15 Ethical Considerations</w:t>
      </w:r>
    </w:p>
    <w:p>
      <w:pPr>
        <w:keepLines w:val="0"/>
        <w:spacing w:line="360" w:lineRule="auto"/>
      </w:pPr>
      <w:r>
        <w:rPr>
          <w:rFonts w:ascii="Times New Roman" w:hAnsi="Times New Roman"/>
          <w:b w:val="0"/>
          <w:i w:val="0"/>
          <w:sz w:val="24"/>
        </w:rPr>
        <w:t>The study used synthetic transaction data and did not use personally identifiable customer information or live bank records.</w:t>
      </w:r>
    </w:p>
    <w:p>
      <w:pPr>
        <w:pStyle w:val="Heading2"/>
      </w:pPr>
      <w:r>
        <w:t>3.16 Reproducibility Measures</w:t>
      </w:r>
    </w:p>
    <w:p>
      <w:pPr>
        <w:keepLines w:val="0"/>
        <w:spacing w:line="360" w:lineRule="auto"/>
      </w:pPr>
      <w:r>
        <w:rPr>
          <w:rFonts w:ascii="Times New Roman" w:hAnsi="Times New Roman"/>
          <w:b w:val="0"/>
          <w:i w:val="0"/>
          <w:sz w:val="24"/>
        </w:rPr>
        <w:t>Reproducibility was supported through deterministic dataset files, synthetic TransactionID values, fixed dataset summaries, validation outputs, saved prediction files, and documented audit reports.</w:t>
      </w:r>
    </w:p>
    <w:p>
      <w:r>
        <w:br w:type="page"/>
      </w:r>
    </w:p>
    <w:p>
      <w:pPr>
        <w:pStyle w:val="Heading1"/>
        <w:jc w:val="center"/>
      </w:pPr>
      <w:r>
        <w:t>CHAPTER FOUR: RESULTS AND DISCUSSION</w:t>
      </w:r>
    </w:p>
    <w:p>
      <w:pPr>
        <w:pStyle w:val="Heading2"/>
      </w:pPr>
      <w:r>
        <w:t>4.1 Introduction</w:t>
      </w:r>
    </w:p>
    <w:p>
      <w:pPr>
        <w:keepLines w:val="0"/>
        <w:spacing w:line="360" w:lineRule="auto"/>
      </w:pPr>
      <w:r>
        <w:rPr>
          <w:rFonts w:ascii="Times New Roman" w:hAnsi="Times New Roman"/>
          <w:b w:val="0"/>
          <w:i w:val="0"/>
          <w:sz w:val="24"/>
        </w:rPr>
        <w:t>This chapter presents dataset audit results, class distribution, model performance under No-SMOTE and SMOTE settings, threshold optimization, feature importance, and answers to the research questions.</w:t>
      </w:r>
    </w:p>
    <w:p>
      <w:pPr>
        <w:pStyle w:val="Heading2"/>
      </w:pPr>
      <w:r>
        <w:t>4.2 Dataset Audit Results</w:t>
      </w:r>
    </w:p>
    <w:p>
      <w:pPr>
        <w:keepLines w:val="0"/>
        <w:spacing w:line="360" w:lineRule="auto"/>
      </w:pPr>
      <w:r>
        <w:rPr>
          <w:rFonts w:ascii="Times New Roman" w:hAnsi="Times New Roman"/>
          <w:b w:val="0"/>
          <w:i w:val="0"/>
          <w:sz w:val="24"/>
        </w:rPr>
        <w:t>The final datasets passed validation checks for missing values, duplicate rows, and duplicate TransactionID values. The cleaned master dataset contained 499,985 unique transactions.</w:t>
      </w:r>
    </w:p>
    <w:p>
      <w:pPr>
        <w:pStyle w:val="Heading2"/>
      </w:pPr>
      <w:r>
        <w:t>4.3 Class Distribution</w:t>
      </w:r>
    </w:p>
    <w:p>
      <w:pPr>
        <w:keepLines w:val="0"/>
        <w:spacing w:line="360" w:lineRule="auto"/>
      </w:pPr>
      <w:r>
        <w:rPr>
          <w:rFonts w:ascii="Times New Roman" w:hAnsi="Times New Roman"/>
          <w:b w:val="0"/>
          <w:i w:val="0"/>
          <w:sz w:val="24"/>
        </w:rPr>
        <w:t>The final class distribution consisted of 437,485 legitimate transactions and 62,500 fraudulent transactions.</w:t>
      </w:r>
    </w:p>
    <w:p>
      <w:pPr>
        <w:keepNext/>
        <w:spacing w:before="120" w:after="60"/>
        <w:jc w:val="center"/>
      </w:pPr>
      <w:r>
        <w:drawing>
          <wp:inline xmlns:a="http://schemas.openxmlformats.org/drawingml/2006/main" xmlns:pic="http://schemas.openxmlformats.org/drawingml/2006/picture">
            <wp:extent cx="5029200" cy="3163651"/>
            <wp:docPr id="5" name="Picture 5"/>
            <wp:cNvGraphicFramePr>
              <a:graphicFrameLocks noChangeAspect="1"/>
            </wp:cNvGraphicFramePr>
            <a:graphic>
              <a:graphicData uri="http://schemas.openxmlformats.org/drawingml/2006/picture">
                <pic:pic>
                  <pic:nvPicPr>
                    <pic:cNvPr id="0" name="Figure_4_1_Class_Distribution.png"/>
                    <pic:cNvPicPr/>
                  </pic:nvPicPr>
                  <pic:blipFill>
                    <a:blip r:embed="rId14"/>
                    <a:stretch>
                      <a:fillRect/>
                    </a:stretch>
                  </pic:blipFill>
                  <pic:spPr>
                    <a:xfrm>
                      <a:off x="0" y="0"/>
                      <a:ext cx="5029200" cy="3163651"/>
                    </a:xfrm>
                    <a:prstGeom prst="rect"/>
                  </pic:spPr>
                </pic:pic>
              </a:graphicData>
            </a:graphic>
          </wp:inline>
        </w:drawing>
      </w:r>
    </w:p>
    <w:p>
      <w:pPr>
        <w:keepLines/>
        <w:spacing w:line="240" w:lineRule="auto" w:after="160"/>
        <w:jc w:val="center"/>
      </w:pPr>
      <w:r>
        <w:rPr>
          <w:rFonts w:ascii="Times New Roman" w:hAnsi="Times New Roman"/>
          <w:b/>
          <w:i w:val="0"/>
          <w:sz w:val="20"/>
        </w:rPr>
        <w:t>Figure 4.1: Class distribution of the cleaned synthetic transaction dataset.</w:t>
      </w:r>
    </w:p>
    <w:p>
      <w:pPr>
        <w:pStyle w:val="Heading2"/>
      </w:pPr>
      <w:r>
        <w:t>4.4 Dataset Version Summary</w:t>
      </w:r>
    </w:p>
    <w:p>
      <w:pPr>
        <w:keepLines w:val="0"/>
        <w:spacing w:line="360" w:lineRule="auto"/>
      </w:pPr>
      <w:r>
        <w:rPr>
          <w:rFonts w:ascii="Times New Roman" w:hAnsi="Times New Roman"/>
          <w:b w:val="0"/>
          <w:i w:val="0"/>
          <w:sz w:val="24"/>
        </w:rPr>
        <w:t>All five versions used the same transaction population. The versions differed only by feature availability, from baseline transaction attributes in v1 to a full engineered feature set in v5.</w:t>
      </w:r>
    </w:p>
    <w:p>
      <w:pPr>
        <w:pStyle w:val="Heading2"/>
      </w:pPr>
      <w:r>
        <w:t>4.5 No-SMOTE Model Results</w:t>
      </w:r>
    </w:p>
    <w:p>
      <w:pPr>
        <w:keepLines w:val="0"/>
        <w:spacing w:line="360" w:lineRule="auto"/>
      </w:pPr>
      <w:r>
        <w:rPr>
          <w:rFonts w:ascii="Times New Roman" w:hAnsi="Times New Roman"/>
          <w:b w:val="0"/>
          <w:i w:val="0"/>
          <w:sz w:val="24"/>
        </w:rPr>
        <w:t>Table 4.1 presents the selected default-threshold No-SMOTE results. Performance improved substantially after v2, with v3-v5 outperforming v1-v2.</w:t>
      </w:r>
    </w:p>
    <w:p>
      <w:pPr>
        <w:keepNext/>
        <w:keepLines w:val="0"/>
        <w:spacing w:line="240" w:lineRule="auto"/>
        <w:jc w:val="center"/>
      </w:pPr>
      <w:r>
        <w:rPr>
          <w:rFonts w:ascii="Times New Roman" w:hAnsi="Times New Roman"/>
          <w:b/>
          <w:i w:val="0"/>
          <w:sz w:val="20"/>
        </w:rPr>
        <w:t>Table 4.1: Best Default-Threshold Results Without SMOTE</w:t>
      </w:r>
    </w:p>
    <w:tbl>
      <w:tblPr>
        <w:tblStyle w:val="TableGrid"/>
        <w:tblW w:type="dxa" w:w="9360"/>
        <w:jc w:val="center"/>
        <w:tblLayout w:type="fixed"/>
        <w:tblLook w:firstColumn="1" w:firstRow="1" w:lastColumn="0" w:lastRow="0" w:noHBand="0" w:noVBand="1" w:val="04A0"/>
      </w:tblPr>
      <w:tblGrid>
        <w:gridCol w:w="850"/>
        <w:gridCol w:w="1800"/>
        <w:gridCol w:w="1400"/>
        <w:gridCol w:w="1400"/>
        <w:gridCol w:w="1900"/>
        <w:gridCol w:w="2010"/>
      </w:tblGrid>
      <w:tr>
        <w:trPr>
          <w:tblHeader w:val="true"/>
        </w:trPr>
        <w:tc>
          <w:tcPr>
            <w:tcW w:type="dxa" w:w="850"/>
            <w:tcMar>
              <w:top w:w="90" w:type="dxa"/>
              <w:start w:w="110" w:type="dxa"/>
              <w:bottom w:w="90" w:type="dxa"/>
              <w:end w:w="110" w:type="dxa"/>
            </w:tcMar>
            <w:vAlign w:val="center"/>
            <w:shd w:fill="F2F2F2"/>
          </w:tcPr>
          <w:p>
            <w:pPr>
              <w:spacing w:after="0" w:line="240" w:lineRule="auto"/>
            </w:pPr>
            <w:r>
              <w:rPr>
                <w:rFonts w:ascii="Times New Roman" w:hAnsi="Times New Roman"/>
                <w:b/>
                <w:i w:val="0"/>
                <w:sz w:val="17"/>
              </w:rPr>
              <w:t>Version</w:t>
            </w:r>
          </w:p>
        </w:tc>
        <w:tc>
          <w:tcPr>
            <w:tcW w:type="dxa" w:w="180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7"/>
              </w:rPr>
              <w:t>Best Model</w:t>
            </w:r>
          </w:p>
        </w:tc>
        <w:tc>
          <w:tcPr>
            <w:tcW w:type="dxa" w:w="140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7"/>
              </w:rPr>
              <w:t>Precision</w:t>
            </w:r>
          </w:p>
        </w:tc>
        <w:tc>
          <w:tcPr>
            <w:tcW w:type="dxa" w:w="140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7"/>
              </w:rPr>
              <w:t>Recall</w:t>
            </w:r>
          </w:p>
        </w:tc>
        <w:tc>
          <w:tcPr>
            <w:tcW w:type="dxa" w:w="190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7"/>
              </w:rPr>
              <w:t>Fraud-Class F1</w:t>
            </w:r>
          </w:p>
        </w:tc>
        <w:tc>
          <w:tcPr>
            <w:tcW w:type="dxa" w:w="201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7"/>
              </w:rPr>
              <w:t>PR-AUC</w:t>
            </w:r>
          </w:p>
        </w:tc>
      </w:tr>
      <w:tr>
        <w:tc>
          <w:tcPr>
            <w:tcW w:type="dxa" w:w="850"/>
            <w:tcMar>
              <w:top w:w="90" w:type="dxa"/>
              <w:start w:w="110" w:type="dxa"/>
              <w:bottom w:w="90" w:type="dxa"/>
              <w:end w:w="110" w:type="dxa"/>
            </w:tcMar>
            <w:vAlign w:val="center"/>
          </w:tcPr>
          <w:p>
            <w:pPr>
              <w:spacing w:after="0" w:line="240" w:lineRule="auto"/>
            </w:pPr>
            <w:r>
              <w:rPr>
                <w:rFonts w:ascii="Times New Roman" w:hAnsi="Times New Roman"/>
                <w:b w:val="0"/>
                <w:i w:val="0"/>
                <w:sz w:val="17"/>
              </w:rPr>
              <w:t>v1</w:t>
            </w:r>
          </w:p>
        </w:tc>
        <w:tc>
          <w:tcPr>
            <w:tcW w:type="dxa" w:w="18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XGBoost</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0.8062</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0.7502</w:t>
            </w:r>
          </w:p>
        </w:tc>
        <w:tc>
          <w:tcPr>
            <w:tcW w:type="dxa" w:w="19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0.7772</w:t>
            </w:r>
          </w:p>
        </w:tc>
        <w:tc>
          <w:tcPr>
            <w:tcW w:type="dxa" w:w="201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0.8268</w:t>
            </w:r>
          </w:p>
        </w:tc>
      </w:tr>
      <w:tr>
        <w:tc>
          <w:tcPr>
            <w:tcW w:type="dxa" w:w="850"/>
            <w:tcMar>
              <w:top w:w="90" w:type="dxa"/>
              <w:start w:w="110" w:type="dxa"/>
              <w:bottom w:w="90" w:type="dxa"/>
              <w:end w:w="110" w:type="dxa"/>
            </w:tcMar>
            <w:vAlign w:val="center"/>
          </w:tcPr>
          <w:p>
            <w:pPr>
              <w:spacing w:after="0" w:line="240" w:lineRule="auto"/>
            </w:pPr>
            <w:r>
              <w:rPr>
                <w:rFonts w:ascii="Times New Roman" w:hAnsi="Times New Roman"/>
                <w:b w:val="0"/>
                <w:i w:val="0"/>
                <w:sz w:val="17"/>
              </w:rPr>
              <w:t>v2</w:t>
            </w:r>
          </w:p>
        </w:tc>
        <w:tc>
          <w:tcPr>
            <w:tcW w:type="dxa" w:w="18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XGBoost</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0.8094</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0.7500</w:t>
            </w:r>
          </w:p>
        </w:tc>
        <w:tc>
          <w:tcPr>
            <w:tcW w:type="dxa" w:w="19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0.7786</w:t>
            </w:r>
          </w:p>
        </w:tc>
        <w:tc>
          <w:tcPr>
            <w:tcW w:type="dxa" w:w="201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0.8274</w:t>
            </w:r>
          </w:p>
        </w:tc>
      </w:tr>
      <w:tr>
        <w:tc>
          <w:tcPr>
            <w:tcW w:type="dxa" w:w="850"/>
            <w:tcMar>
              <w:top w:w="90" w:type="dxa"/>
              <w:start w:w="110" w:type="dxa"/>
              <w:bottom w:w="90" w:type="dxa"/>
              <w:end w:w="110" w:type="dxa"/>
            </w:tcMar>
            <w:vAlign w:val="center"/>
          </w:tcPr>
          <w:p>
            <w:pPr>
              <w:spacing w:after="0" w:line="240" w:lineRule="auto"/>
            </w:pPr>
            <w:r>
              <w:rPr>
                <w:rFonts w:ascii="Times New Roman" w:hAnsi="Times New Roman"/>
                <w:b w:val="0"/>
                <w:i w:val="0"/>
                <w:sz w:val="17"/>
              </w:rPr>
              <w:t>v3</w:t>
            </w:r>
          </w:p>
        </w:tc>
        <w:tc>
          <w:tcPr>
            <w:tcW w:type="dxa" w:w="18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CatBoost</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0.9219</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0.7739</w:t>
            </w:r>
          </w:p>
        </w:tc>
        <w:tc>
          <w:tcPr>
            <w:tcW w:type="dxa" w:w="19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0.8414</w:t>
            </w:r>
          </w:p>
        </w:tc>
        <w:tc>
          <w:tcPr>
            <w:tcW w:type="dxa" w:w="201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0.8558</w:t>
            </w:r>
          </w:p>
        </w:tc>
      </w:tr>
      <w:tr>
        <w:tc>
          <w:tcPr>
            <w:tcW w:type="dxa" w:w="850"/>
            <w:tcMar>
              <w:top w:w="90" w:type="dxa"/>
              <w:start w:w="110" w:type="dxa"/>
              <w:bottom w:w="90" w:type="dxa"/>
              <w:end w:w="110" w:type="dxa"/>
            </w:tcMar>
            <w:vAlign w:val="center"/>
          </w:tcPr>
          <w:p>
            <w:pPr>
              <w:spacing w:after="0" w:line="240" w:lineRule="auto"/>
            </w:pPr>
            <w:r>
              <w:rPr>
                <w:rFonts w:ascii="Times New Roman" w:hAnsi="Times New Roman"/>
                <w:b w:val="0"/>
                <w:i w:val="0"/>
                <w:sz w:val="17"/>
              </w:rPr>
              <w:t>v4</w:t>
            </w:r>
          </w:p>
        </w:tc>
        <w:tc>
          <w:tcPr>
            <w:tcW w:type="dxa" w:w="18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DecisionTree</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0.9537</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0.7678</w:t>
            </w:r>
          </w:p>
        </w:tc>
        <w:tc>
          <w:tcPr>
            <w:tcW w:type="dxa" w:w="19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0.8507</w:t>
            </w:r>
          </w:p>
        </w:tc>
        <w:tc>
          <w:tcPr>
            <w:tcW w:type="dxa" w:w="201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0.8337</w:t>
            </w:r>
          </w:p>
        </w:tc>
      </w:tr>
      <w:tr>
        <w:tc>
          <w:tcPr>
            <w:tcW w:type="dxa" w:w="850"/>
            <w:tcMar>
              <w:top w:w="90" w:type="dxa"/>
              <w:start w:w="110" w:type="dxa"/>
              <w:bottom w:w="90" w:type="dxa"/>
              <w:end w:w="110" w:type="dxa"/>
            </w:tcMar>
            <w:vAlign w:val="center"/>
          </w:tcPr>
          <w:p>
            <w:pPr>
              <w:spacing w:after="0" w:line="240" w:lineRule="auto"/>
            </w:pPr>
            <w:r>
              <w:rPr>
                <w:rFonts w:ascii="Times New Roman" w:hAnsi="Times New Roman"/>
                <w:b w:val="0"/>
                <w:i w:val="0"/>
                <w:sz w:val="17"/>
              </w:rPr>
              <w:t>v5</w:t>
            </w:r>
          </w:p>
        </w:tc>
        <w:tc>
          <w:tcPr>
            <w:tcW w:type="dxa" w:w="18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RandomForest</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0.9418</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0.7713</w:t>
            </w:r>
          </w:p>
        </w:tc>
        <w:tc>
          <w:tcPr>
            <w:tcW w:type="dxa" w:w="19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0.8480</w:t>
            </w:r>
          </w:p>
        </w:tc>
        <w:tc>
          <w:tcPr>
            <w:tcW w:type="dxa" w:w="201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0.8561</w:t>
            </w:r>
          </w:p>
        </w:tc>
      </w:tr>
    </w:tbl>
    <w:p>
      <w:pPr>
        <w:keepLines w:val="0"/>
        <w:spacing w:line="240" w:lineRule="auto"/>
      </w:pPr>
    </w:p>
    <w:p>
      <w:pPr>
        <w:pStyle w:val="Heading2"/>
      </w:pPr>
      <w:r>
        <w:t>4.6 SMOTE Model Results</w:t>
      </w:r>
    </w:p>
    <w:p>
      <w:pPr>
        <w:keepLines w:val="0"/>
        <w:spacing w:line="360" w:lineRule="auto"/>
      </w:pPr>
      <w:r>
        <w:rPr>
          <w:rFonts w:ascii="Times New Roman" w:hAnsi="Times New Roman"/>
          <w:b w:val="0"/>
          <w:i w:val="0"/>
          <w:sz w:val="24"/>
        </w:rPr>
        <w:t>Table 4.2 presents the selected default-threshold SMOTE results. The best default-threshold result was v3 SMOTE Random Forest, with precision 0.998525, recall 0.758080, fraud-class F1 of 0.861846, and PR-AUC of 0.855235.</w:t>
      </w:r>
    </w:p>
    <w:p>
      <w:pPr>
        <w:keepNext/>
        <w:keepLines w:val="0"/>
        <w:spacing w:line="240" w:lineRule="auto"/>
        <w:jc w:val="center"/>
      </w:pPr>
      <w:r>
        <w:rPr>
          <w:rFonts w:ascii="Times New Roman" w:hAnsi="Times New Roman"/>
          <w:b/>
          <w:i w:val="0"/>
          <w:sz w:val="20"/>
        </w:rPr>
        <w:t>Table 4.2: Best Default-Threshold Results With SMOTE</w:t>
      </w:r>
    </w:p>
    <w:tbl>
      <w:tblPr>
        <w:tblStyle w:val="TableGrid"/>
        <w:tblW w:type="dxa" w:w="9360"/>
        <w:jc w:val="center"/>
        <w:tblLayout w:type="fixed"/>
        <w:tblLook w:firstColumn="1" w:firstRow="1" w:lastColumn="0" w:lastRow="0" w:noHBand="0" w:noVBand="1" w:val="04A0"/>
      </w:tblPr>
      <w:tblGrid>
        <w:gridCol w:w="850"/>
        <w:gridCol w:w="1800"/>
        <w:gridCol w:w="1400"/>
        <w:gridCol w:w="1400"/>
        <w:gridCol w:w="1900"/>
        <w:gridCol w:w="2010"/>
      </w:tblGrid>
      <w:tr>
        <w:trPr>
          <w:tblHeader w:val="true"/>
        </w:trPr>
        <w:tc>
          <w:tcPr>
            <w:tcW w:type="dxa" w:w="850"/>
            <w:tcMar>
              <w:top w:w="90" w:type="dxa"/>
              <w:start w:w="110" w:type="dxa"/>
              <w:bottom w:w="90" w:type="dxa"/>
              <w:end w:w="110" w:type="dxa"/>
            </w:tcMar>
            <w:vAlign w:val="center"/>
            <w:shd w:fill="F2F2F2"/>
          </w:tcPr>
          <w:p>
            <w:pPr>
              <w:spacing w:after="0" w:line="240" w:lineRule="auto"/>
            </w:pPr>
            <w:r>
              <w:rPr>
                <w:rFonts w:ascii="Times New Roman" w:hAnsi="Times New Roman"/>
                <w:b/>
                <w:i w:val="0"/>
                <w:sz w:val="17"/>
              </w:rPr>
              <w:t>Version</w:t>
            </w:r>
          </w:p>
        </w:tc>
        <w:tc>
          <w:tcPr>
            <w:tcW w:type="dxa" w:w="180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7"/>
              </w:rPr>
              <w:t>Best Model</w:t>
            </w:r>
          </w:p>
        </w:tc>
        <w:tc>
          <w:tcPr>
            <w:tcW w:type="dxa" w:w="140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7"/>
              </w:rPr>
              <w:t>Precision</w:t>
            </w:r>
          </w:p>
        </w:tc>
        <w:tc>
          <w:tcPr>
            <w:tcW w:type="dxa" w:w="140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7"/>
              </w:rPr>
              <w:t>Recall</w:t>
            </w:r>
          </w:p>
        </w:tc>
        <w:tc>
          <w:tcPr>
            <w:tcW w:type="dxa" w:w="190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7"/>
              </w:rPr>
              <w:t>Fraud-Class F1</w:t>
            </w:r>
          </w:p>
        </w:tc>
        <w:tc>
          <w:tcPr>
            <w:tcW w:type="dxa" w:w="201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7"/>
              </w:rPr>
              <w:t>PR-AUC</w:t>
            </w:r>
          </w:p>
        </w:tc>
      </w:tr>
      <w:tr>
        <w:tc>
          <w:tcPr>
            <w:tcW w:type="dxa" w:w="850"/>
            <w:tcMar>
              <w:top w:w="90" w:type="dxa"/>
              <w:start w:w="110" w:type="dxa"/>
              <w:bottom w:w="90" w:type="dxa"/>
              <w:end w:w="110" w:type="dxa"/>
            </w:tcMar>
            <w:vAlign w:val="center"/>
          </w:tcPr>
          <w:p>
            <w:pPr>
              <w:spacing w:after="0" w:line="240" w:lineRule="auto"/>
            </w:pPr>
            <w:r>
              <w:rPr>
                <w:rFonts w:ascii="Times New Roman" w:hAnsi="Times New Roman"/>
                <w:b w:val="0"/>
                <w:i w:val="0"/>
                <w:sz w:val="17"/>
              </w:rPr>
              <w:t>v1</w:t>
            </w:r>
          </w:p>
        </w:tc>
        <w:tc>
          <w:tcPr>
            <w:tcW w:type="dxa" w:w="18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DecisionTree</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0.9760</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0.7040</w:t>
            </w:r>
          </w:p>
        </w:tc>
        <w:tc>
          <w:tcPr>
            <w:tcW w:type="dxa" w:w="19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0.8180</w:t>
            </w:r>
          </w:p>
        </w:tc>
        <w:tc>
          <w:tcPr>
            <w:tcW w:type="dxa" w:w="201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0.8237</w:t>
            </w:r>
          </w:p>
        </w:tc>
      </w:tr>
      <w:tr>
        <w:tc>
          <w:tcPr>
            <w:tcW w:type="dxa" w:w="850"/>
            <w:tcMar>
              <w:top w:w="90" w:type="dxa"/>
              <w:start w:w="110" w:type="dxa"/>
              <w:bottom w:w="90" w:type="dxa"/>
              <w:end w:w="110" w:type="dxa"/>
            </w:tcMar>
            <w:vAlign w:val="center"/>
          </w:tcPr>
          <w:p>
            <w:pPr>
              <w:spacing w:after="0" w:line="240" w:lineRule="auto"/>
            </w:pPr>
            <w:r>
              <w:rPr>
                <w:rFonts w:ascii="Times New Roman" w:hAnsi="Times New Roman"/>
                <w:b w:val="0"/>
                <w:i w:val="0"/>
                <w:sz w:val="17"/>
              </w:rPr>
              <w:t>v2</w:t>
            </w:r>
          </w:p>
        </w:tc>
        <w:tc>
          <w:tcPr>
            <w:tcW w:type="dxa" w:w="18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RandomForest</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0.9527</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0.7153</w:t>
            </w:r>
          </w:p>
        </w:tc>
        <w:tc>
          <w:tcPr>
            <w:tcW w:type="dxa" w:w="19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0.8171</w:t>
            </w:r>
          </w:p>
        </w:tc>
        <w:tc>
          <w:tcPr>
            <w:tcW w:type="dxa" w:w="201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0.8265</w:t>
            </w:r>
          </w:p>
        </w:tc>
      </w:tr>
      <w:tr>
        <w:tc>
          <w:tcPr>
            <w:tcW w:type="dxa" w:w="850"/>
            <w:tcMar>
              <w:top w:w="90" w:type="dxa"/>
              <w:start w:w="110" w:type="dxa"/>
              <w:bottom w:w="90" w:type="dxa"/>
              <w:end w:w="110" w:type="dxa"/>
            </w:tcMar>
            <w:vAlign w:val="center"/>
          </w:tcPr>
          <w:p>
            <w:pPr>
              <w:spacing w:after="0" w:line="240" w:lineRule="auto"/>
            </w:pPr>
            <w:r>
              <w:rPr>
                <w:rFonts w:ascii="Times New Roman" w:hAnsi="Times New Roman"/>
                <w:b w:val="0"/>
                <w:i w:val="0"/>
                <w:sz w:val="17"/>
              </w:rPr>
              <w:t>v3</w:t>
            </w:r>
          </w:p>
        </w:tc>
        <w:tc>
          <w:tcPr>
            <w:tcW w:type="dxa" w:w="18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RandomForest</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0.9985</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0.7581</w:t>
            </w:r>
          </w:p>
        </w:tc>
        <w:tc>
          <w:tcPr>
            <w:tcW w:type="dxa" w:w="19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0.8618</w:t>
            </w:r>
          </w:p>
        </w:tc>
        <w:tc>
          <w:tcPr>
            <w:tcW w:type="dxa" w:w="201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0.8552</w:t>
            </w:r>
          </w:p>
        </w:tc>
      </w:tr>
      <w:tr>
        <w:tc>
          <w:tcPr>
            <w:tcW w:type="dxa" w:w="850"/>
            <w:tcMar>
              <w:top w:w="90" w:type="dxa"/>
              <w:start w:w="110" w:type="dxa"/>
              <w:bottom w:w="90" w:type="dxa"/>
              <w:end w:w="110" w:type="dxa"/>
            </w:tcMar>
            <w:vAlign w:val="center"/>
          </w:tcPr>
          <w:p>
            <w:pPr>
              <w:spacing w:after="0" w:line="240" w:lineRule="auto"/>
            </w:pPr>
            <w:r>
              <w:rPr>
                <w:rFonts w:ascii="Times New Roman" w:hAnsi="Times New Roman"/>
                <w:b w:val="0"/>
                <w:i w:val="0"/>
                <w:sz w:val="17"/>
              </w:rPr>
              <w:t>v4</w:t>
            </w:r>
          </w:p>
        </w:tc>
        <w:tc>
          <w:tcPr>
            <w:tcW w:type="dxa" w:w="18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CatBoost</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0.9998</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0.7570</w:t>
            </w:r>
          </w:p>
        </w:tc>
        <w:tc>
          <w:tcPr>
            <w:tcW w:type="dxa" w:w="19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0.8616</w:t>
            </w:r>
          </w:p>
        </w:tc>
        <w:tc>
          <w:tcPr>
            <w:tcW w:type="dxa" w:w="201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0.8564</w:t>
            </w:r>
          </w:p>
        </w:tc>
      </w:tr>
      <w:tr>
        <w:tc>
          <w:tcPr>
            <w:tcW w:type="dxa" w:w="850"/>
            <w:tcMar>
              <w:top w:w="90" w:type="dxa"/>
              <w:start w:w="110" w:type="dxa"/>
              <w:bottom w:w="90" w:type="dxa"/>
              <w:end w:w="110" w:type="dxa"/>
            </w:tcMar>
            <w:vAlign w:val="center"/>
          </w:tcPr>
          <w:p>
            <w:pPr>
              <w:spacing w:after="0" w:line="240" w:lineRule="auto"/>
            </w:pPr>
            <w:r>
              <w:rPr>
                <w:rFonts w:ascii="Times New Roman" w:hAnsi="Times New Roman"/>
                <w:b w:val="0"/>
                <w:i w:val="0"/>
                <w:sz w:val="17"/>
              </w:rPr>
              <w:t>v5</w:t>
            </w:r>
          </w:p>
        </w:tc>
        <w:tc>
          <w:tcPr>
            <w:tcW w:type="dxa" w:w="18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CatBoost</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0.9999</w:t>
            </w:r>
          </w:p>
        </w:tc>
        <w:tc>
          <w:tcPr>
            <w:tcW w:type="dxa" w:w="14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0.7571</w:t>
            </w:r>
          </w:p>
        </w:tc>
        <w:tc>
          <w:tcPr>
            <w:tcW w:type="dxa" w:w="190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0.8617</w:t>
            </w:r>
          </w:p>
        </w:tc>
        <w:tc>
          <w:tcPr>
            <w:tcW w:type="dxa" w:w="201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0.8558</w:t>
            </w:r>
          </w:p>
        </w:tc>
      </w:tr>
    </w:tbl>
    <w:p>
      <w:pPr>
        <w:keepLines w:val="0"/>
        <w:spacing w:line="240" w:lineRule="auto"/>
      </w:pPr>
    </w:p>
    <w:p>
      <w:pPr>
        <w:pStyle w:val="Heading2"/>
      </w:pPr>
      <w:r>
        <w:t>4.7 Comparative Analysis of No-SMOTE and SMOTE Results</w:t>
      </w:r>
    </w:p>
    <w:p>
      <w:pPr>
        <w:keepLines w:val="0"/>
        <w:spacing w:line="360" w:lineRule="auto"/>
      </w:pPr>
      <w:r>
        <w:rPr>
          <w:rFonts w:ascii="Times New Roman" w:hAnsi="Times New Roman"/>
          <w:b w:val="0"/>
          <w:i w:val="0"/>
          <w:sz w:val="24"/>
        </w:rPr>
        <w:t>SMOTE improved default-threshold fraud-class F1 across all five dataset versions. However, it did not improve recall in every selected model, showing that resampling affected the precision-recall trade-off rather than improving all metrics simultaneously.</w:t>
      </w:r>
    </w:p>
    <w:p>
      <w:pPr>
        <w:keepNext/>
        <w:spacing w:before="120" w:after="60"/>
        <w:jc w:val="center"/>
      </w:pPr>
      <w:r>
        <w:drawing>
          <wp:inline xmlns:a="http://schemas.openxmlformats.org/drawingml/2006/main" xmlns:pic="http://schemas.openxmlformats.org/drawingml/2006/picture">
            <wp:extent cx="5303520" cy="3082425"/>
            <wp:docPr id="6" name="Picture 6"/>
            <wp:cNvGraphicFramePr>
              <a:graphicFrameLocks noChangeAspect="1"/>
            </wp:cNvGraphicFramePr>
            <a:graphic>
              <a:graphicData uri="http://schemas.openxmlformats.org/drawingml/2006/picture">
                <pic:pic>
                  <pic:nvPicPr>
                    <pic:cNvPr id="0" name="Figure_4_2_Fraud_F1_Comparison.png"/>
                    <pic:cNvPicPr/>
                  </pic:nvPicPr>
                  <pic:blipFill>
                    <a:blip r:embed="rId15"/>
                    <a:stretch>
                      <a:fillRect/>
                    </a:stretch>
                  </pic:blipFill>
                  <pic:spPr>
                    <a:xfrm>
                      <a:off x="0" y="0"/>
                      <a:ext cx="5303520" cy="3082425"/>
                    </a:xfrm>
                    <a:prstGeom prst="rect"/>
                  </pic:spPr>
                </pic:pic>
              </a:graphicData>
            </a:graphic>
          </wp:inline>
        </w:drawing>
      </w:r>
    </w:p>
    <w:p>
      <w:pPr>
        <w:keepLines/>
        <w:spacing w:line="240" w:lineRule="auto" w:after="160"/>
        <w:jc w:val="center"/>
      </w:pPr>
      <w:r>
        <w:rPr>
          <w:rFonts w:ascii="Times New Roman" w:hAnsi="Times New Roman"/>
          <w:b/>
          <w:i w:val="0"/>
          <w:sz w:val="20"/>
        </w:rPr>
        <w:t>Figure 4.2: Fraud-class F1 comparison between No-SMOTE and SMOTE results.</w:t>
      </w:r>
    </w:p>
    <w:p>
      <w:pPr>
        <w:keepNext/>
        <w:spacing w:before="120" w:after="60"/>
        <w:jc w:val="center"/>
      </w:pPr>
      <w:r>
        <w:drawing>
          <wp:inline xmlns:a="http://schemas.openxmlformats.org/drawingml/2006/main" xmlns:pic="http://schemas.openxmlformats.org/drawingml/2006/picture">
            <wp:extent cx="5303520" cy="3082425"/>
            <wp:docPr id="7" name="Picture 7"/>
            <wp:cNvGraphicFramePr>
              <a:graphicFrameLocks noChangeAspect="1"/>
            </wp:cNvGraphicFramePr>
            <a:graphic>
              <a:graphicData uri="http://schemas.openxmlformats.org/drawingml/2006/picture">
                <pic:pic>
                  <pic:nvPicPr>
                    <pic:cNvPr id="0" name="Figure_4_3_Precision_Comparison.png"/>
                    <pic:cNvPicPr/>
                  </pic:nvPicPr>
                  <pic:blipFill>
                    <a:blip r:embed="rId16"/>
                    <a:stretch>
                      <a:fillRect/>
                    </a:stretch>
                  </pic:blipFill>
                  <pic:spPr>
                    <a:xfrm>
                      <a:off x="0" y="0"/>
                      <a:ext cx="5303520" cy="3082425"/>
                    </a:xfrm>
                    <a:prstGeom prst="rect"/>
                  </pic:spPr>
                </pic:pic>
              </a:graphicData>
            </a:graphic>
          </wp:inline>
        </w:drawing>
      </w:r>
    </w:p>
    <w:p>
      <w:pPr>
        <w:keepLines/>
        <w:spacing w:line="240" w:lineRule="auto" w:after="160"/>
        <w:jc w:val="center"/>
      </w:pPr>
      <w:r>
        <w:rPr>
          <w:rFonts w:ascii="Times New Roman" w:hAnsi="Times New Roman"/>
          <w:b/>
          <w:i w:val="0"/>
          <w:sz w:val="20"/>
        </w:rPr>
        <w:t>Figure 4.3: Fraud precision comparison between No-SMOTE and SMOTE results.</w:t>
      </w:r>
    </w:p>
    <w:p>
      <w:pPr>
        <w:keepNext/>
        <w:spacing w:before="120" w:after="60"/>
        <w:jc w:val="center"/>
      </w:pPr>
      <w:r>
        <w:drawing>
          <wp:inline xmlns:a="http://schemas.openxmlformats.org/drawingml/2006/main" xmlns:pic="http://schemas.openxmlformats.org/drawingml/2006/picture">
            <wp:extent cx="5303520" cy="3082425"/>
            <wp:docPr id="8" name="Picture 8"/>
            <wp:cNvGraphicFramePr>
              <a:graphicFrameLocks noChangeAspect="1"/>
            </wp:cNvGraphicFramePr>
            <a:graphic>
              <a:graphicData uri="http://schemas.openxmlformats.org/drawingml/2006/picture">
                <pic:pic>
                  <pic:nvPicPr>
                    <pic:cNvPr id="0" name="Figure_4_4_Recall_Comparison.png"/>
                    <pic:cNvPicPr/>
                  </pic:nvPicPr>
                  <pic:blipFill>
                    <a:blip r:embed="rId17"/>
                    <a:stretch>
                      <a:fillRect/>
                    </a:stretch>
                  </pic:blipFill>
                  <pic:spPr>
                    <a:xfrm>
                      <a:off x="0" y="0"/>
                      <a:ext cx="5303520" cy="3082425"/>
                    </a:xfrm>
                    <a:prstGeom prst="rect"/>
                  </pic:spPr>
                </pic:pic>
              </a:graphicData>
            </a:graphic>
          </wp:inline>
        </w:drawing>
      </w:r>
    </w:p>
    <w:p>
      <w:pPr>
        <w:keepLines/>
        <w:spacing w:line="240" w:lineRule="auto" w:after="160"/>
        <w:jc w:val="center"/>
      </w:pPr>
      <w:r>
        <w:rPr>
          <w:rFonts w:ascii="Times New Roman" w:hAnsi="Times New Roman"/>
          <w:b/>
          <w:i w:val="0"/>
          <w:sz w:val="20"/>
        </w:rPr>
        <w:t>Figure 4.4: Fraud recall comparison between No-SMOTE and SMOTE results.</w:t>
      </w:r>
    </w:p>
    <w:p>
      <w:pPr>
        <w:keepNext/>
        <w:spacing w:before="120" w:after="60"/>
        <w:jc w:val="center"/>
      </w:pPr>
      <w:r>
        <w:drawing>
          <wp:inline xmlns:a="http://schemas.openxmlformats.org/drawingml/2006/main" xmlns:pic="http://schemas.openxmlformats.org/drawingml/2006/picture">
            <wp:extent cx="5303520" cy="3082425"/>
            <wp:docPr id="9" name="Picture 9"/>
            <wp:cNvGraphicFramePr>
              <a:graphicFrameLocks noChangeAspect="1"/>
            </wp:cNvGraphicFramePr>
            <a:graphic>
              <a:graphicData uri="http://schemas.openxmlformats.org/drawingml/2006/picture">
                <pic:pic>
                  <pic:nvPicPr>
                    <pic:cNvPr id="0" name="Figure_4_5_PR_AUC_Comparison.png"/>
                    <pic:cNvPicPr/>
                  </pic:nvPicPr>
                  <pic:blipFill>
                    <a:blip r:embed="rId18"/>
                    <a:stretch>
                      <a:fillRect/>
                    </a:stretch>
                  </pic:blipFill>
                  <pic:spPr>
                    <a:xfrm>
                      <a:off x="0" y="0"/>
                      <a:ext cx="5303520" cy="3082425"/>
                    </a:xfrm>
                    <a:prstGeom prst="rect"/>
                  </pic:spPr>
                </pic:pic>
              </a:graphicData>
            </a:graphic>
          </wp:inline>
        </w:drawing>
      </w:r>
    </w:p>
    <w:p>
      <w:pPr>
        <w:keepLines/>
        <w:spacing w:line="240" w:lineRule="auto" w:after="160"/>
        <w:jc w:val="center"/>
      </w:pPr>
      <w:r>
        <w:rPr>
          <w:rFonts w:ascii="Times New Roman" w:hAnsi="Times New Roman"/>
          <w:b/>
          <w:i w:val="0"/>
          <w:sz w:val="20"/>
        </w:rPr>
        <w:t>Figure 4.5: PR-AUC comparison between No-SMOTE and SMOTE results.</w:t>
      </w:r>
    </w:p>
    <w:p>
      <w:pPr>
        <w:pStyle w:val="Heading2"/>
      </w:pPr>
      <w:r>
        <w:t>4.8 Impact of Progressive Feature Engineering</w:t>
      </w:r>
    </w:p>
    <w:p>
      <w:pPr>
        <w:keepLines w:val="0"/>
        <w:spacing w:line="360" w:lineRule="auto"/>
      </w:pPr>
      <w:r>
        <w:rPr>
          <w:rFonts w:ascii="Times New Roman" w:hAnsi="Times New Roman"/>
          <w:b w:val="0"/>
          <w:i w:val="0"/>
          <w:sz w:val="24"/>
        </w:rPr>
        <w:t>The largest performance gain occurred from v2 to v3, when merchant and card proxy risk indicators were introduced. The strongest v3-v5 results were practically close, so small differences should not be overstated without repeated-seed or uncertainty analysis.</w:t>
      </w:r>
    </w:p>
    <w:p>
      <w:pPr>
        <w:pStyle w:val="Heading2"/>
      </w:pPr>
      <w:r>
        <w:t>4.9 Threshold Optimization Results</w:t>
      </w:r>
    </w:p>
    <w:p>
      <w:pPr>
        <w:keepLines w:val="0"/>
        <w:spacing w:line="360" w:lineRule="auto"/>
      </w:pPr>
      <w:r>
        <w:rPr>
          <w:rFonts w:ascii="Times New Roman" w:hAnsi="Times New Roman"/>
          <w:b w:val="0"/>
          <w:i w:val="0"/>
          <w:sz w:val="24"/>
        </w:rPr>
        <w:t>Table 4.3 presents the threshold-tuned results. Threshold tuning largely removed the practical advantage of SMOTE, with the strongest tuned F1 values differing by less than 0.001.</w:t>
      </w:r>
    </w:p>
    <w:p>
      <w:pPr>
        <w:keepNext/>
        <w:keepLines w:val="0"/>
        <w:spacing w:line="240" w:lineRule="auto"/>
        <w:jc w:val="center"/>
      </w:pPr>
      <w:r>
        <w:rPr>
          <w:rFonts w:ascii="Times New Roman" w:hAnsi="Times New Roman"/>
          <w:b/>
          <w:i w:val="0"/>
          <w:sz w:val="20"/>
        </w:rPr>
        <w:t>Table 4.3: Threshold-Tuned Results</w:t>
      </w:r>
    </w:p>
    <w:tbl>
      <w:tblPr>
        <w:tblStyle w:val="TableGrid"/>
        <w:tblW w:type="dxa" w:w="9360"/>
        <w:jc w:val="center"/>
        <w:tblLayout w:type="fixed"/>
        <w:tblLook w:firstColumn="1" w:firstRow="1" w:lastColumn="0" w:lastRow="0" w:noHBand="0" w:noVBand="1" w:val="04A0"/>
      </w:tblPr>
      <w:tblGrid>
        <w:gridCol w:w="850"/>
        <w:gridCol w:w="1550"/>
        <w:gridCol w:w="1450"/>
        <w:gridCol w:w="1250"/>
        <w:gridCol w:w="1550"/>
        <w:gridCol w:w="1450"/>
        <w:gridCol w:w="1260"/>
      </w:tblGrid>
      <w:tr>
        <w:trPr>
          <w:tblHeader w:val="true"/>
        </w:trPr>
        <w:tc>
          <w:tcPr>
            <w:tcW w:type="dxa" w:w="850"/>
            <w:tcMar>
              <w:top w:w="90" w:type="dxa"/>
              <w:start w:w="110" w:type="dxa"/>
              <w:bottom w:w="90" w:type="dxa"/>
              <w:end w:w="110" w:type="dxa"/>
            </w:tcMar>
            <w:vAlign w:val="center"/>
            <w:shd w:fill="F2F2F2"/>
          </w:tcPr>
          <w:p>
            <w:pPr>
              <w:spacing w:after="0" w:line="240" w:lineRule="auto"/>
            </w:pPr>
            <w:r>
              <w:rPr>
                <w:rFonts w:ascii="Times New Roman" w:hAnsi="Times New Roman"/>
                <w:b/>
                <w:i w:val="0"/>
                <w:sz w:val="17"/>
              </w:rPr>
              <w:t>Version</w:t>
            </w:r>
          </w:p>
        </w:tc>
        <w:tc>
          <w:tcPr>
            <w:tcW w:type="dxa" w:w="155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7"/>
              </w:rPr>
              <w:t>No-SMOTE Model</w:t>
            </w:r>
          </w:p>
        </w:tc>
        <w:tc>
          <w:tcPr>
            <w:tcW w:type="dxa" w:w="1450"/>
            <w:tcMar>
              <w:top w:w="90" w:type="dxa"/>
              <w:start w:w="110" w:type="dxa"/>
              <w:bottom w:w="90" w:type="dxa"/>
              <w:end w:w="110" w:type="dxa"/>
            </w:tcMar>
            <w:vAlign w:val="center"/>
            <w:shd w:fill="F2F2F2"/>
          </w:tcPr>
          <w:p>
            <w:pPr>
              <w:spacing w:after="0" w:line="240" w:lineRule="auto"/>
            </w:pPr>
            <w:r>
              <w:rPr>
                <w:rFonts w:ascii="Times New Roman" w:hAnsi="Times New Roman"/>
                <w:b/>
                <w:i w:val="0"/>
                <w:sz w:val="17"/>
              </w:rPr>
              <w:t>No-SMOTE Threshold</w:t>
            </w:r>
          </w:p>
        </w:tc>
        <w:tc>
          <w:tcPr>
            <w:tcW w:type="dxa" w:w="125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7"/>
              </w:rPr>
              <w:t>No-SMOTE F1</w:t>
            </w:r>
          </w:p>
        </w:tc>
        <w:tc>
          <w:tcPr>
            <w:tcW w:type="dxa" w:w="155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7"/>
              </w:rPr>
              <w:t>SMOTE Model</w:t>
            </w:r>
          </w:p>
        </w:tc>
        <w:tc>
          <w:tcPr>
            <w:tcW w:type="dxa" w:w="145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7"/>
              </w:rPr>
              <w:t>SMOTE Threshold</w:t>
            </w:r>
          </w:p>
        </w:tc>
        <w:tc>
          <w:tcPr>
            <w:tcW w:type="dxa" w:w="126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7"/>
              </w:rPr>
              <w:t>SMOTE F1</w:t>
            </w:r>
          </w:p>
        </w:tc>
      </w:tr>
      <w:tr>
        <w:tc>
          <w:tcPr>
            <w:tcW w:type="dxa" w:w="850"/>
            <w:tcMar>
              <w:top w:w="90" w:type="dxa"/>
              <w:start w:w="110" w:type="dxa"/>
              <w:bottom w:w="90" w:type="dxa"/>
              <w:end w:w="110" w:type="dxa"/>
            </w:tcMar>
            <w:vAlign w:val="center"/>
          </w:tcPr>
          <w:p>
            <w:pPr>
              <w:spacing w:after="0" w:line="240" w:lineRule="auto"/>
            </w:pPr>
            <w:r>
              <w:rPr>
                <w:rFonts w:ascii="Times New Roman" w:hAnsi="Times New Roman"/>
                <w:b w:val="0"/>
                <w:i w:val="0"/>
                <w:sz w:val="17"/>
              </w:rPr>
              <w:t>v1</w:t>
            </w:r>
          </w:p>
        </w:tc>
        <w:tc>
          <w:tcPr>
            <w:tcW w:type="dxa" w:w="15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RandomForest</w:t>
            </w:r>
          </w:p>
        </w:tc>
        <w:tc>
          <w:tcPr>
            <w:tcW w:type="dxa" w:w="14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0.80</w:t>
            </w:r>
          </w:p>
        </w:tc>
        <w:tc>
          <w:tcPr>
            <w:tcW w:type="dxa" w:w="12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0.819141</w:t>
            </w:r>
          </w:p>
        </w:tc>
        <w:tc>
          <w:tcPr>
            <w:tcW w:type="dxa" w:w="15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CatBoost</w:t>
            </w:r>
          </w:p>
        </w:tc>
        <w:tc>
          <w:tcPr>
            <w:tcW w:type="dxa" w:w="14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0.44</w:t>
            </w:r>
          </w:p>
        </w:tc>
        <w:tc>
          <w:tcPr>
            <w:tcW w:type="dxa" w:w="12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0.818983</w:t>
            </w:r>
          </w:p>
        </w:tc>
      </w:tr>
      <w:tr>
        <w:tc>
          <w:tcPr>
            <w:tcW w:type="dxa" w:w="850"/>
            <w:tcMar>
              <w:top w:w="90" w:type="dxa"/>
              <w:start w:w="110" w:type="dxa"/>
              <w:bottom w:w="90" w:type="dxa"/>
              <w:end w:w="110" w:type="dxa"/>
            </w:tcMar>
            <w:vAlign w:val="center"/>
          </w:tcPr>
          <w:p>
            <w:pPr>
              <w:spacing w:after="0" w:line="240" w:lineRule="auto"/>
            </w:pPr>
            <w:r>
              <w:rPr>
                <w:rFonts w:ascii="Times New Roman" w:hAnsi="Times New Roman"/>
                <w:b w:val="0"/>
                <w:i w:val="0"/>
                <w:sz w:val="17"/>
              </w:rPr>
              <w:t>v2</w:t>
            </w:r>
          </w:p>
        </w:tc>
        <w:tc>
          <w:tcPr>
            <w:tcW w:type="dxa" w:w="15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XGBoost</w:t>
            </w:r>
          </w:p>
        </w:tc>
        <w:tc>
          <w:tcPr>
            <w:tcW w:type="dxa" w:w="14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0.83</w:t>
            </w:r>
          </w:p>
        </w:tc>
        <w:tc>
          <w:tcPr>
            <w:tcW w:type="dxa" w:w="12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0.818759</w:t>
            </w:r>
          </w:p>
        </w:tc>
        <w:tc>
          <w:tcPr>
            <w:tcW w:type="dxa" w:w="15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XGBoost</w:t>
            </w:r>
          </w:p>
        </w:tc>
        <w:tc>
          <w:tcPr>
            <w:tcW w:type="dxa" w:w="14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0.43</w:t>
            </w:r>
          </w:p>
        </w:tc>
        <w:tc>
          <w:tcPr>
            <w:tcW w:type="dxa" w:w="12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0.818828</w:t>
            </w:r>
          </w:p>
        </w:tc>
      </w:tr>
      <w:tr>
        <w:tc>
          <w:tcPr>
            <w:tcW w:type="dxa" w:w="850"/>
            <w:tcMar>
              <w:top w:w="90" w:type="dxa"/>
              <w:start w:w="110" w:type="dxa"/>
              <w:bottom w:w="90" w:type="dxa"/>
              <w:end w:w="110" w:type="dxa"/>
            </w:tcMar>
            <w:vAlign w:val="center"/>
          </w:tcPr>
          <w:p>
            <w:pPr>
              <w:spacing w:after="0" w:line="240" w:lineRule="auto"/>
            </w:pPr>
            <w:r>
              <w:rPr>
                <w:rFonts w:ascii="Times New Roman" w:hAnsi="Times New Roman"/>
                <w:b w:val="0"/>
                <w:i w:val="0"/>
                <w:sz w:val="17"/>
              </w:rPr>
              <w:t>v3</w:t>
            </w:r>
          </w:p>
        </w:tc>
        <w:tc>
          <w:tcPr>
            <w:tcW w:type="dxa" w:w="15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XGBoost</w:t>
            </w:r>
          </w:p>
        </w:tc>
        <w:tc>
          <w:tcPr>
            <w:tcW w:type="dxa" w:w="14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0.82</w:t>
            </w:r>
          </w:p>
        </w:tc>
        <w:tc>
          <w:tcPr>
            <w:tcW w:type="dxa" w:w="12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0.861660</w:t>
            </w:r>
          </w:p>
        </w:tc>
        <w:tc>
          <w:tcPr>
            <w:tcW w:type="dxa" w:w="15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XGBoost</w:t>
            </w:r>
          </w:p>
        </w:tc>
        <w:tc>
          <w:tcPr>
            <w:tcW w:type="dxa" w:w="14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0.51</w:t>
            </w:r>
          </w:p>
        </w:tc>
        <w:tc>
          <w:tcPr>
            <w:tcW w:type="dxa" w:w="12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0.861611</w:t>
            </w:r>
          </w:p>
        </w:tc>
      </w:tr>
      <w:tr>
        <w:tc>
          <w:tcPr>
            <w:tcW w:type="dxa" w:w="850"/>
            <w:tcMar>
              <w:top w:w="90" w:type="dxa"/>
              <w:start w:w="110" w:type="dxa"/>
              <w:bottom w:w="90" w:type="dxa"/>
              <w:end w:w="110" w:type="dxa"/>
            </w:tcMar>
            <w:vAlign w:val="center"/>
          </w:tcPr>
          <w:p>
            <w:pPr>
              <w:spacing w:after="0" w:line="240" w:lineRule="auto"/>
            </w:pPr>
            <w:r>
              <w:rPr>
                <w:rFonts w:ascii="Times New Roman" w:hAnsi="Times New Roman"/>
                <w:b w:val="0"/>
                <w:i w:val="0"/>
                <w:sz w:val="17"/>
              </w:rPr>
              <w:t>v4</w:t>
            </w:r>
          </w:p>
        </w:tc>
        <w:tc>
          <w:tcPr>
            <w:tcW w:type="dxa" w:w="15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DecisionTree</w:t>
            </w:r>
          </w:p>
        </w:tc>
        <w:tc>
          <w:tcPr>
            <w:tcW w:type="dxa" w:w="14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0.76</w:t>
            </w:r>
          </w:p>
        </w:tc>
        <w:tc>
          <w:tcPr>
            <w:tcW w:type="dxa" w:w="12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0.861826</w:t>
            </w:r>
          </w:p>
        </w:tc>
        <w:tc>
          <w:tcPr>
            <w:tcW w:type="dxa" w:w="15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XGBoost</w:t>
            </w:r>
          </w:p>
        </w:tc>
        <w:tc>
          <w:tcPr>
            <w:tcW w:type="dxa" w:w="14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0.47</w:t>
            </w:r>
          </w:p>
        </w:tc>
        <w:tc>
          <w:tcPr>
            <w:tcW w:type="dxa" w:w="12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0.861443</w:t>
            </w:r>
          </w:p>
        </w:tc>
      </w:tr>
      <w:tr>
        <w:tc>
          <w:tcPr>
            <w:tcW w:type="dxa" w:w="850"/>
            <w:tcMar>
              <w:top w:w="90" w:type="dxa"/>
              <w:start w:w="110" w:type="dxa"/>
              <w:bottom w:w="90" w:type="dxa"/>
              <w:end w:w="110" w:type="dxa"/>
            </w:tcMar>
            <w:vAlign w:val="center"/>
          </w:tcPr>
          <w:p>
            <w:pPr>
              <w:spacing w:after="0" w:line="240" w:lineRule="auto"/>
            </w:pPr>
            <w:r>
              <w:rPr>
                <w:rFonts w:ascii="Times New Roman" w:hAnsi="Times New Roman"/>
                <w:b w:val="0"/>
                <w:i w:val="0"/>
                <w:sz w:val="17"/>
              </w:rPr>
              <w:t>v5</w:t>
            </w:r>
          </w:p>
        </w:tc>
        <w:tc>
          <w:tcPr>
            <w:tcW w:type="dxa" w:w="15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RandomForest</w:t>
            </w:r>
          </w:p>
        </w:tc>
        <w:tc>
          <w:tcPr>
            <w:tcW w:type="dxa" w:w="14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0.80</w:t>
            </w:r>
          </w:p>
        </w:tc>
        <w:tc>
          <w:tcPr>
            <w:tcW w:type="dxa" w:w="12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0.862030</w:t>
            </w:r>
          </w:p>
        </w:tc>
        <w:tc>
          <w:tcPr>
            <w:tcW w:type="dxa" w:w="15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XGBoost</w:t>
            </w:r>
          </w:p>
        </w:tc>
        <w:tc>
          <w:tcPr>
            <w:tcW w:type="dxa" w:w="145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0.45</w:t>
            </w:r>
          </w:p>
        </w:tc>
        <w:tc>
          <w:tcPr>
            <w:tcW w:type="dxa" w:w="1260"/>
            <w:tcMar>
              <w:top w:w="90" w:type="dxa"/>
              <w:start w:w="110" w:type="dxa"/>
              <w:bottom w:w="90" w:type="dxa"/>
              <w:end w:w="110" w:type="dxa"/>
            </w:tcMar>
            <w:vAlign w:val="center"/>
          </w:tcPr>
          <w:p>
            <w:pPr>
              <w:spacing w:after="0" w:line="240" w:lineRule="auto"/>
              <w:jc w:val="center"/>
            </w:pPr>
            <w:r>
              <w:rPr>
                <w:rFonts w:ascii="Times New Roman" w:hAnsi="Times New Roman"/>
                <w:b w:val="0"/>
                <w:i w:val="0"/>
                <w:sz w:val="17"/>
              </w:rPr>
              <w:t>0.861520</w:t>
            </w:r>
          </w:p>
        </w:tc>
      </w:tr>
    </w:tbl>
    <w:p>
      <w:pPr>
        <w:keepLines w:val="0"/>
        <w:spacing w:line="240" w:lineRule="auto"/>
      </w:pPr>
    </w:p>
    <w:p>
      <w:pPr>
        <w:keepNext/>
        <w:spacing w:before="120" w:after="60"/>
        <w:jc w:val="center"/>
      </w:pPr>
      <w:r>
        <w:drawing>
          <wp:inline xmlns:a="http://schemas.openxmlformats.org/drawingml/2006/main" xmlns:pic="http://schemas.openxmlformats.org/drawingml/2006/picture">
            <wp:extent cx="5303520" cy="3374967"/>
            <wp:docPr id="10" name="Picture 10"/>
            <wp:cNvGraphicFramePr>
              <a:graphicFrameLocks noChangeAspect="1"/>
            </wp:cNvGraphicFramePr>
            <a:graphic>
              <a:graphicData uri="http://schemas.openxmlformats.org/drawingml/2006/picture">
                <pic:pic>
                  <pic:nvPicPr>
                    <pic:cNvPr id="0" name="Figure_4_6_Threshold_Optimization_Curve.png"/>
                    <pic:cNvPicPr/>
                  </pic:nvPicPr>
                  <pic:blipFill>
                    <a:blip r:embed="rId19"/>
                    <a:stretch>
                      <a:fillRect/>
                    </a:stretch>
                  </pic:blipFill>
                  <pic:spPr>
                    <a:xfrm>
                      <a:off x="0" y="0"/>
                      <a:ext cx="5303520" cy="3374967"/>
                    </a:xfrm>
                    <a:prstGeom prst="rect"/>
                  </pic:spPr>
                </pic:pic>
              </a:graphicData>
            </a:graphic>
          </wp:inline>
        </w:drawing>
      </w:r>
    </w:p>
    <w:p>
      <w:pPr>
        <w:keepLines/>
        <w:spacing w:line="240" w:lineRule="auto" w:after="160"/>
        <w:jc w:val="center"/>
      </w:pPr>
      <w:r>
        <w:rPr>
          <w:rFonts w:ascii="Times New Roman" w:hAnsi="Times New Roman"/>
          <w:b/>
          <w:i w:val="0"/>
          <w:sz w:val="20"/>
        </w:rPr>
        <w:t>Figure 4.6: Threshold optimization curve for the v5 No-SMOTE Random Forest model.</w:t>
      </w:r>
    </w:p>
    <w:p>
      <w:pPr>
        <w:pStyle w:val="Heading2"/>
      </w:pPr>
      <w:r>
        <w:t>4.10 Best Model Analysis</w:t>
      </w:r>
    </w:p>
    <w:p>
      <w:pPr>
        <w:keepLines w:val="0"/>
        <w:spacing w:line="360" w:lineRule="auto"/>
      </w:pPr>
      <w:r>
        <w:rPr>
          <w:rFonts w:ascii="Times New Roman" w:hAnsi="Times New Roman"/>
          <w:b w:val="0"/>
          <w:i w:val="0"/>
          <w:sz w:val="24"/>
        </w:rPr>
        <w:t>The best threshold-tuned operating point was v5 No-SMOTE Random Forest at threshold 0.80, with precision 0.999156, recall 0.758000, and fraud-class F1 of 0.862030. This value was only marginally higher than other strong tuned results.</w:t>
      </w:r>
    </w:p>
    <w:p>
      <w:pPr>
        <w:keepNext/>
        <w:spacing w:before="120" w:after="60"/>
        <w:jc w:val="center"/>
      </w:pPr>
      <w:r>
        <w:drawing>
          <wp:inline xmlns:a="http://schemas.openxmlformats.org/drawingml/2006/main" xmlns:pic="http://schemas.openxmlformats.org/drawingml/2006/picture">
            <wp:extent cx="4846320" cy="4240530"/>
            <wp:docPr id="11" name="Picture 11"/>
            <wp:cNvGraphicFramePr>
              <a:graphicFrameLocks noChangeAspect="1"/>
            </wp:cNvGraphicFramePr>
            <a:graphic>
              <a:graphicData uri="http://schemas.openxmlformats.org/drawingml/2006/picture">
                <pic:pic>
                  <pic:nvPicPr>
                    <pic:cNvPr id="0" name="Figure_4_7_Best_Model_Confusion_Matrix.png"/>
                    <pic:cNvPicPr/>
                  </pic:nvPicPr>
                  <pic:blipFill>
                    <a:blip r:embed="rId20"/>
                    <a:stretch>
                      <a:fillRect/>
                    </a:stretch>
                  </pic:blipFill>
                  <pic:spPr>
                    <a:xfrm>
                      <a:off x="0" y="0"/>
                      <a:ext cx="4846320" cy="4240530"/>
                    </a:xfrm>
                    <a:prstGeom prst="rect"/>
                  </pic:spPr>
                </pic:pic>
              </a:graphicData>
            </a:graphic>
          </wp:inline>
        </w:drawing>
      </w:r>
    </w:p>
    <w:p>
      <w:pPr>
        <w:keepLines/>
        <w:spacing w:line="240" w:lineRule="auto" w:after="160"/>
        <w:jc w:val="center"/>
      </w:pPr>
      <w:r>
        <w:rPr>
          <w:rFonts w:ascii="Times New Roman" w:hAnsi="Times New Roman"/>
          <w:b/>
          <w:i w:val="0"/>
          <w:sz w:val="20"/>
        </w:rPr>
        <w:t>Figure 4.7: Tuned test confusion matrix for the v5 No-SMOTE Random Forest model at threshold 0.80.</w:t>
      </w:r>
    </w:p>
    <w:p>
      <w:pPr>
        <w:pStyle w:val="Heading2"/>
      </w:pPr>
      <w:r>
        <w:t>4.11 Feature Importance Analysis</w:t>
      </w:r>
    </w:p>
    <w:p>
      <w:pPr>
        <w:keepLines w:val="0"/>
        <w:spacing w:line="360" w:lineRule="auto"/>
      </w:pPr>
      <w:r>
        <w:rPr>
          <w:rFonts w:ascii="Times New Roman" w:hAnsi="Times New Roman"/>
          <w:b w:val="0"/>
          <w:i w:val="0"/>
          <w:sz w:val="24"/>
        </w:rPr>
        <w:t>The Random Forest feature-importance output suggested that amount-category interaction and merchant-related indicators were influential in the selected v5 No-SMOTE model. These importance values are model-specific and should not be interpreted as causal effects.</w:t>
      </w:r>
    </w:p>
    <w:p>
      <w:pPr>
        <w:keepNext/>
        <w:spacing w:before="120" w:after="60"/>
        <w:jc w:val="center"/>
      </w:pPr>
      <w:r>
        <w:drawing>
          <wp:inline xmlns:a="http://schemas.openxmlformats.org/drawingml/2006/main" xmlns:pic="http://schemas.openxmlformats.org/drawingml/2006/picture">
            <wp:extent cx="5212080" cy="3653617"/>
            <wp:docPr id="12" name="Picture 12"/>
            <wp:cNvGraphicFramePr>
              <a:graphicFrameLocks noChangeAspect="1"/>
            </wp:cNvGraphicFramePr>
            <a:graphic>
              <a:graphicData uri="http://schemas.openxmlformats.org/drawingml/2006/picture">
                <pic:pic>
                  <pic:nvPicPr>
                    <pic:cNvPr id="0" name="Figure_4_8_Feature_Importance.png"/>
                    <pic:cNvPicPr/>
                  </pic:nvPicPr>
                  <pic:blipFill>
                    <a:blip r:embed="rId21"/>
                    <a:stretch>
                      <a:fillRect/>
                    </a:stretch>
                  </pic:blipFill>
                  <pic:spPr>
                    <a:xfrm>
                      <a:off x="0" y="0"/>
                      <a:ext cx="5212080" cy="3653617"/>
                    </a:xfrm>
                    <a:prstGeom prst="rect"/>
                  </pic:spPr>
                </pic:pic>
              </a:graphicData>
            </a:graphic>
          </wp:inline>
        </w:drawing>
      </w:r>
    </w:p>
    <w:p>
      <w:pPr>
        <w:keepLines/>
        <w:spacing w:line="240" w:lineRule="auto" w:after="160"/>
        <w:jc w:val="center"/>
      </w:pPr>
      <w:r>
        <w:rPr>
          <w:rFonts w:ascii="Times New Roman" w:hAnsi="Times New Roman"/>
          <w:b/>
          <w:i w:val="0"/>
          <w:sz w:val="20"/>
        </w:rPr>
        <w:t>Figure 4.8: Feature importance for the selected v5 No-SMOTE Random Forest model.</w:t>
      </w:r>
    </w:p>
    <w:p>
      <w:pPr>
        <w:pStyle w:val="Heading2"/>
      </w:pPr>
      <w:r>
        <w:t>4.12 Discussion of Findings</w:t>
      </w:r>
    </w:p>
    <w:p>
      <w:pPr>
        <w:keepLines w:val="0"/>
        <w:spacing w:line="360" w:lineRule="auto"/>
      </w:pPr>
      <w:r>
        <w:rPr>
          <w:rFonts w:ascii="Times New Roman" w:hAnsi="Times New Roman"/>
          <w:b w:val="0"/>
          <w:i w:val="0"/>
          <w:sz w:val="24"/>
        </w:rPr>
        <w:t>The results show that feature engineering was a major driver of model performance. Tree-based models dominated the strongest results because they can capture nonlinear interactions in heterogeneous tabular data. The SMOTE comparison also showed that resampling conclusions depend on the threshold used for classification.</w:t>
      </w:r>
    </w:p>
    <w:p>
      <w:pPr>
        <w:pStyle w:val="Heading2"/>
      </w:pPr>
      <w:r>
        <w:t>4.13 Answering the Research Questions</w:t>
      </w:r>
    </w:p>
    <w:p>
      <w:pPr>
        <w:keepLines w:val="0"/>
        <w:spacing w:line="360" w:lineRule="auto"/>
      </w:pPr>
      <w:r>
        <w:rPr>
          <w:rFonts w:ascii="Times New Roman" w:hAnsi="Times New Roman"/>
          <w:b w:val="0"/>
          <w:i w:val="0"/>
          <w:sz w:val="24"/>
        </w:rPr>
        <w:t>First, progressive feature engineering improved fraud-class performance, especially from v2 to v3. Second, SMOTE improved default-threshold fraud-class F1. Third, threshold optimization made No-SMOTE and SMOTE results practically close. Fourth, Random Forest, CatBoost, and XGBoost dominated the strongest results. Fifth, interpretation is limited by synthetic data, proxy risk indicators, and absence of external validation.</w:t>
      </w:r>
    </w:p>
    <w:p>
      <w:pPr>
        <w:pStyle w:val="Heading2"/>
      </w:pPr>
      <w:r>
        <w:t>4.14 Summary of Findings</w:t>
      </w:r>
    </w:p>
    <w:p>
      <w:r>
        <w:br w:type="page"/>
      </w:r>
    </w:p>
    <w:p>
      <w:pPr>
        <w:keepNext/>
        <w:keepLines w:val="0"/>
        <w:spacing w:line="240" w:lineRule="auto"/>
        <w:jc w:val="center"/>
      </w:pPr>
      <w:r>
        <w:rPr>
          <w:rFonts w:ascii="Times New Roman" w:hAnsi="Times New Roman"/>
          <w:b/>
          <w:i w:val="0"/>
          <w:sz w:val="20"/>
        </w:rPr>
        <w:t>Table 4.4: Key Findings Summary</w:t>
      </w:r>
    </w:p>
    <w:tbl>
      <w:tblPr>
        <w:tblStyle w:val="TableGrid"/>
        <w:tblW w:type="dxa" w:w="9360"/>
        <w:jc w:val="center"/>
        <w:tblLayout w:type="fixed"/>
        <w:tblLook w:firstColumn="1" w:firstRow="1" w:lastColumn="0" w:lastRow="0" w:noHBand="0" w:noVBand="1" w:val="04A0"/>
      </w:tblPr>
      <w:tblGrid>
        <w:gridCol w:w="2300"/>
        <w:gridCol w:w="3600"/>
        <w:gridCol w:w="3460"/>
      </w:tblGrid>
      <w:tr>
        <w:trPr>
          <w:tblHeader w:val="true"/>
        </w:trPr>
        <w:tc>
          <w:tcPr>
            <w:tcW w:type="dxa" w:w="2300"/>
            <w:tcMar>
              <w:top w:w="90" w:type="dxa"/>
              <w:start w:w="110" w:type="dxa"/>
              <w:bottom w:w="90" w:type="dxa"/>
              <w:end w:w="110" w:type="dxa"/>
            </w:tcMar>
            <w:vAlign w:val="center"/>
            <w:shd w:fill="F2F2F2"/>
          </w:tcPr>
          <w:p>
            <w:pPr>
              <w:spacing w:after="0" w:line="240" w:lineRule="auto"/>
            </w:pPr>
            <w:r>
              <w:rPr>
                <w:rFonts w:ascii="Times New Roman" w:hAnsi="Times New Roman"/>
                <w:b/>
                <w:i w:val="0"/>
                <w:sz w:val="18"/>
              </w:rPr>
              <w:t>Finding</w:t>
            </w:r>
          </w:p>
        </w:tc>
        <w:tc>
          <w:tcPr>
            <w:tcW w:type="dxa" w:w="360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8"/>
              </w:rPr>
              <w:t>Evidence</w:t>
            </w:r>
          </w:p>
        </w:tc>
        <w:tc>
          <w:tcPr>
            <w:tcW w:type="dxa" w:w="3460"/>
            <w:tcMar>
              <w:top w:w="90" w:type="dxa"/>
              <w:start w:w="110" w:type="dxa"/>
              <w:bottom w:w="90" w:type="dxa"/>
              <w:end w:w="110" w:type="dxa"/>
            </w:tcMar>
            <w:vAlign w:val="center"/>
            <w:shd w:fill="F2F2F2"/>
          </w:tcPr>
          <w:p>
            <w:pPr>
              <w:spacing w:after="0" w:line="240" w:lineRule="auto"/>
              <w:jc w:val="center"/>
            </w:pPr>
            <w:r>
              <w:rPr>
                <w:rFonts w:ascii="Times New Roman" w:hAnsi="Times New Roman"/>
                <w:b/>
                <w:i w:val="0"/>
                <w:sz w:val="18"/>
              </w:rPr>
              <w:t>Interpretation</w:t>
            </w:r>
          </w:p>
        </w:tc>
      </w:tr>
      <w:tr>
        <w:tc>
          <w:tcPr>
            <w:tcW w:type="dxa" w:w="2300"/>
            <w:tcMar>
              <w:top w:w="90" w:type="dxa"/>
              <w:start w:w="110" w:type="dxa"/>
              <w:bottom w:w="90" w:type="dxa"/>
              <w:end w:w="110" w:type="dxa"/>
            </w:tcMar>
            <w:vAlign w:val="center"/>
          </w:tcPr>
          <w:p>
            <w:pPr>
              <w:spacing w:after="0" w:line="240" w:lineRule="auto"/>
            </w:pPr>
            <w:r>
              <w:rPr>
                <w:rFonts w:ascii="Times New Roman" w:hAnsi="Times New Roman"/>
                <w:b w:val="0"/>
                <w:i w:val="0"/>
                <w:sz w:val="18"/>
              </w:rPr>
              <w:t>Progressive feature engineering improves fraud-class performance</w:t>
            </w:r>
          </w:p>
        </w:tc>
        <w:tc>
          <w:tcPr>
            <w:tcW w:type="dxa" w:w="3600"/>
            <w:tcMar>
              <w:top w:w="90" w:type="dxa"/>
              <w:start w:w="110" w:type="dxa"/>
              <w:bottom w:w="90" w:type="dxa"/>
              <w:end w:w="110" w:type="dxa"/>
            </w:tcMar>
            <w:vAlign w:val="center"/>
          </w:tcPr>
          <w:p>
            <w:pPr>
              <w:spacing w:after="0" w:line="240" w:lineRule="auto"/>
            </w:pPr>
            <w:r>
              <w:rPr>
                <w:rFonts w:ascii="Times New Roman" w:hAnsi="Times New Roman"/>
                <w:b w:val="0"/>
                <w:i w:val="0"/>
                <w:sz w:val="18"/>
              </w:rPr>
              <w:t>v3-v5 outperform v1-v2 in fraud-class F1</w:t>
            </w:r>
          </w:p>
        </w:tc>
        <w:tc>
          <w:tcPr>
            <w:tcW w:type="dxa" w:w="3460"/>
            <w:tcMar>
              <w:top w:w="90" w:type="dxa"/>
              <w:start w:w="110" w:type="dxa"/>
              <w:bottom w:w="90" w:type="dxa"/>
              <w:end w:w="110" w:type="dxa"/>
            </w:tcMar>
            <w:vAlign w:val="center"/>
          </w:tcPr>
          <w:p>
            <w:pPr>
              <w:spacing w:after="0" w:line="240" w:lineRule="auto"/>
            </w:pPr>
            <w:r>
              <w:rPr>
                <w:rFonts w:ascii="Times New Roman" w:hAnsi="Times New Roman"/>
                <w:b w:val="0"/>
                <w:i w:val="0"/>
                <w:sz w:val="18"/>
              </w:rPr>
              <w:t>Feature enrichment changes minority-class separability.</w:t>
            </w:r>
          </w:p>
        </w:tc>
      </w:tr>
      <w:tr>
        <w:tc>
          <w:tcPr>
            <w:tcW w:type="dxa" w:w="2300"/>
            <w:tcMar>
              <w:top w:w="90" w:type="dxa"/>
              <w:start w:w="110" w:type="dxa"/>
              <w:bottom w:w="90" w:type="dxa"/>
              <w:end w:w="110" w:type="dxa"/>
            </w:tcMar>
            <w:vAlign w:val="center"/>
          </w:tcPr>
          <w:p>
            <w:pPr>
              <w:spacing w:after="0" w:line="240" w:lineRule="auto"/>
            </w:pPr>
            <w:r>
              <w:rPr>
                <w:rFonts w:ascii="Times New Roman" w:hAnsi="Times New Roman"/>
                <w:b w:val="0"/>
                <w:i w:val="0"/>
                <w:sz w:val="18"/>
              </w:rPr>
              <w:t>SMOTE improves default-threshold fraud-class F1</w:t>
            </w:r>
          </w:p>
        </w:tc>
        <w:tc>
          <w:tcPr>
            <w:tcW w:type="dxa" w:w="3600"/>
            <w:tcMar>
              <w:top w:w="90" w:type="dxa"/>
              <w:start w:w="110" w:type="dxa"/>
              <w:bottom w:w="90" w:type="dxa"/>
              <w:end w:w="110" w:type="dxa"/>
            </w:tcMar>
            <w:vAlign w:val="center"/>
          </w:tcPr>
          <w:p>
            <w:pPr>
              <w:spacing w:after="0" w:line="240" w:lineRule="auto"/>
            </w:pPr>
            <w:r>
              <w:rPr>
                <w:rFonts w:ascii="Times New Roman" w:hAnsi="Times New Roman"/>
                <w:b w:val="0"/>
                <w:i w:val="0"/>
                <w:sz w:val="18"/>
              </w:rPr>
              <w:t>SMOTE selected models outperform no-SMOTE selected models in all five versions</w:t>
            </w:r>
          </w:p>
        </w:tc>
        <w:tc>
          <w:tcPr>
            <w:tcW w:type="dxa" w:w="3460"/>
            <w:tcMar>
              <w:top w:w="90" w:type="dxa"/>
              <w:start w:w="110" w:type="dxa"/>
              <w:bottom w:w="90" w:type="dxa"/>
              <w:end w:w="110" w:type="dxa"/>
            </w:tcMar>
            <w:vAlign w:val="center"/>
          </w:tcPr>
          <w:p>
            <w:pPr>
              <w:spacing w:after="0" w:line="240" w:lineRule="auto"/>
            </w:pPr>
            <w:r>
              <w:rPr>
                <w:rFonts w:ascii="Times New Roman" w:hAnsi="Times New Roman"/>
                <w:b w:val="0"/>
                <w:i w:val="0"/>
                <w:sz w:val="18"/>
              </w:rPr>
              <w:t>The benefit is threshold-dependent.</w:t>
            </w:r>
          </w:p>
        </w:tc>
      </w:tr>
      <w:tr>
        <w:tc>
          <w:tcPr>
            <w:tcW w:type="dxa" w:w="2300"/>
            <w:tcMar>
              <w:top w:w="90" w:type="dxa"/>
              <w:start w:w="110" w:type="dxa"/>
              <w:bottom w:w="90" w:type="dxa"/>
              <w:end w:w="110" w:type="dxa"/>
            </w:tcMar>
            <w:vAlign w:val="center"/>
          </w:tcPr>
          <w:p>
            <w:pPr>
              <w:spacing w:after="0" w:line="240" w:lineRule="auto"/>
            </w:pPr>
            <w:r>
              <w:rPr>
                <w:rFonts w:ascii="Times New Roman" w:hAnsi="Times New Roman"/>
                <w:b w:val="0"/>
                <w:i w:val="0"/>
                <w:sz w:val="18"/>
              </w:rPr>
              <w:t>Threshold tuning removes most practical SMOTE advantage</w:t>
            </w:r>
          </w:p>
        </w:tc>
        <w:tc>
          <w:tcPr>
            <w:tcW w:type="dxa" w:w="3600"/>
            <w:tcMar>
              <w:top w:w="90" w:type="dxa"/>
              <w:start w:w="110" w:type="dxa"/>
              <w:bottom w:w="90" w:type="dxa"/>
              <w:end w:w="110" w:type="dxa"/>
            </w:tcMar>
            <w:vAlign w:val="center"/>
          </w:tcPr>
          <w:p>
            <w:pPr>
              <w:spacing w:after="0" w:line="240" w:lineRule="auto"/>
            </w:pPr>
            <w:r>
              <w:rPr>
                <w:rFonts w:ascii="Times New Roman" w:hAnsi="Times New Roman"/>
                <w:b w:val="0"/>
                <w:i w:val="0"/>
                <w:sz w:val="18"/>
              </w:rPr>
              <w:t>Best tuned F1 values differ by less than 0.001 across setups</w:t>
            </w:r>
          </w:p>
        </w:tc>
        <w:tc>
          <w:tcPr>
            <w:tcW w:type="dxa" w:w="3460"/>
            <w:tcMar>
              <w:top w:w="90" w:type="dxa"/>
              <w:start w:w="110" w:type="dxa"/>
              <w:bottom w:w="90" w:type="dxa"/>
              <w:end w:w="110" w:type="dxa"/>
            </w:tcMar>
            <w:vAlign w:val="center"/>
          </w:tcPr>
          <w:p>
            <w:pPr>
              <w:spacing w:after="0" w:line="240" w:lineRule="auto"/>
            </w:pPr>
            <w:r>
              <w:rPr>
                <w:rFonts w:ascii="Times New Roman" w:hAnsi="Times New Roman"/>
                <w:b w:val="0"/>
                <w:i w:val="0"/>
                <w:sz w:val="18"/>
              </w:rPr>
              <w:t>Operating-point selection is central to deployment interpretation.</w:t>
            </w:r>
          </w:p>
        </w:tc>
      </w:tr>
      <w:tr>
        <w:tc>
          <w:tcPr>
            <w:tcW w:type="dxa" w:w="2300"/>
            <w:tcMar>
              <w:top w:w="90" w:type="dxa"/>
              <w:start w:w="110" w:type="dxa"/>
              <w:bottom w:w="90" w:type="dxa"/>
              <w:end w:w="110" w:type="dxa"/>
            </w:tcMar>
            <w:vAlign w:val="center"/>
          </w:tcPr>
          <w:p>
            <w:pPr>
              <w:spacing w:after="0" w:line="240" w:lineRule="auto"/>
            </w:pPr>
            <w:r>
              <w:rPr>
                <w:rFonts w:ascii="Times New Roman" w:hAnsi="Times New Roman"/>
                <w:b w:val="0"/>
                <w:i w:val="0"/>
                <w:sz w:val="18"/>
              </w:rPr>
              <w:t>Tree-based methods dominate</w:t>
            </w:r>
          </w:p>
        </w:tc>
        <w:tc>
          <w:tcPr>
            <w:tcW w:type="dxa" w:w="3600"/>
            <w:tcMar>
              <w:top w:w="90" w:type="dxa"/>
              <w:start w:w="110" w:type="dxa"/>
              <w:bottom w:w="90" w:type="dxa"/>
              <w:end w:w="110" w:type="dxa"/>
            </w:tcMar>
            <w:vAlign w:val="center"/>
          </w:tcPr>
          <w:p>
            <w:pPr>
              <w:spacing w:after="0" w:line="240" w:lineRule="auto"/>
            </w:pPr>
            <w:r>
              <w:rPr>
                <w:rFonts w:ascii="Times New Roman" w:hAnsi="Times New Roman"/>
                <w:b w:val="0"/>
                <w:i w:val="0"/>
                <w:sz w:val="18"/>
              </w:rPr>
              <w:t>Random Forest, XGBoost, CatBoost, and Decision Tree are selected in final best-model summaries</w:t>
            </w:r>
          </w:p>
        </w:tc>
        <w:tc>
          <w:tcPr>
            <w:tcW w:type="dxa" w:w="3460"/>
            <w:tcMar>
              <w:top w:w="90" w:type="dxa"/>
              <w:start w:w="110" w:type="dxa"/>
              <w:bottom w:w="90" w:type="dxa"/>
              <w:end w:w="110" w:type="dxa"/>
            </w:tcMar>
            <w:vAlign w:val="center"/>
          </w:tcPr>
          <w:p>
            <w:pPr>
              <w:spacing w:after="0" w:line="240" w:lineRule="auto"/>
            </w:pPr>
            <w:r>
              <w:rPr>
                <w:rFonts w:ascii="Times New Roman" w:hAnsi="Times New Roman"/>
                <w:b w:val="0"/>
                <w:i w:val="0"/>
                <w:sz w:val="18"/>
              </w:rPr>
              <w:t>Nonlinear tabular interactions are important in this dataset.</w:t>
            </w:r>
          </w:p>
        </w:tc>
      </w:tr>
      <w:tr>
        <w:tc>
          <w:tcPr>
            <w:tcW w:type="dxa" w:w="2300"/>
            <w:tcMar>
              <w:top w:w="90" w:type="dxa"/>
              <w:start w:w="110" w:type="dxa"/>
              <w:bottom w:w="90" w:type="dxa"/>
              <w:end w:w="110" w:type="dxa"/>
            </w:tcMar>
            <w:vAlign w:val="center"/>
          </w:tcPr>
          <w:p>
            <w:pPr>
              <w:spacing w:after="0" w:line="240" w:lineRule="auto"/>
            </w:pPr>
            <w:r>
              <w:rPr>
                <w:rFonts w:ascii="Times New Roman" w:hAnsi="Times New Roman"/>
                <w:b w:val="0"/>
                <w:i w:val="0"/>
                <w:sz w:val="18"/>
              </w:rPr>
              <w:t>Logistic Regression underperforms</w:t>
            </w:r>
          </w:p>
        </w:tc>
        <w:tc>
          <w:tcPr>
            <w:tcW w:type="dxa" w:w="3600"/>
            <w:tcMar>
              <w:top w:w="90" w:type="dxa"/>
              <w:start w:w="110" w:type="dxa"/>
              <w:bottom w:w="90" w:type="dxa"/>
              <w:end w:w="110" w:type="dxa"/>
            </w:tcMar>
            <w:vAlign w:val="center"/>
          </w:tcPr>
          <w:p>
            <w:pPr>
              <w:spacing w:after="0" w:line="240" w:lineRule="auto"/>
            </w:pPr>
            <w:r>
              <w:rPr>
                <w:rFonts w:ascii="Times New Roman" w:hAnsi="Times New Roman"/>
                <w:b w:val="0"/>
                <w:i w:val="0"/>
                <w:sz w:val="18"/>
              </w:rPr>
              <w:t>No final best model is Logistic Regression</w:t>
            </w:r>
          </w:p>
        </w:tc>
        <w:tc>
          <w:tcPr>
            <w:tcW w:type="dxa" w:w="3460"/>
            <w:tcMar>
              <w:top w:w="90" w:type="dxa"/>
              <w:start w:w="110" w:type="dxa"/>
              <w:bottom w:w="90" w:type="dxa"/>
              <w:end w:w="110" w:type="dxa"/>
            </w:tcMar>
            <w:vAlign w:val="center"/>
          </w:tcPr>
          <w:p>
            <w:pPr>
              <w:spacing w:after="0" w:line="240" w:lineRule="auto"/>
            </w:pPr>
            <w:r>
              <w:rPr>
                <w:rFonts w:ascii="Times New Roman" w:hAnsi="Times New Roman"/>
                <w:b w:val="0"/>
                <w:i w:val="0"/>
                <w:sz w:val="18"/>
              </w:rPr>
              <w:t>Linear baseline is less competitive for the engineered feature space.</w:t>
            </w:r>
          </w:p>
        </w:tc>
      </w:tr>
      <w:tr>
        <w:tc>
          <w:tcPr>
            <w:tcW w:type="dxa" w:w="2300"/>
            <w:tcMar>
              <w:top w:w="90" w:type="dxa"/>
              <w:start w:w="110" w:type="dxa"/>
              <w:bottom w:w="90" w:type="dxa"/>
              <w:end w:w="110" w:type="dxa"/>
            </w:tcMar>
            <w:vAlign w:val="center"/>
          </w:tcPr>
          <w:p>
            <w:pPr>
              <w:spacing w:after="0" w:line="240" w:lineRule="auto"/>
            </w:pPr>
            <w:r>
              <w:rPr>
                <w:rFonts w:ascii="Times New Roman" w:hAnsi="Times New Roman"/>
                <w:b w:val="0"/>
                <w:i w:val="0"/>
                <w:sz w:val="18"/>
              </w:rPr>
              <w:t>Strongest versions are practically close</w:t>
            </w:r>
          </w:p>
        </w:tc>
        <w:tc>
          <w:tcPr>
            <w:tcW w:type="dxa" w:w="3600"/>
            <w:tcMar>
              <w:top w:w="90" w:type="dxa"/>
              <w:start w:w="110" w:type="dxa"/>
              <w:bottom w:w="90" w:type="dxa"/>
              <w:end w:w="110" w:type="dxa"/>
            </w:tcMar>
            <w:vAlign w:val="center"/>
          </w:tcPr>
          <w:p>
            <w:pPr>
              <w:spacing w:after="0" w:line="240" w:lineRule="auto"/>
            </w:pPr>
            <w:r>
              <w:rPr>
                <w:rFonts w:ascii="Times New Roman" w:hAnsi="Times New Roman"/>
                <w:b w:val="0"/>
                <w:i w:val="0"/>
                <w:sz w:val="18"/>
              </w:rPr>
              <w:t>v3-v5 default and tuned results are close</w:t>
            </w:r>
          </w:p>
        </w:tc>
        <w:tc>
          <w:tcPr>
            <w:tcW w:type="dxa" w:w="3460"/>
            <w:tcMar>
              <w:top w:w="90" w:type="dxa"/>
              <w:start w:w="110" w:type="dxa"/>
              <w:bottom w:w="90" w:type="dxa"/>
              <w:end w:w="110" w:type="dxa"/>
            </w:tcMar>
            <w:vAlign w:val="center"/>
          </w:tcPr>
          <w:p>
            <w:pPr>
              <w:spacing w:after="0" w:line="240" w:lineRule="auto"/>
            </w:pPr>
            <w:r>
              <w:rPr>
                <w:rFonts w:ascii="Times New Roman" w:hAnsi="Times New Roman"/>
                <w:b w:val="0"/>
                <w:i w:val="0"/>
                <w:sz w:val="18"/>
              </w:rPr>
              <w:t>Do not overstate the small differences among v3-v5.</w:t>
            </w:r>
          </w:p>
        </w:tc>
      </w:tr>
      <w:tr>
        <w:tc>
          <w:tcPr>
            <w:tcW w:type="dxa" w:w="2300"/>
            <w:tcMar>
              <w:top w:w="90" w:type="dxa"/>
              <w:start w:w="110" w:type="dxa"/>
              <w:bottom w:w="90" w:type="dxa"/>
              <w:end w:w="110" w:type="dxa"/>
            </w:tcMar>
            <w:vAlign w:val="center"/>
          </w:tcPr>
          <w:p>
            <w:pPr>
              <w:spacing w:after="0" w:line="240" w:lineRule="auto"/>
            </w:pPr>
            <w:r>
              <w:rPr>
                <w:rFonts w:ascii="Times New Roman" w:hAnsi="Times New Roman"/>
                <w:b w:val="0"/>
                <w:i w:val="0"/>
                <w:sz w:val="18"/>
              </w:rPr>
              <w:t>External validity is limited</w:t>
            </w:r>
          </w:p>
        </w:tc>
        <w:tc>
          <w:tcPr>
            <w:tcW w:type="dxa" w:w="3600"/>
            <w:tcMar>
              <w:top w:w="90" w:type="dxa"/>
              <w:start w:w="110" w:type="dxa"/>
              <w:bottom w:w="90" w:type="dxa"/>
              <w:end w:w="110" w:type="dxa"/>
            </w:tcMar>
            <w:vAlign w:val="center"/>
          </w:tcPr>
          <w:p>
            <w:pPr>
              <w:spacing w:after="0" w:line="240" w:lineRule="auto"/>
            </w:pPr>
            <w:r>
              <w:rPr>
                <w:rFonts w:ascii="Times New Roman" w:hAnsi="Times New Roman"/>
                <w:b w:val="0"/>
                <w:i w:val="0"/>
                <w:sz w:val="18"/>
              </w:rPr>
              <w:t>No external validation dataset is present</w:t>
            </w:r>
          </w:p>
        </w:tc>
        <w:tc>
          <w:tcPr>
            <w:tcW w:type="dxa" w:w="3460"/>
            <w:tcMar>
              <w:top w:w="90" w:type="dxa"/>
              <w:start w:w="110" w:type="dxa"/>
              <w:bottom w:w="90" w:type="dxa"/>
              <w:end w:w="110" w:type="dxa"/>
            </w:tcMar>
            <w:vAlign w:val="center"/>
          </w:tcPr>
          <w:p>
            <w:pPr>
              <w:spacing w:after="0" w:line="240" w:lineRule="auto"/>
            </w:pPr>
            <w:r>
              <w:rPr>
                <w:rFonts w:ascii="Times New Roman" w:hAnsi="Times New Roman"/>
                <w:b w:val="0"/>
                <w:i w:val="0"/>
                <w:sz w:val="18"/>
              </w:rPr>
              <w:t>Results apply to the synthetic transaction dataset only.</w:t>
            </w:r>
          </w:p>
        </w:tc>
      </w:tr>
    </w:tbl>
    <w:p>
      <w:pPr>
        <w:keepLines w:val="0"/>
        <w:spacing w:line="240" w:lineRule="auto"/>
      </w:pPr>
    </w:p>
    <w:p>
      <w:pPr>
        <w:keepLines w:val="0"/>
        <w:spacing w:line="360" w:lineRule="auto"/>
      </w:pPr>
      <w:r>
        <w:rPr>
          <w:rFonts w:ascii="Times New Roman" w:hAnsi="Times New Roman"/>
          <w:b w:val="0"/>
          <w:i w:val="0"/>
          <w:sz w:val="24"/>
        </w:rPr>
        <w:t>Overall, the evidence supports a cautious conclusion that a reproducible tabular pipeline with progressive feature engineering can improve fraud-class detection on this synthetic dataset.</w:t>
      </w:r>
    </w:p>
    <w:p>
      <w:r>
        <w:br w:type="page"/>
      </w:r>
    </w:p>
    <w:p>
      <w:pPr>
        <w:pStyle w:val="Heading1"/>
        <w:jc w:val="center"/>
      </w:pPr>
      <w:r>
        <w:t>CHAPTER FIVE: CONCLUSION AND RECOMMENDATIONS</w:t>
      </w:r>
    </w:p>
    <w:p>
      <w:pPr>
        <w:pStyle w:val="Heading2"/>
      </w:pPr>
      <w:r>
        <w:t>5.1 Summary of the Study</w:t>
      </w:r>
    </w:p>
    <w:p>
      <w:pPr>
        <w:keepLines w:val="0"/>
        <w:spacing w:line="360" w:lineRule="auto"/>
      </w:pPr>
      <w:r>
        <w:rPr>
          <w:rFonts w:ascii="Times New Roman" w:hAnsi="Times New Roman"/>
          <w:b w:val="0"/>
          <w:i w:val="0"/>
          <w:sz w:val="24"/>
        </w:rPr>
        <w:t>The study prepared a cleaned synthetic credit card transaction dataset, generated five progressively enriched dataset versions, trained five model families, compared No-SMOTE and SMOTE settings, and evaluated default-threshold and threshold-tuned performance.</w:t>
      </w:r>
    </w:p>
    <w:p>
      <w:pPr>
        <w:pStyle w:val="Heading2"/>
      </w:pPr>
      <w:r>
        <w:t>5.2 Conclusion</w:t>
      </w:r>
    </w:p>
    <w:p>
      <w:pPr>
        <w:keepLines w:val="0"/>
        <w:spacing w:line="360" w:lineRule="auto"/>
      </w:pPr>
      <w:r>
        <w:rPr>
          <w:rFonts w:ascii="Times New Roman" w:hAnsi="Times New Roman"/>
          <w:b w:val="0"/>
          <w:i w:val="0"/>
          <w:sz w:val="24"/>
        </w:rPr>
        <w:t>Progressive feature engineering improved fraud-class performance on the synthetic transaction dataset. The strongest default-threshold result was v3 SMOTE Random Forest, while the strongest threshold-tuned operating point was v5 No-SMOTE Random Forest. However, the strongest v3-v5 results were practically close, and the findings should be interpreted within the limitations of the dataset and experimental design.</w:t>
      </w:r>
    </w:p>
    <w:p>
      <w:pPr>
        <w:pStyle w:val="Heading2"/>
      </w:pPr>
      <w:r>
        <w:t>5.3 Contributions of the Study</w:t>
      </w:r>
    </w:p>
    <w:p>
      <w:pPr>
        <w:keepLines w:val="0"/>
        <w:spacing w:line="288" w:lineRule="auto"/>
      </w:pPr>
      <w:r>
        <w:rPr>
          <w:rFonts w:ascii="Times New Roman" w:hAnsi="Times New Roman"/>
          <w:b w:val="0"/>
          <w:i w:val="0"/>
          <w:sz w:val="24"/>
        </w:rPr>
        <w:t>1. A cleaned and reproducible master dataset workflow for fraud detection research.</w:t>
      </w:r>
    </w:p>
    <w:p>
      <w:pPr>
        <w:keepLines w:val="0"/>
        <w:spacing w:line="288" w:lineRule="auto"/>
      </w:pPr>
      <w:r>
        <w:rPr>
          <w:rFonts w:ascii="Times New Roman" w:hAnsi="Times New Roman"/>
          <w:b w:val="0"/>
          <w:i w:val="0"/>
          <w:sz w:val="24"/>
        </w:rPr>
        <w:t>2. A five-version feature engineering design using the same transaction population.</w:t>
      </w:r>
    </w:p>
    <w:p>
      <w:pPr>
        <w:keepLines w:val="0"/>
        <w:spacing w:line="288" w:lineRule="auto"/>
      </w:pPr>
      <w:r>
        <w:rPr>
          <w:rFonts w:ascii="Times New Roman" w:hAnsi="Times New Roman"/>
          <w:b w:val="0"/>
          <w:i w:val="0"/>
          <w:sz w:val="24"/>
        </w:rPr>
        <w:t>3. A controlled comparison of No-SMOTE and SMOTE training settings.</w:t>
      </w:r>
    </w:p>
    <w:p>
      <w:pPr>
        <w:keepLines w:val="0"/>
        <w:spacing w:line="288" w:lineRule="auto"/>
      </w:pPr>
      <w:r>
        <w:rPr>
          <w:rFonts w:ascii="Times New Roman" w:hAnsi="Times New Roman"/>
          <w:b w:val="0"/>
          <w:i w:val="0"/>
          <w:sz w:val="24"/>
        </w:rPr>
        <w:t>4. A threshold-tuned evaluation showing the importance of operating-point selection.</w:t>
      </w:r>
    </w:p>
    <w:p>
      <w:pPr>
        <w:keepLines w:val="0"/>
        <w:spacing w:line="288" w:lineRule="auto"/>
      </w:pPr>
      <w:r>
        <w:rPr>
          <w:rFonts w:ascii="Times New Roman" w:hAnsi="Times New Roman"/>
          <w:b w:val="0"/>
          <w:i w:val="0"/>
          <w:sz w:val="24"/>
        </w:rPr>
        <w:t>5. A transparent discussion of leakage-risk features and external-validity limits.</w:t>
      </w:r>
    </w:p>
    <w:p>
      <w:pPr>
        <w:pStyle w:val="Heading2"/>
      </w:pPr>
      <w:r>
        <w:t>5.4 Recommendations</w:t>
      </w:r>
    </w:p>
    <w:p>
      <w:pPr>
        <w:keepLines w:val="0"/>
        <w:spacing w:line="360" w:lineRule="auto"/>
      </w:pPr>
      <w:r>
        <w:rPr>
          <w:rFonts w:ascii="Times New Roman" w:hAnsi="Times New Roman"/>
          <w:b w:val="0"/>
          <w:i w:val="0"/>
          <w:sz w:val="24"/>
        </w:rPr>
        <w:t>Future project work should add repeated-seed experiments, confidence intervals, and independent validation data. It should also document the construction and availability of MerchantRisk and CardRisk before considering those indicators for practical use.</w:t>
      </w:r>
    </w:p>
    <w:p>
      <w:pPr>
        <w:pStyle w:val="Heading2"/>
      </w:pPr>
      <w:r>
        <w:t>5.5 Limitations Revisited</w:t>
      </w:r>
    </w:p>
    <w:p>
      <w:pPr>
        <w:keepLines w:val="0"/>
        <w:spacing w:line="360" w:lineRule="auto"/>
      </w:pPr>
      <w:r>
        <w:rPr>
          <w:rFonts w:ascii="Times New Roman" w:hAnsi="Times New Roman"/>
          <w:b w:val="0"/>
          <w:i w:val="0"/>
          <w:sz w:val="24"/>
        </w:rPr>
        <w:t>The main limitations remain the synthetic dataset, absence of external validation, possible proxy-feature leakage, static offline split, and lack of statistical uncertainty estimates.</w:t>
      </w:r>
    </w:p>
    <w:p>
      <w:pPr>
        <w:pStyle w:val="Heading2"/>
      </w:pPr>
      <w:r>
        <w:t>5.6 Suggestions for Future Research</w:t>
      </w:r>
    </w:p>
    <w:p>
      <w:pPr>
        <w:keepLines w:val="0"/>
        <w:spacing w:line="360" w:lineRule="auto"/>
      </w:pPr>
      <w:r>
        <w:rPr>
          <w:rFonts w:ascii="Times New Roman" w:hAnsi="Times New Roman"/>
          <w:b w:val="0"/>
          <w:i w:val="0"/>
          <w:sz w:val="24"/>
        </w:rPr>
        <w:t>Future research should evaluate the pipeline on independent transaction datasets, compare additional imbalance strategies, test cost-sensitive thresholds, and apply robust interpretability methods beyond impurity-based feature importance.</w:t>
      </w:r>
    </w:p>
    <w:p>
      <w:r>
        <w:br w:type="page"/>
      </w:r>
    </w:p>
    <w:p>
      <w:pPr>
        <w:pStyle w:val="Heading1"/>
        <w:jc w:val="center"/>
      </w:pPr>
      <w:r>
        <w:t>REFERENCES</w:t>
      </w:r>
    </w:p>
    <w:p>
      <w:pPr>
        <w:spacing w:line="240" w:lineRule="auto" w:after="60"/>
        <w:ind w:left="432" w:hanging="432"/>
      </w:pPr>
      <w:r>
        <w:rPr>
          <w:rFonts w:ascii="Times New Roman" w:hAnsi="Times New Roman"/>
          <w:b w:val="0"/>
          <w:i w:val="0"/>
          <w:sz w:val="20"/>
        </w:rPr>
        <w:t>[1] R. J. Bolton and D. J. Hand, "Statistical fraud detection: A review," Statistical Science, vol. 17, no. 3, pp. 235-255, 2002, doi: 10.1214/ss/1042727940.</w:t>
      </w:r>
    </w:p>
    <w:p>
      <w:pPr>
        <w:spacing w:line="240" w:lineRule="auto" w:after="60"/>
        <w:ind w:left="432" w:hanging="432"/>
      </w:pPr>
      <w:r>
        <w:rPr>
          <w:rFonts w:ascii="Times New Roman" w:hAnsi="Times New Roman"/>
          <w:b w:val="0"/>
          <w:i w:val="0"/>
          <w:sz w:val="20"/>
        </w:rPr>
        <w:t>[2] E. W. T. Ngai, Y. Hu, Y. H. Wong, Y. Chen, and X. Sun, "The application of data mining techniques in financial fraud detection: A classification framework and an academic review of literature," Decision Support Systems, vol. 50, no. 3, pp. 559-569, 2011, doi: 10.1016/j.dss.2010.08.006.</w:t>
      </w:r>
    </w:p>
    <w:p>
      <w:pPr>
        <w:spacing w:line="240" w:lineRule="auto" w:after="60"/>
        <w:ind w:left="432" w:hanging="432"/>
      </w:pPr>
      <w:r>
        <w:rPr>
          <w:rFonts w:ascii="Times New Roman" w:hAnsi="Times New Roman"/>
          <w:b w:val="0"/>
          <w:i w:val="0"/>
          <w:sz w:val="20"/>
        </w:rPr>
        <w:t>[3] S. Bhattacharyya, S. Jha, K. Tharakunnel, and J. C. Westland, "Data mining for credit card fraud: A comparative study," Decision Support Systems, vol. 50, no. 3, pp. 602-613, 2011, doi: 10.1016/j.dss.2010.08.008.</w:t>
      </w:r>
    </w:p>
    <w:p>
      <w:pPr>
        <w:spacing w:line="240" w:lineRule="auto" w:after="60"/>
        <w:ind w:left="432" w:hanging="432"/>
      </w:pPr>
      <w:r>
        <w:rPr>
          <w:rFonts w:ascii="Times New Roman" w:hAnsi="Times New Roman"/>
          <w:b w:val="0"/>
          <w:i w:val="0"/>
          <w:sz w:val="20"/>
        </w:rPr>
        <w:t>[4] C. Whitrow, D. J. Hand, P. Juszczak, D. Weston, and N. M. Adams, "Transaction aggregation as a strategy for credit card fraud detection," Data Mining and Knowledge Discovery, vol. 18, no. 1, pp. 30-55, 2009, doi: 10.1007/s10618-008-0116-z.</w:t>
      </w:r>
    </w:p>
    <w:p>
      <w:pPr>
        <w:spacing w:line="240" w:lineRule="auto" w:after="60"/>
        <w:ind w:left="432" w:hanging="432"/>
      </w:pPr>
      <w:r>
        <w:rPr>
          <w:rFonts w:ascii="Times New Roman" w:hAnsi="Times New Roman"/>
          <w:b w:val="0"/>
          <w:i w:val="0"/>
          <w:sz w:val="20"/>
        </w:rPr>
        <w:t>[5] A. C. Bahnsen, D. Aouada, A. Stojanovic, and B. Ottersten, "Feature engineering strategies for credit card fraud detection," Expert Systems with Applications, vol. 51, pp. 134-142, 2016, doi: 10.1016/j.eswa.2015.12.030.</w:t>
      </w:r>
    </w:p>
    <w:p>
      <w:pPr>
        <w:spacing w:line="240" w:lineRule="auto" w:after="60"/>
        <w:ind w:left="432" w:hanging="432"/>
      </w:pPr>
      <w:r>
        <w:rPr>
          <w:rFonts w:ascii="Times New Roman" w:hAnsi="Times New Roman"/>
          <w:b w:val="0"/>
          <w:i w:val="0"/>
          <w:sz w:val="20"/>
        </w:rPr>
        <w:t>[6] A. Dal Pozzolo, O. Caelen, R. A. Johnson, and G. Bontempi, "Calibrating probability with undersampling for unbalanced classification," in Proc. IEEE Symposium Series on Computational Intelligence, 2015.</w:t>
      </w:r>
    </w:p>
    <w:p>
      <w:pPr>
        <w:spacing w:line="240" w:lineRule="auto" w:after="60"/>
        <w:ind w:left="432" w:hanging="432"/>
      </w:pPr>
      <w:r>
        <w:rPr>
          <w:rFonts w:ascii="Times New Roman" w:hAnsi="Times New Roman"/>
          <w:b w:val="0"/>
          <w:i w:val="0"/>
          <w:sz w:val="20"/>
        </w:rPr>
        <w:t>[7] J. Jurgovsky et al., "Sequence classification for credit-card fraud detection," Expert Systems with Applications, vol. 100, pp. 234-245, 2018, doi: 10.1016/j.eswa.2018.01.037.</w:t>
      </w:r>
    </w:p>
    <w:p>
      <w:pPr>
        <w:spacing w:line="240" w:lineRule="auto" w:after="60"/>
        <w:ind w:left="432" w:hanging="432"/>
      </w:pPr>
      <w:r>
        <w:rPr>
          <w:rFonts w:ascii="Times New Roman" w:hAnsi="Times New Roman"/>
          <w:b w:val="0"/>
          <w:i w:val="0"/>
          <w:sz w:val="20"/>
        </w:rPr>
        <w:t>[8] C. Phua, V. Lee, K. Smith, and R. Gayler, "A comprehensive survey of data mining-based fraud detection research," arXiv:1009.6119, 2010.</w:t>
      </w:r>
    </w:p>
    <w:p>
      <w:pPr>
        <w:spacing w:line="240" w:lineRule="auto" w:after="60"/>
        <w:ind w:left="432" w:hanging="432"/>
      </w:pPr>
      <w:r>
        <w:rPr>
          <w:rFonts w:ascii="Times New Roman" w:hAnsi="Times New Roman"/>
          <w:b w:val="0"/>
          <w:i w:val="0"/>
          <w:sz w:val="20"/>
        </w:rPr>
        <w:t>[9] N. V. Chawla, K. W. Bowyer, L. O. Hall, and W. P. Kegelmeyer, "SMOTE: Synthetic minority over-sampling technique," Journal of Artificial Intelligence Research, vol. 16, pp. 321-357, 2002, doi: 10.1613/jair.953.</w:t>
      </w:r>
    </w:p>
    <w:p>
      <w:pPr>
        <w:spacing w:line="240" w:lineRule="auto" w:after="60"/>
        <w:ind w:left="432" w:hanging="432"/>
      </w:pPr>
      <w:r>
        <w:rPr>
          <w:rFonts w:ascii="Times New Roman" w:hAnsi="Times New Roman"/>
          <w:b w:val="0"/>
          <w:i w:val="0"/>
          <w:sz w:val="20"/>
        </w:rPr>
        <w:t>[10] H. He and E. A. Garcia, "Learning from imbalanced data," IEEE Transactions on Knowledge and Data Engineering, vol. 21, no. 9, pp. 1263-1284, 2009, doi: 10.1109/TKDE.2008.239.</w:t>
      </w:r>
    </w:p>
    <w:p>
      <w:pPr>
        <w:spacing w:line="240" w:lineRule="auto" w:after="60"/>
        <w:ind w:left="432" w:hanging="432"/>
      </w:pPr>
      <w:r>
        <w:rPr>
          <w:rFonts w:ascii="Times New Roman" w:hAnsi="Times New Roman"/>
          <w:b w:val="0"/>
          <w:i w:val="0"/>
          <w:sz w:val="20"/>
        </w:rPr>
        <w:t>[11] N. Japkowicz and S. Stephen, "The class imbalance problem: A systematic study," Intelligent Data Analysis, vol. 6, no. 5, pp. 429-449, 2002.</w:t>
      </w:r>
    </w:p>
    <w:p>
      <w:pPr>
        <w:spacing w:line="240" w:lineRule="auto" w:after="60"/>
        <w:ind w:left="432" w:hanging="432"/>
      </w:pPr>
      <w:r>
        <w:rPr>
          <w:rFonts w:ascii="Times New Roman" w:hAnsi="Times New Roman"/>
          <w:b w:val="0"/>
          <w:i w:val="0"/>
          <w:sz w:val="20"/>
        </w:rPr>
        <w:t>[12] M. Galar, A. Fernandez, E. Barrenechea, H. Bustince, and F. Herrera, "A review on ensembles for the class imbalance problem: Bagging-, boosting-, and hybrid-based approaches," IEEE Transactions on Systems, Man, and Cybernetics, Part C, vol. 42, no. 4, pp. 463-484, 2012, doi: 10.1109/TSMCC.2011.2161285.</w:t>
      </w:r>
    </w:p>
    <w:p>
      <w:pPr>
        <w:spacing w:line="240" w:lineRule="auto" w:after="60"/>
        <w:ind w:left="432" w:hanging="432"/>
      </w:pPr>
      <w:r>
        <w:rPr>
          <w:rFonts w:ascii="Times New Roman" w:hAnsi="Times New Roman"/>
          <w:b w:val="0"/>
          <w:i w:val="0"/>
          <w:sz w:val="20"/>
        </w:rPr>
        <w:t>[13] P. Branco, L. Torgo, and R. P. Ribeiro, "A survey of predictive modeling on imbalanced domains," ACM Computing Surveys, vol. 49, no. 2, pp. 1-50, 2016, doi: 10.1145/2907070.</w:t>
      </w:r>
    </w:p>
    <w:p>
      <w:pPr>
        <w:spacing w:line="240" w:lineRule="auto" w:after="60"/>
        <w:ind w:left="432" w:hanging="432"/>
      </w:pPr>
      <w:r>
        <w:rPr>
          <w:rFonts w:ascii="Times New Roman" w:hAnsi="Times New Roman"/>
          <w:b w:val="0"/>
          <w:i w:val="0"/>
          <w:sz w:val="20"/>
        </w:rPr>
        <w:t>[14] C. Elkan, "The foundations of cost-sensitive learning," in Proc. International Joint Conference on Artificial Intelligence, 2001, pp. 973-978.</w:t>
      </w:r>
    </w:p>
    <w:p>
      <w:pPr>
        <w:spacing w:line="240" w:lineRule="auto" w:after="60"/>
        <w:ind w:left="432" w:hanging="432"/>
      </w:pPr>
      <w:r>
        <w:rPr>
          <w:rFonts w:ascii="Times New Roman" w:hAnsi="Times New Roman"/>
          <w:b w:val="0"/>
          <w:i w:val="0"/>
          <w:sz w:val="20"/>
        </w:rPr>
        <w:t>[15] J. Davis and M. Goadrich, "The relationship between Precision-Recall and ROC curves," in Proc. International Conference on Machine Learning, 2006, pp. 233-240, doi: 10.1145/1143844.1143874.</w:t>
      </w:r>
    </w:p>
    <w:p>
      <w:pPr>
        <w:spacing w:line="240" w:lineRule="auto" w:after="60"/>
        <w:ind w:left="432" w:hanging="432"/>
      </w:pPr>
      <w:r>
        <w:rPr>
          <w:rFonts w:ascii="Times New Roman" w:hAnsi="Times New Roman"/>
          <w:b w:val="0"/>
          <w:i w:val="0"/>
          <w:sz w:val="20"/>
        </w:rPr>
        <w:t>[16] T. Saito and M. Rehmsmeier, "The precision-recall plot is more informative than the ROC plot when evaluating binary classifiers on imbalanced datasets," PLOS ONE, vol. 10, no. 3, 2015, doi: 10.1371/journal.pone.0118432.</w:t>
      </w:r>
    </w:p>
    <w:p>
      <w:pPr>
        <w:spacing w:line="240" w:lineRule="auto" w:after="60"/>
        <w:ind w:left="432" w:hanging="432"/>
      </w:pPr>
      <w:r>
        <w:rPr>
          <w:rFonts w:ascii="Times New Roman" w:hAnsi="Times New Roman"/>
          <w:b w:val="0"/>
          <w:i w:val="0"/>
          <w:sz w:val="20"/>
        </w:rPr>
        <w:t>[17] T. Fawcett, "An introduction to ROC analysis," Pattern Recognition Letters, vol. 27, no. 8, pp. 861-874, 2006, doi: 10.1016/j.patrec.2005.10.010.</w:t>
      </w:r>
    </w:p>
    <w:p>
      <w:pPr>
        <w:spacing w:line="240" w:lineRule="auto" w:after="60"/>
        <w:ind w:left="432" w:hanging="432"/>
      </w:pPr>
      <w:r>
        <w:rPr>
          <w:rFonts w:ascii="Times New Roman" w:hAnsi="Times New Roman"/>
          <w:b w:val="0"/>
          <w:i w:val="0"/>
          <w:sz w:val="20"/>
        </w:rPr>
        <w:t>[18] L. Breiman, "Random forests," Machine Learning, vol. 45, no. 1, pp. 5-32, 2001, doi: 10.1023/A:1010933404324.</w:t>
      </w:r>
    </w:p>
    <w:p>
      <w:pPr>
        <w:spacing w:line="240" w:lineRule="auto" w:after="60"/>
        <w:ind w:left="432" w:hanging="432"/>
      </w:pPr>
      <w:r>
        <w:rPr>
          <w:rFonts w:ascii="Times New Roman" w:hAnsi="Times New Roman"/>
          <w:b w:val="0"/>
          <w:i w:val="0"/>
          <w:sz w:val="20"/>
        </w:rPr>
        <w:t>[19] J. R. Quinlan, "Induction of decision trees," Machine Learning, vol. 1, no. 1, pp. 81-106, 1986, doi: 10.1007/BF00116251.</w:t>
      </w:r>
    </w:p>
    <w:p>
      <w:pPr>
        <w:spacing w:line="240" w:lineRule="auto" w:after="60"/>
        <w:ind w:left="432" w:hanging="432"/>
      </w:pPr>
      <w:r>
        <w:rPr>
          <w:rFonts w:ascii="Times New Roman" w:hAnsi="Times New Roman"/>
          <w:b w:val="0"/>
          <w:i w:val="0"/>
          <w:sz w:val="20"/>
        </w:rPr>
        <w:t>[20] T. Chen and C. Guestrin, "XGBoost: A scalable tree boosting system," in Proc. ACM SIGKDD International Conference on Knowledge Discovery and Data Mining, 2016, pp. 785-794, doi: 10.1145/2939672.2939785.</w:t>
      </w:r>
    </w:p>
    <w:p>
      <w:pPr>
        <w:spacing w:line="240" w:lineRule="auto" w:after="60"/>
        <w:ind w:left="432" w:hanging="432"/>
      </w:pPr>
      <w:r>
        <w:rPr>
          <w:rFonts w:ascii="Times New Roman" w:hAnsi="Times New Roman"/>
          <w:b w:val="0"/>
          <w:i w:val="0"/>
          <w:sz w:val="20"/>
        </w:rPr>
        <w:t>[21] L. Prokhorenkova, G. Gusev, A. Vorobev, A. V. Dorogush, and A. Gulin, "CatBoost: Unbiased boosting with categorical features," in Advances in Neural Information Processing Systems, 2018.</w:t>
      </w:r>
    </w:p>
    <w:p>
      <w:pPr>
        <w:spacing w:line="240" w:lineRule="auto" w:after="60"/>
        <w:ind w:left="432" w:hanging="432"/>
      </w:pPr>
      <w:r>
        <w:rPr>
          <w:rFonts w:ascii="Times New Roman" w:hAnsi="Times New Roman"/>
          <w:b w:val="0"/>
          <w:i w:val="0"/>
          <w:sz w:val="20"/>
        </w:rPr>
        <w:t>[22] F. Pedregosa et al., "Scikit-learn: Machine learning in Python," Journal of Machine Learning Research, vol. 12, pp. 2825-2830, 2011.</w:t>
      </w:r>
    </w:p>
    <w:p>
      <w:pPr>
        <w:spacing w:line="240" w:lineRule="auto" w:after="60"/>
        <w:ind w:left="432" w:hanging="432"/>
      </w:pPr>
      <w:r>
        <w:rPr>
          <w:rFonts w:ascii="Times New Roman" w:hAnsi="Times New Roman"/>
          <w:b w:val="0"/>
          <w:i w:val="0"/>
          <w:sz w:val="20"/>
        </w:rPr>
        <w:t>[23] J. Bergstra and Y. Bengio, "Random search for hyper-parameter optimization," Journal of Machine Learning Research, vol. 13, pp. 281-305, 2012.</w:t>
      </w:r>
    </w:p>
    <w:p>
      <w:pPr>
        <w:spacing w:line="240" w:lineRule="auto" w:after="60"/>
        <w:ind w:left="432" w:hanging="432"/>
      </w:pPr>
      <w:r>
        <w:rPr>
          <w:rFonts w:ascii="Times New Roman" w:hAnsi="Times New Roman"/>
          <w:b w:val="0"/>
          <w:i w:val="0"/>
          <w:sz w:val="20"/>
        </w:rPr>
        <w:t>[24] R. Kohavi, "A study of cross-validation and bootstrap for accuracy estimation and model selection," in Proc. International Joint Conference on Artificial Intelligence, 1995, pp. 1137-1145.</w:t>
      </w:r>
    </w:p>
    <w:p>
      <w:pPr>
        <w:spacing w:line="240" w:lineRule="auto" w:after="60"/>
        <w:ind w:left="432" w:hanging="432"/>
      </w:pPr>
      <w:r>
        <w:rPr>
          <w:rFonts w:ascii="Times New Roman" w:hAnsi="Times New Roman"/>
          <w:b w:val="0"/>
          <w:i w:val="0"/>
          <w:sz w:val="20"/>
        </w:rPr>
        <w:t>[25] G. C. Cawley and N. L. C. Talbot, "On over-fitting in model selection and subsequent selection bias in performance evaluation," Journal of Machine Learning Research, vol. 11, pp. 2079-2107, 2010.</w:t>
      </w:r>
    </w:p>
    <w:p>
      <w:pPr>
        <w:spacing w:line="240" w:lineRule="auto" w:after="60"/>
        <w:ind w:left="432" w:hanging="432"/>
      </w:pPr>
      <w:r>
        <w:rPr>
          <w:rFonts w:ascii="Times New Roman" w:hAnsi="Times New Roman"/>
          <w:b w:val="0"/>
          <w:i w:val="0"/>
          <w:sz w:val="20"/>
        </w:rPr>
        <w:t>[26] S. Varma and R. Simon, "Bias in error estimation when using cross-validation for model selection," BMC Bioinformatics, vol. 7, article 91, 2006, doi: 10.1186/1471-2105-7-91.</w:t>
      </w:r>
    </w:p>
    <w:p>
      <w:pPr>
        <w:spacing w:line="240" w:lineRule="auto" w:after="60"/>
        <w:ind w:left="432" w:hanging="432"/>
      </w:pPr>
      <w:r>
        <w:rPr>
          <w:rFonts w:ascii="Times New Roman" w:hAnsi="Times New Roman"/>
          <w:b w:val="0"/>
          <w:i w:val="0"/>
          <w:sz w:val="20"/>
        </w:rPr>
        <w:t>[27] S. Kaufman, S. Rosset, C. Perlich, and O. Stitelman, "Leakage in data mining: Formulation, detection, and avoidance," ACM Transactions on Knowledge Discovery from Data, vol. 6, no. 4, pp. 1-21, 2012, doi: 10.1145/2382577.2382579.</w:t>
      </w:r>
    </w:p>
    <w:p>
      <w:pPr>
        <w:spacing w:line="240" w:lineRule="auto" w:after="60"/>
        <w:ind w:left="432" w:hanging="432"/>
      </w:pPr>
      <w:r>
        <w:rPr>
          <w:rFonts w:ascii="Times New Roman" w:hAnsi="Times New Roman"/>
          <w:b w:val="0"/>
          <w:i w:val="0"/>
          <w:sz w:val="20"/>
        </w:rPr>
        <w:t>[28] S. Kapoor and A. Narayanan, "Leakage and the reproducibility crisis in machine-learning-based science," Patterns, vol. 4, no. 9, 2023, doi: 10.1016/j.patter.2023.100804.</w:t>
      </w:r>
    </w:p>
    <w:p>
      <w:pPr>
        <w:spacing w:line="240" w:lineRule="auto" w:after="60"/>
        <w:ind w:left="432" w:hanging="432"/>
      </w:pPr>
      <w:r>
        <w:rPr>
          <w:rFonts w:ascii="Times New Roman" w:hAnsi="Times New Roman"/>
          <w:b w:val="0"/>
          <w:i w:val="0"/>
          <w:sz w:val="20"/>
        </w:rPr>
        <w:t>[29] I. Guyon and A. Elisseeff, "An introduction to variable and feature selection," Journal of Machine Learning Research, vol. 3, pp. 1157-1182, 2003.</w:t>
      </w:r>
    </w:p>
    <w:p>
      <w:pPr>
        <w:spacing w:line="240" w:lineRule="auto" w:after="60"/>
        <w:ind w:left="432" w:hanging="432"/>
      </w:pPr>
      <w:r>
        <w:rPr>
          <w:rFonts w:ascii="Times New Roman" w:hAnsi="Times New Roman"/>
          <w:b w:val="0"/>
          <w:i w:val="0"/>
          <w:sz w:val="20"/>
        </w:rPr>
        <w:t>[30] M. Kuhn and K. Johnson, Applied Predictive Modeling. New York, NY, USA: Springer, 2013.</w:t>
      </w:r>
    </w:p>
    <w:p>
      <w:pPr>
        <w:pStyle w:val="Heading1"/>
        <w:jc w:val="center"/>
      </w:pPr>
      <w:r>
        <w:t>APPENDICES</w:t>
      </w:r>
    </w:p>
    <w:p>
      <w:pPr>
        <w:pStyle w:val="Heading2"/>
      </w:pPr>
      <w:r>
        <w:t>Appendix A: Dataset Audit Summary</w:t>
      </w:r>
    </w:p>
    <w:p>
      <w:pPr>
        <w:keepLines w:val="0"/>
        <w:spacing w:line="360" w:lineRule="auto"/>
      </w:pPr>
      <w:r>
        <w:rPr>
          <w:rFonts w:ascii="Times New Roman" w:hAnsi="Times New Roman"/>
          <w:b w:val="0"/>
          <w:i w:val="0"/>
          <w:sz w:val="24"/>
        </w:rPr>
        <w:t>The final master dataset contained 499,985 unique records after removing exact duplicate rows from the raw merged provenance file. The final datasets had zero missing values, zero exact duplicate rows, and zero duplicate TransactionID values.</w:t>
      </w:r>
    </w:p>
    <w:p>
      <w:pPr>
        <w:pStyle w:val="Heading2"/>
      </w:pPr>
      <w:r>
        <w:t>Appendix B: Experimental Configuration</w:t>
      </w:r>
    </w:p>
    <w:p>
      <w:pPr>
        <w:keepLines w:val="0"/>
        <w:spacing w:line="360" w:lineRule="auto"/>
      </w:pPr>
      <w:r>
        <w:rPr>
          <w:rFonts w:ascii="Times New Roman" w:hAnsi="Times New Roman"/>
          <w:b w:val="0"/>
          <w:i w:val="0"/>
          <w:sz w:val="24"/>
        </w:rPr>
        <w:t>The experiment used stratified 60/20/20 splitting, 5-fold cross-validation on the training split, PR-AUC tuning, validation-based model selection, untouched test reporting, and threshold optimization based on validation predictions.</w:t>
      </w:r>
    </w:p>
    <w:p>
      <w:pPr>
        <w:pStyle w:val="Heading2"/>
      </w:pPr>
      <w:r>
        <w:t>Appendix C: Full Result Summary</w:t>
      </w:r>
    </w:p>
    <w:p>
      <w:pPr>
        <w:keepLines w:val="0"/>
        <w:spacing w:line="360" w:lineRule="auto"/>
      </w:pPr>
      <w:r>
        <w:rPr>
          <w:rFonts w:ascii="Times New Roman" w:hAnsi="Times New Roman"/>
          <w:b w:val="0"/>
          <w:i w:val="0"/>
          <w:sz w:val="24"/>
        </w:rPr>
        <w:t>The selected No-SMOTE, SMOTE, and threshold-tuned results are summarized in Tables 4.1 through 4.3. The strongest default-threshold result was v3 SMOTE Random Forest, and the strongest tuned operating point was v5 No-SMOTE Random Forest.</w:t>
      </w:r>
    </w:p>
    <w:p>
      <w:pPr>
        <w:pStyle w:val="Heading2"/>
      </w:pPr>
      <w:r>
        <w:t>Appendix D: Reproducibility Notes</w:t>
      </w:r>
    </w:p>
    <w:p>
      <w:pPr>
        <w:keepLines w:val="0"/>
        <w:spacing w:line="360" w:lineRule="auto"/>
      </w:pPr>
      <w:r>
        <w:rPr>
          <w:rFonts w:ascii="Times New Roman" w:hAnsi="Times New Roman"/>
          <w:b w:val="0"/>
          <w:i w:val="0"/>
          <w:sz w:val="24"/>
        </w:rPr>
        <w:t>The final datasets, result summaries, figures, and audit reports were generated from the active research-clean repository evidence. Legacy scripts and stale result folders were excluded from the final methodology.</w:t>
      </w:r>
    </w:p>
    <w:p>
      <w:pPr>
        <w:pStyle w:val="Heading2"/>
      </w:pPr>
      <w:r>
        <w:t>Appendix E: Supervisor Review Notes</w:t>
      </w:r>
    </w:p>
    <w:p>
      <w:pPr>
        <w:keepLines w:val="0"/>
        <w:spacing w:line="360" w:lineRule="auto"/>
      </w:pPr>
      <w:r>
        <w:rPr>
          <w:rFonts w:ascii="Times New Roman" w:hAnsi="Times New Roman"/>
          <w:b w:val="0"/>
          <w:i w:val="0"/>
          <w:sz w:val="24"/>
        </w:rPr>
        <w:t>This section is reserved for comments, corrections, and guidance from the supervisor during review.</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88"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88"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288"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Progressive Feature Engineering and Imbalanced Machine Learning for Credit Card Fraud Detection</dc:title>
  <dc:subject>University of Ibadan supervisor submission draft</dc:subject>
  <dc:creator>[Student Name]</dc:creator>
  <cp:keywords>credit card fraud detection; imbalanced classification; feature engineering; SMOTE; Random Forest; XGBoost; CatBoost</cp:keywords>
  <dc:description>generated by python-docx</dc:description>
  <cp:lastModifiedBy/>
  <cp:revision>1</cp:revision>
  <dcterms:created xsi:type="dcterms:W3CDTF">2013-12-23T23:15:00Z</dcterms:created>
  <dcterms:modified xsi:type="dcterms:W3CDTF">2013-12-23T23:15:00Z</dcterms:modified>
  <cp:category/>
</cp:coreProperties>
</file>