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b/>
          <w:sz w:val="34"/>
        </w:rPr>
        <w:t>Progressive Feature Engineering and Imbalanced Machine Learning for Credit Card Fraud Detection</w:t>
      </w:r>
    </w:p>
    <w:p>
      <w:pPr>
        <w:spacing w:after="0"/>
        <w:jc w:val="center"/>
      </w:pPr>
      <w:r>
        <w:rPr>
          <w:rFonts w:ascii="Times New Roman" w:hAnsi="Times New Roman"/>
          <w:b/>
          <w:sz w:val="18"/>
        </w:rPr>
        <w:t>First Author Name</w:t>
      </w:r>
    </w:p>
    <w:p>
      <w:pPr>
        <w:spacing w:after="0"/>
        <w:jc w:val="center"/>
      </w:pPr>
      <w:r>
        <w:rPr>
          <w:rFonts w:ascii="Times New Roman" w:hAnsi="Times New Roman"/>
          <w:b w:val="0"/>
          <w:sz w:val="18"/>
        </w:rPr>
        <w:t>Department or Faculty</w:t>
      </w:r>
    </w:p>
    <w:p>
      <w:pPr>
        <w:spacing w:after="0"/>
        <w:jc w:val="center"/>
      </w:pPr>
      <w:r>
        <w:rPr>
          <w:rFonts w:ascii="Times New Roman" w:hAnsi="Times New Roman"/>
          <w:b w:val="0"/>
          <w:sz w:val="18"/>
        </w:rPr>
        <w:t>Institution Name</w:t>
      </w:r>
    </w:p>
    <w:p>
      <w:pPr>
        <w:spacing w:after="0"/>
        <w:jc w:val="center"/>
      </w:pPr>
      <w:r>
        <w:rPr>
          <w:rFonts w:ascii="Times New Roman" w:hAnsi="Times New Roman"/>
          <w:b w:val="0"/>
          <w:sz w:val="18"/>
        </w:rPr>
        <w:t>City, Country</w:t>
      </w:r>
    </w:p>
    <w:p>
      <w:pPr>
        <w:spacing w:after="80"/>
        <w:jc w:val="center"/>
      </w:pPr>
      <w:hyperlink r:id="rId10">
        <w:r>
          <w:rPr>
            <w:color w:val="000000"/>
          </w:rPr>
          <w:t>email@example.com</w:t>
        </w:r>
      </w:hyperlink>
    </w:p>
    <w:p>
      <w:pPr>
        <w:keepLines w:val="0"/>
      </w:pPr>
    </w:p>
    <w:p>
      <w:pPr>
        <w:spacing w:after="0"/>
        <w:jc w:val="center"/>
      </w:pPr>
      <w:r>
        <w:rPr>
          <w:rFonts w:ascii="Times New Roman" w:hAnsi="Times New Roman"/>
          <w:b/>
          <w:sz w:val="18"/>
        </w:rPr>
        <w:t>Second Author Name</w:t>
      </w:r>
    </w:p>
    <w:p>
      <w:pPr>
        <w:spacing w:after="0"/>
        <w:jc w:val="center"/>
      </w:pPr>
      <w:r>
        <w:rPr>
          <w:rFonts w:ascii="Times New Roman" w:hAnsi="Times New Roman"/>
          <w:b w:val="0"/>
          <w:sz w:val="18"/>
        </w:rPr>
        <w:t>Department or Faculty</w:t>
      </w:r>
    </w:p>
    <w:p>
      <w:pPr>
        <w:spacing w:after="0"/>
        <w:jc w:val="center"/>
      </w:pPr>
      <w:r>
        <w:rPr>
          <w:rFonts w:ascii="Times New Roman" w:hAnsi="Times New Roman"/>
          <w:b w:val="0"/>
          <w:sz w:val="18"/>
        </w:rPr>
        <w:t>Institution Name</w:t>
      </w:r>
    </w:p>
    <w:p>
      <w:pPr>
        <w:spacing w:after="0"/>
        <w:jc w:val="center"/>
      </w:pPr>
      <w:r>
        <w:rPr>
          <w:rFonts w:ascii="Times New Roman" w:hAnsi="Times New Roman"/>
          <w:b w:val="0"/>
          <w:sz w:val="18"/>
        </w:rPr>
        <w:t>City, Country</w:t>
      </w:r>
    </w:p>
    <w:p>
      <w:pPr>
        <w:spacing w:after="80"/>
        <w:jc w:val="center"/>
      </w:pPr>
      <w:hyperlink r:id="rId10">
        <w:r>
          <w:rPr>
            <w:color w:val="000000"/>
          </w:rPr>
          <w:t>email@example.com</w:t>
        </w:r>
      </w:hyperlink>
    </w:p>
    <w:p>
      <w:pPr>
        <w:keepLines w:val="0"/>
      </w:pPr>
      <w:r>
        <w:rPr>
          <w:rFonts w:ascii="Times New Roman" w:hAnsi="Times New Roman"/>
          <w:b/>
          <w:i w:val="0"/>
          <w:sz w:val="20"/>
        </w:rPr>
        <w:t>Abstract</w:t>
      </w:r>
    </w:p>
    <w:p>
      <w:pPr>
        <w:keepLines/>
      </w:pPr>
      <w:r>
        <w:rPr>
          <w:rFonts w:ascii="Times New Roman" w:hAnsi="Times New Roman"/>
          <w:b w:val="0"/>
          <w:i w:val="0"/>
          <w:sz w:val="20"/>
        </w:rPr>
        <w:t>Credit card fraud detection is an imbalanced tabular classification problem in which minority-class performance is more informative than overall accuracy. This study evaluates researcher-generated synthetic transaction data containing 499,985 records, including 62,500 fraudulent and 437,485 legitimate transactions, for a fraud ratio of 12.5004%. Five progressively enriched dataset versions are constructed from the same cleaned transaction population. Logistic Regression, Decision Tree, Random Forest, XGBoost, and CatBoost models are evaluated under No-SMOTE and SMOTE settings using a stratified 60/20/20 train-validation-test split, 5-fold cross-validation on the training split, and PR-AUC, implemented as average precision, for hyperparameter tuning. At the default threshold, the strongest result is obtained by v3 SMOTE Random Forest, with precision 0.998525, recall 0.758080, fraud-class F1 0.861846, and PR-AUC 0.855235. After validation-based threshold tuning, the strongest operating point is v5 No-SMOTE Random Forest at threshold 0.80, with precision 0.999156, recall 0.758000, and fraud-class F1 0.862030. The results indicate that progressive feature engineering improves fraud-class performance and that the benefit of SMOTE is threshold-dependent. The findings are limited by the synthetic dataset, absence of external validation, and leakage-risk proxy indicators.</w:t>
      </w:r>
    </w:p>
    <w:p>
      <w:pPr>
        <w:keepLines w:val="0"/>
      </w:pPr>
      <w:r>
        <w:rPr>
          <w:rFonts w:ascii="Times New Roman" w:hAnsi="Times New Roman"/>
          <w:b/>
          <w:i w:val="0"/>
          <w:sz w:val="20"/>
        </w:rPr>
        <w:t>Keywords - credit card fraud detection; imbalanced classification; feature engineering; SMOTE; Random Forest; XGBoost; CatBoost; PR-AUC</w:t>
      </w:r>
    </w:p>
    <w:p>
      <w:pPr>
        <w:pStyle w:val="Heading1"/>
        <w:jc w:val="center"/>
      </w:pPr>
      <w:r>
        <w:t>I. INTRODUCTION</w:t>
      </w:r>
    </w:p>
    <w:p>
      <w:pPr>
        <w:pStyle w:val="Heading2"/>
      </w:pPr>
      <w:r>
        <w:t>A. Background and Motivation</w:t>
      </w:r>
    </w:p>
    <w:p>
      <w:pPr>
        <w:keepLines w:val="0"/>
      </w:pPr>
      <w:r>
        <w:rPr>
          <w:rFonts w:ascii="Times New Roman" w:hAnsi="Times New Roman"/>
          <w:b w:val="0"/>
          <w:i w:val="0"/>
          <w:sz w:val="20"/>
        </w:rPr>
        <w:t>Credit card fraud detection is commonly formulated as binary transaction classification, where fraudulent transactions are much less frequent than legitimate transactions but carry high analytic importance. In such settings, accuracy can be misleading because the majority class dominates aggregate error. Fraud-class precision, recall, F1, and PR-AUC are therefore central to evaluating model behavior [9]-[17].</w:t>
      </w:r>
    </w:p>
    <w:p>
      <w:pPr>
        <w:keepLines w:val="0"/>
      </w:pPr>
      <w:r>
        <w:rPr>
          <w:rFonts w:ascii="Times New Roman" w:hAnsi="Times New Roman"/>
          <w:b w:val="0"/>
          <w:i w:val="0"/>
          <w:sz w:val="20"/>
        </w:rPr>
        <w:t>This paper studies a controlled tabular machine-learning pipeline for fraud detection using a fixed synthetic transaction population. Fig. 1 summarizes the full workflow used to move from dataset preparation through model selection, test evaluation, and operating-threshold analysis.</w:t>
      </w:r>
    </w:p>
    <w:p>
      <w:pPr>
        <w:keepNext/>
        <w:spacing w:before="80" w:after="40"/>
        <w:jc w:val="center"/>
      </w:pPr>
      <w:r>
        <w:drawing>
          <wp:inline xmlns:a="http://schemas.openxmlformats.org/drawingml/2006/main" xmlns:pic="http://schemas.openxmlformats.org/drawingml/2006/picture">
            <wp:extent cx="4892040" cy="2464216"/>
            <wp:docPr id="1" name="Picture 1"/>
            <wp:cNvGraphicFramePr>
              <a:graphicFrameLocks noChangeAspect="1"/>
            </wp:cNvGraphicFramePr>
            <a:graphic>
              <a:graphicData uri="http://schemas.openxmlformats.org/drawingml/2006/picture">
                <pic:pic>
                  <pic:nvPicPr>
                    <pic:cNvPr id="0" name="figure1_experimental_pipeline.png"/>
                    <pic:cNvPicPr/>
                  </pic:nvPicPr>
                  <pic:blipFill>
                    <a:blip r:embed="rId11"/>
                    <a:stretch>
                      <a:fillRect/>
                    </a:stretch>
                  </pic:blipFill>
                  <pic:spPr>
                    <a:xfrm>
                      <a:off x="0" y="0"/>
                      <a:ext cx="4892040" cy="2464216"/>
                    </a:xfrm>
                    <a:prstGeom prst="rect"/>
                  </pic:spPr>
                </pic:pic>
              </a:graphicData>
            </a:graphic>
          </wp:inline>
        </w:drawing>
      </w:r>
    </w:p>
    <w:p>
      <w:pPr>
        <w:keepLines/>
        <w:spacing w:after="120"/>
        <w:jc w:val="center"/>
      </w:pPr>
      <w:r>
        <w:rPr>
          <w:rFonts w:ascii="Times New Roman" w:hAnsi="Times New Roman"/>
          <w:b/>
          <w:sz w:val="17"/>
        </w:rPr>
        <w:t>Fig. 1. Overall experimental pipeline.</w:t>
      </w:r>
    </w:p>
    <w:p>
      <w:pPr>
        <w:pStyle w:val="Heading2"/>
      </w:pPr>
      <w:r>
        <w:t>B. Research Gap</w:t>
      </w:r>
    </w:p>
    <w:p>
      <w:pPr>
        <w:keepLines w:val="0"/>
      </w:pPr>
      <w:r>
        <w:rPr>
          <w:rFonts w:ascii="Times New Roman" w:hAnsi="Times New Roman"/>
          <w:b w:val="0"/>
          <w:i w:val="0"/>
          <w:sz w:val="20"/>
        </w:rPr>
        <w:t>Many fraud-detection studies compare classifiers or resampling strategies, but fewer isolate the effect of progressive feature enrichment while holding the transaction population fixed. Without that control, performance changes can be confounded by different row counts, class ratios, or duplicate transactions.</w:t>
      </w:r>
    </w:p>
    <w:p>
      <w:pPr>
        <w:pStyle w:val="Heading2"/>
      </w:pPr>
      <w:r>
        <w:t>C. Contributions</w:t>
      </w:r>
    </w:p>
    <w:p>
      <w:pPr>
        <w:pStyle w:val="ListNumber"/>
        <w:spacing w:after="60"/>
        <w:ind w:left="360" w:hanging="259"/>
      </w:pPr>
      <w:r>
        <w:rPr>
          <w:rFonts w:ascii="Times New Roman" w:hAnsi="Times New Roman"/>
          <w:sz w:val="20"/>
        </w:rPr>
        <w:t>A five-version progressive feature engineering design using a fixed synthetic transaction population.</w:t>
      </w:r>
    </w:p>
    <w:p>
      <w:pPr>
        <w:pStyle w:val="ListNumber"/>
        <w:spacing w:after="60"/>
        <w:ind w:left="360" w:hanging="259"/>
      </w:pPr>
      <w:r>
        <w:rPr>
          <w:rFonts w:ascii="Times New Roman" w:hAnsi="Times New Roman"/>
          <w:sz w:val="20"/>
        </w:rPr>
        <w:t>A controlled comparison of five machine-learning models under No-SMOTE and SMOTE settings.</w:t>
      </w:r>
    </w:p>
    <w:p>
      <w:pPr>
        <w:pStyle w:val="ListNumber"/>
        <w:spacing w:after="60"/>
        <w:ind w:left="360" w:hanging="259"/>
      </w:pPr>
      <w:r>
        <w:rPr>
          <w:rFonts w:ascii="Times New Roman" w:hAnsi="Times New Roman"/>
          <w:sz w:val="20"/>
        </w:rPr>
        <w:t>A leakage-aware splitting and SMOTE placement strategy that keeps resampling inside the training pipeline.</w:t>
      </w:r>
    </w:p>
    <w:p>
      <w:pPr>
        <w:pStyle w:val="ListNumber"/>
        <w:spacing w:after="60"/>
        <w:ind w:left="360" w:hanging="259"/>
      </w:pPr>
      <w:r>
        <w:rPr>
          <w:rFonts w:ascii="Times New Roman" w:hAnsi="Times New Roman"/>
          <w:sz w:val="20"/>
        </w:rPr>
        <w:t>A default-threshold versus threshold-tuned comparison using validation-based operating-point selection.</w:t>
      </w:r>
    </w:p>
    <w:p>
      <w:pPr>
        <w:pStyle w:val="ListNumber"/>
        <w:spacing w:after="60"/>
        <w:ind w:left="360" w:hanging="259"/>
      </w:pPr>
      <w:r>
        <w:rPr>
          <w:rFonts w:ascii="Times New Roman" w:hAnsi="Times New Roman"/>
          <w:sz w:val="20"/>
        </w:rPr>
        <w:t>A reproducibility-focused package of datasets, metrics, figures, tables, and audit reports.</w:t>
      </w:r>
    </w:p>
    <w:p>
      <w:pPr>
        <w:keepLines w:val="0"/>
      </w:pPr>
      <w:r>
        <w:rPr>
          <w:rFonts w:ascii="Times New Roman" w:hAnsi="Times New Roman"/>
          <w:b w:val="0"/>
          <w:i w:val="0"/>
          <w:sz w:val="20"/>
        </w:rPr>
        <w:t>The paper does not claim evaluation on institutional transaction records, live decisioning, or external generalization. Claims are restricted to the repository evidence generated from the cleaned synthetic dataset.</w:t>
      </w:r>
    </w:p>
    <w:p>
      <w:pPr>
        <w:pStyle w:val="Heading2"/>
      </w:pPr>
      <w:r>
        <w:t>D. Paper Organization</w:t>
      </w:r>
    </w:p>
    <w:p>
      <w:pPr>
        <w:keepLines w:val="0"/>
      </w:pPr>
      <w:r>
        <w:rPr>
          <w:rFonts w:ascii="Times New Roman" w:hAnsi="Times New Roman"/>
          <w:b w:val="0"/>
          <w:i w:val="0"/>
          <w:sz w:val="20"/>
        </w:rPr>
        <w:t>Section II summarizes related work. Section III describes dataset construction and validation. Section IV details the methodology. Section V reports results. Section VI discusses implications. Section VII lists threats to validity. Section VIII provides data, ethics, funding, competing-interest, and author-contribution statements. Section IX concludes the paper.</w:t>
      </w:r>
    </w:p>
    <w:p>
      <w:pPr>
        <w:pStyle w:val="Heading1"/>
        <w:jc w:val="center"/>
      </w:pPr>
      <w:r>
        <w:t>II. RELATED WORK</w:t>
      </w:r>
    </w:p>
    <w:p>
      <w:pPr>
        <w:pStyle w:val="Heading2"/>
      </w:pPr>
      <w:r>
        <w:t>A. Rule-Based Fraud Detection</w:t>
      </w:r>
    </w:p>
    <w:p>
      <w:pPr>
        <w:keepLines w:val="0"/>
      </w:pPr>
      <w:r>
        <w:rPr>
          <w:rFonts w:ascii="Times New Roman" w:hAnsi="Times New Roman"/>
          <w:b w:val="0"/>
          <w:i w:val="0"/>
          <w:sz w:val="20"/>
        </w:rPr>
        <w:t>Rule-based fraud detection encodes expert knowledge through manually specified thresholds and transaction patterns. These systems can be interpretable, but they require updating as fraud patterns and transaction behavior change [1], [2].</w:t>
      </w:r>
    </w:p>
    <w:p>
      <w:pPr>
        <w:pStyle w:val="Heading2"/>
      </w:pPr>
      <w:r>
        <w:t>B. Machine Learning for Credit Card Fraud Detection</w:t>
      </w:r>
    </w:p>
    <w:p>
      <w:pPr>
        <w:keepLines w:val="0"/>
      </w:pPr>
      <w:r>
        <w:rPr>
          <w:rFonts w:ascii="Times New Roman" w:hAnsi="Times New Roman"/>
          <w:b w:val="0"/>
          <w:i w:val="0"/>
          <w:sz w:val="20"/>
        </w:rPr>
        <w:t>Prior credit-card fraud studies have evaluated linear models, tree methods, ensemble models, boosting, and sequence-oriented approaches [3]-[8]. This study focuses on tabular classifiers implemented in the repository: Logistic Regression, Decision Tree, Random Forest, XGBoost, and CatBoost.</w:t>
      </w:r>
    </w:p>
    <w:p>
      <w:pPr>
        <w:pStyle w:val="Heading2"/>
      </w:pPr>
      <w:r>
        <w:t>C. Imbalanced Learning and SMOTE</w:t>
      </w:r>
    </w:p>
    <w:p>
      <w:pPr>
        <w:keepLines w:val="0"/>
      </w:pPr>
      <w:r>
        <w:rPr>
          <w:rFonts w:ascii="Times New Roman" w:hAnsi="Times New Roman"/>
          <w:b w:val="0"/>
          <w:i w:val="0"/>
          <w:sz w:val="20"/>
        </w:rPr>
        <w:t>Imbalanced learning methods address the tendency of classifiers to favor the majority class [9]-[14]. SMOTE creates synthetic minority-class samples during training [9]. In this study, SMOTE is evaluated only as a training-pipeline condition, not as a preprocessing step before splitting.</w:t>
      </w:r>
    </w:p>
    <w:p>
      <w:pPr>
        <w:pStyle w:val="Heading2"/>
      </w:pPr>
      <w:r>
        <w:t>D. Feature Engineering for Tabular Fraud Detection</w:t>
      </w:r>
    </w:p>
    <w:p>
      <w:pPr>
        <w:keepLines w:val="0"/>
      </w:pPr>
      <w:r>
        <w:rPr>
          <w:rFonts w:ascii="Times New Roman" w:hAnsi="Times New Roman"/>
          <w:b w:val="0"/>
          <w:i w:val="0"/>
          <w:sz w:val="20"/>
        </w:rPr>
        <w:t>Feature engineering can convert raw transaction fields into more predictive indicators, including amount-derived, temporal, merchant-level, and card-level features [5], [29], [30]. The present study uses progressive dataset versions to evaluate how feature enrichment changes fraud-class performance.</w:t>
      </w:r>
    </w:p>
    <w:p>
      <w:pPr>
        <w:pStyle w:val="Heading2"/>
      </w:pPr>
      <w:r>
        <w:t>E. Evaluation Metrics for Imbalanced Classification</w:t>
      </w:r>
    </w:p>
    <w:p>
      <w:pPr>
        <w:keepLines w:val="0"/>
      </w:pPr>
      <w:r>
        <w:rPr>
          <w:rFonts w:ascii="Times New Roman" w:hAnsi="Times New Roman"/>
          <w:b w:val="0"/>
          <w:i w:val="0"/>
          <w:sz w:val="20"/>
        </w:rPr>
        <w:t>PR-AUC and fraud-class F1 are emphasized because ROC-AUC and accuracy may obscure minority-class behavior in imbalanced settings [15]-[17]. The repository uses average precision for hyperparameter tuning and validation fraud-class F1 for model-family selection.</w:t>
      </w:r>
    </w:p>
    <w:p>
      <w:pPr>
        <w:pStyle w:val="Heading1"/>
        <w:jc w:val="center"/>
      </w:pPr>
      <w:r>
        <w:t>III. DATASET CONSTRUCTION AND VALIDATION</w:t>
      </w:r>
    </w:p>
    <w:p>
      <w:pPr>
        <w:pStyle w:val="Heading2"/>
      </w:pPr>
      <w:r>
        <w:t>A. Dataset Generation and Cleaning</w:t>
      </w:r>
    </w:p>
    <w:p>
      <w:pPr>
        <w:keepLines w:val="0"/>
      </w:pPr>
      <w:r>
        <w:rPr>
          <w:rFonts w:ascii="Times New Roman" w:hAnsi="Times New Roman"/>
          <w:b w:val="0"/>
          <w:i w:val="0"/>
          <w:sz w:val="20"/>
        </w:rPr>
        <w:t>The dataset is researcher-generated synthetic transaction data. It is not claimed to be sourced from institutional card-issuer records. The raw merged provenance file contained 849,999 rows and 350,014 exact duplicate rows. That raw merged file is retained only for provenance and appendix-style audit use, not as an additional main experiment.</w:t>
      </w:r>
    </w:p>
    <w:p>
      <w:pPr>
        <w:keepLines w:val="0"/>
      </w:pPr>
      <w:r>
        <w:rPr>
          <w:rFonts w:ascii="Times New Roman" w:hAnsi="Times New Roman"/>
          <w:b w:val="0"/>
          <w:i w:val="0"/>
          <w:sz w:val="20"/>
        </w:rPr>
        <w:t>After cleaning and transaction-level de-duplication, the final master dataset contains 499,985 unique transactions. Fig. 2 summarizes the progressive version design.</w:t>
      </w:r>
    </w:p>
    <w:p>
      <w:pPr>
        <w:keepNext/>
        <w:spacing w:before="80" w:after="40"/>
        <w:jc w:val="center"/>
      </w:pPr>
      <w:r>
        <w:drawing>
          <wp:inline xmlns:a="http://schemas.openxmlformats.org/drawingml/2006/main" xmlns:pic="http://schemas.openxmlformats.org/drawingml/2006/picture">
            <wp:extent cx="5257800" cy="2519712"/>
            <wp:docPr id="2" name="Picture 2"/>
            <wp:cNvGraphicFramePr>
              <a:graphicFrameLocks noChangeAspect="1"/>
            </wp:cNvGraphicFramePr>
            <a:graphic>
              <a:graphicData uri="http://schemas.openxmlformats.org/drawingml/2006/picture">
                <pic:pic>
                  <pic:nvPicPr>
                    <pic:cNvPr id="0" name="figure2_dataset_version_progression.png"/>
                    <pic:cNvPicPr/>
                  </pic:nvPicPr>
                  <pic:blipFill>
                    <a:blip r:embed="rId12"/>
                    <a:stretch>
                      <a:fillRect/>
                    </a:stretch>
                  </pic:blipFill>
                  <pic:spPr>
                    <a:xfrm>
                      <a:off x="0" y="0"/>
                      <a:ext cx="5257800" cy="2519712"/>
                    </a:xfrm>
                    <a:prstGeom prst="rect"/>
                  </pic:spPr>
                </pic:pic>
              </a:graphicData>
            </a:graphic>
          </wp:inline>
        </w:drawing>
      </w:r>
    </w:p>
    <w:p>
      <w:pPr>
        <w:keepLines/>
        <w:spacing w:after="120"/>
        <w:jc w:val="center"/>
      </w:pPr>
      <w:r>
        <w:rPr>
          <w:rFonts w:ascii="Times New Roman" w:hAnsi="Times New Roman"/>
          <w:b/>
          <w:sz w:val="17"/>
        </w:rPr>
        <w:t>Fig. 2. Progressive dataset version design.</w:t>
      </w:r>
    </w:p>
    <w:p>
      <w:pPr>
        <w:keepNext/>
        <w:spacing w:before="100" w:after="0"/>
        <w:jc w:val="center"/>
      </w:pPr>
      <w:r>
        <w:rPr>
          <w:rFonts w:ascii="Times New Roman" w:hAnsi="Times New Roman"/>
          <w:b/>
          <w:sz w:val="18"/>
        </w:rPr>
        <w:t>TABLE I</w:t>
      </w:r>
    </w:p>
    <w:p>
      <w:pPr>
        <w:keepNext/>
        <w:spacing w:after="60"/>
        <w:jc w:val="center"/>
      </w:pPr>
      <w:r>
        <w:rPr>
          <w:rFonts w:ascii="Times New Roman" w:hAnsi="Times New Roman"/>
          <w:b/>
          <w:sz w:val="18"/>
        </w:rPr>
        <w:t>DATASET SUMMARY</w:t>
      </w:r>
    </w:p>
    <w:tbl>
      <w:tblPr>
        <w:tblStyle w:val="TableGrid"/>
        <w:tblW w:type="dxa" w:w="9360"/>
        <w:jc w:val="center"/>
        <w:tblLayout w:type="fixed"/>
        <w:tblLook w:firstColumn="1" w:firstRow="1" w:lastColumn="0" w:lastRow="0" w:noHBand="0" w:noVBand="1" w:val="04A0"/>
        <w:tblInd w:w="0" w:type="dxa"/>
      </w:tblPr>
      <w:tblGrid>
        <w:gridCol w:w="2700"/>
        <w:gridCol w:w="6660"/>
      </w:tblGrid>
      <w:tr>
        <w:trPr>
          <w:tblHeader w:val="true"/>
        </w:trPr>
        <w:tc>
          <w:tcPr>
            <w:tcW w:type="dxa" w:w="2700"/>
            <w:tcMar>
              <w:top w:w="80" w:type="dxa"/>
              <w:start w:w="100" w:type="dxa"/>
              <w:bottom w:w="80" w:type="dxa"/>
              <w:end w:w="100" w:type="dxa"/>
            </w:tcMar>
            <w:vAlign w:val="center"/>
            <w:shd w:fill="F2F2F2"/>
          </w:tcPr>
          <w:p>
            <w:pPr>
              <w:spacing w:after="0" w:line="240" w:lineRule="auto"/>
            </w:pPr>
            <w:r>
              <w:rPr>
                <w:rFonts w:ascii="Times New Roman" w:hAnsi="Times New Roman"/>
                <w:b/>
                <w:sz w:val="16"/>
              </w:rPr>
              <w:t>Property</w:t>
            </w:r>
          </w:p>
        </w:tc>
        <w:tc>
          <w:tcPr>
            <w:tcW w:type="dxa" w:w="6660"/>
            <w:tcMar>
              <w:top w:w="80" w:type="dxa"/>
              <w:start w:w="100" w:type="dxa"/>
              <w:bottom w:w="80" w:type="dxa"/>
              <w:end w:w="100" w:type="dxa"/>
            </w:tcMar>
            <w:vAlign w:val="center"/>
            <w:shd w:fill="F2F2F2"/>
          </w:tcPr>
          <w:p>
            <w:pPr>
              <w:spacing w:after="0" w:line="240" w:lineRule="auto"/>
              <w:jc w:val="center"/>
            </w:pPr>
            <w:r>
              <w:rPr>
                <w:rFonts w:ascii="Times New Roman" w:hAnsi="Times New Roman"/>
                <w:b/>
                <w:sz w:val="16"/>
              </w:rPr>
              <w:t>Value</w:t>
            </w:r>
          </w:p>
        </w:tc>
      </w:tr>
      <w:tr>
        <w:tc>
          <w:tcPr>
            <w:tcW w:type="dxa" w:w="2700"/>
            <w:tcMar>
              <w:top w:w="80" w:type="dxa"/>
              <w:start w:w="100" w:type="dxa"/>
              <w:bottom w:w="80" w:type="dxa"/>
              <w:end w:w="100" w:type="dxa"/>
            </w:tcMar>
            <w:vAlign w:val="center"/>
          </w:tcPr>
          <w:p>
            <w:pPr>
              <w:spacing w:after="0" w:line="240" w:lineRule="auto"/>
            </w:pPr>
            <w:r>
              <w:rPr>
                <w:rFonts w:ascii="Times New Roman" w:hAnsi="Times New Roman"/>
                <w:b w:val="0"/>
                <w:sz w:val="16"/>
              </w:rPr>
              <w:t>Dataset file</w:t>
            </w:r>
          </w:p>
        </w:tc>
        <w:tc>
          <w:tcPr>
            <w:tcW w:type="dxa" w:w="6660"/>
            <w:tcMar>
              <w:top w:w="80" w:type="dxa"/>
              <w:start w:w="100" w:type="dxa"/>
              <w:bottom w:w="80" w:type="dxa"/>
              <w:end w:w="100" w:type="dxa"/>
            </w:tcMar>
            <w:vAlign w:val="center"/>
          </w:tcPr>
          <w:p>
            <w:pPr>
              <w:spacing w:after="0" w:line="240" w:lineRule="auto"/>
            </w:pPr>
            <w:r>
              <w:rPr>
                <w:rFonts w:ascii="Times New Roman" w:hAnsi="Times New Roman"/>
                <w:b w:val="0"/>
                <w:sz w:val="16"/>
              </w:rPr>
              <w:t>data/research_master_dataset.csv</w:t>
            </w:r>
          </w:p>
        </w:tc>
      </w:tr>
      <w:tr>
        <w:tc>
          <w:tcPr>
            <w:tcW w:type="dxa" w:w="2700"/>
            <w:tcMar>
              <w:top w:w="80" w:type="dxa"/>
              <w:start w:w="100" w:type="dxa"/>
              <w:bottom w:w="80" w:type="dxa"/>
              <w:end w:w="100" w:type="dxa"/>
            </w:tcMar>
            <w:vAlign w:val="center"/>
          </w:tcPr>
          <w:p>
            <w:pPr>
              <w:spacing w:after="0" w:line="240" w:lineRule="auto"/>
            </w:pPr>
            <w:r>
              <w:rPr>
                <w:rFonts w:ascii="Times New Roman" w:hAnsi="Times New Roman"/>
                <w:b w:val="0"/>
                <w:sz w:val="16"/>
              </w:rPr>
              <w:t>Dataset type</w:t>
            </w:r>
          </w:p>
        </w:tc>
        <w:tc>
          <w:tcPr>
            <w:tcW w:type="dxa" w:w="6660"/>
            <w:tcMar>
              <w:top w:w="80" w:type="dxa"/>
              <w:start w:w="100" w:type="dxa"/>
              <w:bottom w:w="80" w:type="dxa"/>
              <w:end w:w="100" w:type="dxa"/>
            </w:tcMar>
            <w:vAlign w:val="center"/>
          </w:tcPr>
          <w:p>
            <w:pPr>
              <w:spacing w:after="0" w:line="240" w:lineRule="auto"/>
            </w:pPr>
            <w:r>
              <w:rPr>
                <w:rFonts w:ascii="Times New Roman" w:hAnsi="Times New Roman"/>
                <w:b w:val="0"/>
                <w:sz w:val="16"/>
              </w:rPr>
              <w:t>Researcher-generated synthetic transaction dataset</w:t>
            </w:r>
          </w:p>
        </w:tc>
      </w:tr>
      <w:tr>
        <w:tc>
          <w:tcPr>
            <w:tcW w:type="dxa" w:w="2700"/>
            <w:tcMar>
              <w:top w:w="80" w:type="dxa"/>
              <w:start w:w="100" w:type="dxa"/>
              <w:bottom w:w="80" w:type="dxa"/>
              <w:end w:w="100" w:type="dxa"/>
            </w:tcMar>
            <w:vAlign w:val="center"/>
          </w:tcPr>
          <w:p>
            <w:pPr>
              <w:spacing w:after="0" w:line="240" w:lineRule="auto"/>
            </w:pPr>
            <w:r>
              <w:rPr>
                <w:rFonts w:ascii="Times New Roman" w:hAnsi="Times New Roman"/>
                <w:b w:val="0"/>
                <w:sz w:val="16"/>
              </w:rPr>
              <w:t>Task</w:t>
            </w:r>
          </w:p>
        </w:tc>
        <w:tc>
          <w:tcPr>
            <w:tcW w:type="dxa" w:w="6660"/>
            <w:tcMar>
              <w:top w:w="80" w:type="dxa"/>
              <w:start w:w="100" w:type="dxa"/>
              <w:bottom w:w="80" w:type="dxa"/>
              <w:end w:w="100" w:type="dxa"/>
            </w:tcMar>
            <w:vAlign w:val="center"/>
          </w:tcPr>
          <w:p>
            <w:pPr>
              <w:spacing w:after="0" w:line="240" w:lineRule="auto"/>
            </w:pPr>
            <w:r>
              <w:rPr>
                <w:rFonts w:ascii="Times New Roman" w:hAnsi="Times New Roman"/>
                <w:b w:val="0"/>
                <w:sz w:val="16"/>
              </w:rPr>
              <w:t>Binary tabular classification</w:t>
            </w:r>
          </w:p>
        </w:tc>
      </w:tr>
      <w:tr>
        <w:tc>
          <w:tcPr>
            <w:tcW w:type="dxa" w:w="2700"/>
            <w:tcMar>
              <w:top w:w="80" w:type="dxa"/>
              <w:start w:w="100" w:type="dxa"/>
              <w:bottom w:w="80" w:type="dxa"/>
              <w:end w:w="100" w:type="dxa"/>
            </w:tcMar>
            <w:vAlign w:val="center"/>
          </w:tcPr>
          <w:p>
            <w:pPr>
              <w:spacing w:after="0" w:line="240" w:lineRule="auto"/>
            </w:pPr>
            <w:r>
              <w:rPr>
                <w:rFonts w:ascii="Times New Roman" w:hAnsi="Times New Roman"/>
                <w:b w:val="0"/>
                <w:sz w:val="16"/>
              </w:rPr>
              <w:t>Target label</w:t>
            </w:r>
          </w:p>
        </w:tc>
        <w:tc>
          <w:tcPr>
            <w:tcW w:type="dxa" w:w="6660"/>
            <w:tcMar>
              <w:top w:w="80" w:type="dxa"/>
              <w:start w:w="100" w:type="dxa"/>
              <w:bottom w:w="80" w:type="dxa"/>
              <w:end w:w="100" w:type="dxa"/>
            </w:tcMar>
            <w:vAlign w:val="center"/>
          </w:tcPr>
          <w:p>
            <w:pPr>
              <w:spacing w:after="0" w:line="240" w:lineRule="auto"/>
              <w:jc w:val="center"/>
            </w:pPr>
            <w:r>
              <w:rPr>
                <w:rFonts w:ascii="Times New Roman" w:hAnsi="Times New Roman"/>
                <w:b w:val="0"/>
                <w:sz w:val="16"/>
              </w:rPr>
              <w:t>FraudFlag</w:t>
            </w:r>
          </w:p>
        </w:tc>
      </w:tr>
      <w:tr>
        <w:tc>
          <w:tcPr>
            <w:tcW w:type="dxa" w:w="2700"/>
            <w:tcMar>
              <w:top w:w="80" w:type="dxa"/>
              <w:start w:w="100" w:type="dxa"/>
              <w:bottom w:w="80" w:type="dxa"/>
              <w:end w:w="100" w:type="dxa"/>
            </w:tcMar>
            <w:vAlign w:val="center"/>
          </w:tcPr>
          <w:p>
            <w:pPr>
              <w:spacing w:after="0" w:line="240" w:lineRule="auto"/>
            </w:pPr>
            <w:r>
              <w:rPr>
                <w:rFonts w:ascii="Times New Roman" w:hAnsi="Times New Roman"/>
                <w:b w:val="0"/>
                <w:sz w:val="16"/>
              </w:rPr>
              <w:t>Total transactions</w:t>
            </w:r>
          </w:p>
        </w:tc>
        <w:tc>
          <w:tcPr>
            <w:tcW w:type="dxa" w:w="6660"/>
            <w:tcMar>
              <w:top w:w="80" w:type="dxa"/>
              <w:start w:w="100" w:type="dxa"/>
              <w:bottom w:w="80" w:type="dxa"/>
              <w:end w:w="100" w:type="dxa"/>
            </w:tcMar>
            <w:vAlign w:val="center"/>
          </w:tcPr>
          <w:p>
            <w:pPr>
              <w:spacing w:after="0" w:line="240" w:lineRule="auto"/>
              <w:jc w:val="center"/>
            </w:pPr>
            <w:r>
              <w:rPr>
                <w:rFonts w:ascii="Times New Roman" w:hAnsi="Times New Roman"/>
                <w:b w:val="0"/>
                <w:sz w:val="16"/>
              </w:rPr>
              <w:t>499,985</w:t>
            </w:r>
          </w:p>
        </w:tc>
      </w:tr>
      <w:tr>
        <w:tc>
          <w:tcPr>
            <w:tcW w:type="dxa" w:w="2700"/>
            <w:tcMar>
              <w:top w:w="80" w:type="dxa"/>
              <w:start w:w="100" w:type="dxa"/>
              <w:bottom w:w="80" w:type="dxa"/>
              <w:end w:w="100" w:type="dxa"/>
            </w:tcMar>
            <w:vAlign w:val="center"/>
          </w:tcPr>
          <w:p>
            <w:pPr>
              <w:spacing w:after="0" w:line="240" w:lineRule="auto"/>
            </w:pPr>
            <w:r>
              <w:rPr>
                <w:rFonts w:ascii="Times New Roman" w:hAnsi="Times New Roman"/>
                <w:b w:val="0"/>
                <w:sz w:val="16"/>
              </w:rPr>
              <w:t>Fraud transactions</w:t>
            </w:r>
          </w:p>
        </w:tc>
        <w:tc>
          <w:tcPr>
            <w:tcW w:type="dxa" w:w="6660"/>
            <w:tcMar>
              <w:top w:w="80" w:type="dxa"/>
              <w:start w:w="100" w:type="dxa"/>
              <w:bottom w:w="80" w:type="dxa"/>
              <w:end w:w="100" w:type="dxa"/>
            </w:tcMar>
            <w:vAlign w:val="center"/>
          </w:tcPr>
          <w:p>
            <w:pPr>
              <w:spacing w:after="0" w:line="240" w:lineRule="auto"/>
              <w:jc w:val="center"/>
            </w:pPr>
            <w:r>
              <w:rPr>
                <w:rFonts w:ascii="Times New Roman" w:hAnsi="Times New Roman"/>
                <w:b w:val="0"/>
                <w:sz w:val="16"/>
              </w:rPr>
              <w:t>62,500</w:t>
            </w:r>
          </w:p>
        </w:tc>
      </w:tr>
      <w:tr>
        <w:tc>
          <w:tcPr>
            <w:tcW w:type="dxa" w:w="2700"/>
            <w:tcMar>
              <w:top w:w="80" w:type="dxa"/>
              <w:start w:w="100" w:type="dxa"/>
              <w:bottom w:w="80" w:type="dxa"/>
              <w:end w:w="100" w:type="dxa"/>
            </w:tcMar>
            <w:vAlign w:val="center"/>
          </w:tcPr>
          <w:p>
            <w:pPr>
              <w:spacing w:after="0" w:line="240" w:lineRule="auto"/>
            </w:pPr>
            <w:r>
              <w:rPr>
                <w:rFonts w:ascii="Times New Roman" w:hAnsi="Times New Roman"/>
                <w:b w:val="0"/>
                <w:sz w:val="16"/>
              </w:rPr>
              <w:t>Legitimate transactions</w:t>
            </w:r>
          </w:p>
        </w:tc>
        <w:tc>
          <w:tcPr>
            <w:tcW w:type="dxa" w:w="6660"/>
            <w:tcMar>
              <w:top w:w="80" w:type="dxa"/>
              <w:start w:w="100" w:type="dxa"/>
              <w:bottom w:w="80" w:type="dxa"/>
              <w:end w:w="100" w:type="dxa"/>
            </w:tcMar>
            <w:vAlign w:val="center"/>
          </w:tcPr>
          <w:p>
            <w:pPr>
              <w:spacing w:after="0" w:line="240" w:lineRule="auto"/>
              <w:jc w:val="center"/>
            </w:pPr>
            <w:r>
              <w:rPr>
                <w:rFonts w:ascii="Times New Roman" w:hAnsi="Times New Roman"/>
                <w:b w:val="0"/>
                <w:sz w:val="16"/>
              </w:rPr>
              <w:t>437,485</w:t>
            </w:r>
          </w:p>
        </w:tc>
      </w:tr>
      <w:tr>
        <w:tc>
          <w:tcPr>
            <w:tcW w:type="dxa" w:w="2700"/>
            <w:tcMar>
              <w:top w:w="80" w:type="dxa"/>
              <w:start w:w="100" w:type="dxa"/>
              <w:bottom w:w="80" w:type="dxa"/>
              <w:end w:w="100" w:type="dxa"/>
            </w:tcMar>
            <w:vAlign w:val="center"/>
          </w:tcPr>
          <w:p>
            <w:pPr>
              <w:spacing w:after="0" w:line="240" w:lineRule="auto"/>
            </w:pPr>
            <w:r>
              <w:rPr>
                <w:rFonts w:ascii="Times New Roman" w:hAnsi="Times New Roman"/>
                <w:b w:val="0"/>
                <w:sz w:val="16"/>
              </w:rPr>
              <w:t>Fraud ratio</w:t>
            </w:r>
          </w:p>
        </w:tc>
        <w:tc>
          <w:tcPr>
            <w:tcW w:type="dxa" w:w="6660"/>
            <w:tcMar>
              <w:top w:w="80" w:type="dxa"/>
              <w:start w:w="100" w:type="dxa"/>
              <w:bottom w:w="80" w:type="dxa"/>
              <w:end w:w="100" w:type="dxa"/>
            </w:tcMar>
            <w:vAlign w:val="center"/>
          </w:tcPr>
          <w:p>
            <w:pPr>
              <w:spacing w:after="0" w:line="240" w:lineRule="auto"/>
              <w:jc w:val="center"/>
            </w:pPr>
            <w:r>
              <w:rPr>
                <w:rFonts w:ascii="Times New Roman" w:hAnsi="Times New Roman"/>
                <w:b w:val="0"/>
                <w:sz w:val="16"/>
              </w:rPr>
              <w:t>12.5004%</w:t>
            </w:r>
          </w:p>
        </w:tc>
      </w:tr>
      <w:tr>
        <w:tc>
          <w:tcPr>
            <w:tcW w:type="dxa" w:w="2700"/>
            <w:tcMar>
              <w:top w:w="80" w:type="dxa"/>
              <w:start w:w="100" w:type="dxa"/>
              <w:bottom w:w="80" w:type="dxa"/>
              <w:end w:w="100" w:type="dxa"/>
            </w:tcMar>
            <w:vAlign w:val="center"/>
          </w:tcPr>
          <w:p>
            <w:pPr>
              <w:spacing w:after="0" w:line="240" w:lineRule="auto"/>
            </w:pPr>
            <w:r>
              <w:rPr>
                <w:rFonts w:ascii="Times New Roman" w:hAnsi="Times New Roman"/>
                <w:b w:val="0"/>
                <w:sz w:val="16"/>
              </w:rPr>
              <w:t>Missing values in final datasets</w:t>
            </w:r>
          </w:p>
        </w:tc>
        <w:tc>
          <w:tcPr>
            <w:tcW w:type="dxa" w:w="6660"/>
            <w:tcMar>
              <w:top w:w="80" w:type="dxa"/>
              <w:start w:w="100" w:type="dxa"/>
              <w:bottom w:w="80" w:type="dxa"/>
              <w:end w:w="100" w:type="dxa"/>
            </w:tcMar>
            <w:vAlign w:val="center"/>
          </w:tcPr>
          <w:p>
            <w:pPr>
              <w:spacing w:after="0" w:line="240" w:lineRule="auto"/>
              <w:jc w:val="center"/>
            </w:pPr>
            <w:r>
              <w:rPr>
                <w:rFonts w:ascii="Times New Roman" w:hAnsi="Times New Roman"/>
                <w:b w:val="0"/>
                <w:sz w:val="16"/>
              </w:rPr>
              <w:t>0</w:t>
            </w:r>
          </w:p>
        </w:tc>
      </w:tr>
      <w:tr>
        <w:tc>
          <w:tcPr>
            <w:tcW w:type="dxa" w:w="2700"/>
            <w:tcMar>
              <w:top w:w="80" w:type="dxa"/>
              <w:start w:w="100" w:type="dxa"/>
              <w:bottom w:w="80" w:type="dxa"/>
              <w:end w:w="100" w:type="dxa"/>
            </w:tcMar>
            <w:vAlign w:val="center"/>
          </w:tcPr>
          <w:p>
            <w:pPr>
              <w:spacing w:after="0" w:line="240" w:lineRule="auto"/>
            </w:pPr>
            <w:r>
              <w:rPr>
                <w:rFonts w:ascii="Times New Roman" w:hAnsi="Times New Roman"/>
                <w:b w:val="0"/>
                <w:sz w:val="16"/>
              </w:rPr>
              <w:t>Exact duplicate rows in final datasets</w:t>
            </w:r>
          </w:p>
        </w:tc>
        <w:tc>
          <w:tcPr>
            <w:tcW w:type="dxa" w:w="6660"/>
            <w:tcMar>
              <w:top w:w="80" w:type="dxa"/>
              <w:start w:w="100" w:type="dxa"/>
              <w:bottom w:w="80" w:type="dxa"/>
              <w:end w:w="100" w:type="dxa"/>
            </w:tcMar>
            <w:vAlign w:val="center"/>
          </w:tcPr>
          <w:p>
            <w:pPr>
              <w:spacing w:after="0" w:line="240" w:lineRule="auto"/>
              <w:jc w:val="center"/>
            </w:pPr>
            <w:r>
              <w:rPr>
                <w:rFonts w:ascii="Times New Roman" w:hAnsi="Times New Roman"/>
                <w:b w:val="0"/>
                <w:sz w:val="16"/>
              </w:rPr>
              <w:t>0</w:t>
            </w:r>
          </w:p>
        </w:tc>
      </w:tr>
      <w:tr>
        <w:tc>
          <w:tcPr>
            <w:tcW w:type="dxa" w:w="2700"/>
            <w:tcMar>
              <w:top w:w="80" w:type="dxa"/>
              <w:start w:w="100" w:type="dxa"/>
              <w:bottom w:w="80" w:type="dxa"/>
              <w:end w:w="100" w:type="dxa"/>
            </w:tcMar>
            <w:vAlign w:val="center"/>
          </w:tcPr>
          <w:p>
            <w:pPr>
              <w:spacing w:after="0" w:line="240" w:lineRule="auto"/>
            </w:pPr>
            <w:r>
              <w:rPr>
                <w:rFonts w:ascii="Times New Roman" w:hAnsi="Times New Roman"/>
                <w:b w:val="0"/>
                <w:sz w:val="16"/>
              </w:rPr>
              <w:t>Duplicate TransactionID values in final datasets</w:t>
            </w:r>
          </w:p>
        </w:tc>
        <w:tc>
          <w:tcPr>
            <w:tcW w:type="dxa" w:w="6660"/>
            <w:tcMar>
              <w:top w:w="80" w:type="dxa"/>
              <w:start w:w="100" w:type="dxa"/>
              <w:bottom w:w="80" w:type="dxa"/>
              <w:end w:w="100" w:type="dxa"/>
            </w:tcMar>
            <w:vAlign w:val="center"/>
          </w:tcPr>
          <w:p>
            <w:pPr>
              <w:spacing w:after="0" w:line="240" w:lineRule="auto"/>
              <w:jc w:val="center"/>
            </w:pPr>
            <w:r>
              <w:rPr>
                <w:rFonts w:ascii="Times New Roman" w:hAnsi="Times New Roman"/>
                <w:b w:val="0"/>
                <w:sz w:val="16"/>
              </w:rPr>
              <w:t>0</w:t>
            </w:r>
          </w:p>
        </w:tc>
      </w:tr>
      <w:tr>
        <w:tc>
          <w:tcPr>
            <w:tcW w:type="dxa" w:w="2700"/>
            <w:tcMar>
              <w:top w:w="80" w:type="dxa"/>
              <w:start w:w="100" w:type="dxa"/>
              <w:bottom w:w="80" w:type="dxa"/>
              <w:end w:w="100" w:type="dxa"/>
            </w:tcMar>
            <w:vAlign w:val="center"/>
          </w:tcPr>
          <w:p>
            <w:pPr>
              <w:spacing w:after="0" w:line="240" w:lineRule="auto"/>
            </w:pPr>
            <w:r>
              <w:rPr>
                <w:rFonts w:ascii="Times New Roman" w:hAnsi="Times New Roman"/>
                <w:b w:val="0"/>
                <w:sz w:val="16"/>
              </w:rPr>
              <w:t>Language-processing features</w:t>
            </w:r>
          </w:p>
        </w:tc>
        <w:tc>
          <w:tcPr>
            <w:tcW w:type="dxa" w:w="6660"/>
            <w:tcMar>
              <w:top w:w="80" w:type="dxa"/>
              <w:start w:w="100" w:type="dxa"/>
              <w:bottom w:w="80" w:type="dxa"/>
              <w:end w:w="100" w:type="dxa"/>
            </w:tcMar>
            <w:vAlign w:val="center"/>
          </w:tcPr>
          <w:p>
            <w:pPr>
              <w:spacing w:after="0" w:line="240" w:lineRule="auto"/>
              <w:jc w:val="center"/>
            </w:pPr>
            <w:r>
              <w:rPr>
                <w:rFonts w:ascii="Times New Roman" w:hAnsi="Times New Roman"/>
                <w:b w:val="0"/>
                <w:sz w:val="16"/>
              </w:rPr>
              <w:t>Not present</w:t>
            </w:r>
          </w:p>
        </w:tc>
      </w:tr>
    </w:tbl>
    <w:p>
      <w:pPr>
        <w:spacing w:after="60"/>
      </w:pPr>
    </w:p>
    <w:p>
      <w:pPr>
        <w:pStyle w:val="Heading2"/>
      </w:pPr>
      <w:r>
        <w:t>B. Dataset Audit and Integrity Checks</w:t>
      </w:r>
    </w:p>
    <w:p>
      <w:pPr>
        <w:keepLines w:val="0"/>
      </w:pPr>
      <w:r>
        <w:rPr>
          <w:rFonts w:ascii="Times New Roman" w:hAnsi="Times New Roman"/>
          <w:b w:val="0"/>
          <w:i w:val="0"/>
          <w:sz w:val="20"/>
        </w:rPr>
        <w:t>The final datasets contain no missing values, no exact duplicate rows, and no duplicate TransactionID values according to the repository validation summary. TransactionID is a deterministic synthetic identifier used for reproducibility and overlap checks; it is excluded from modeling. FraudFlag is the binary target label and is also excluded from the feature matrix.</w:t>
      </w:r>
    </w:p>
    <w:p>
      <w:pPr>
        <w:pStyle w:val="Heading2"/>
      </w:pPr>
      <w:r>
        <w:t>C. Class Distribution</w:t>
      </w:r>
    </w:p>
    <w:p>
      <w:pPr>
        <w:keepLines w:val="0"/>
      </w:pPr>
      <w:r>
        <w:rPr>
          <w:rFonts w:ascii="Times New Roman" w:hAnsi="Times New Roman"/>
          <w:b w:val="0"/>
          <w:i w:val="0"/>
          <w:sz w:val="20"/>
        </w:rPr>
        <w:t>The cleaned dataset contains 62,500 fraudulent transactions and 437,485 legitimate transactions. This corresponds to a fraud ratio of 12.5004%, as shown in Fig. 3.</w:t>
      </w:r>
    </w:p>
    <w:p>
      <w:pPr>
        <w:keepNext/>
        <w:spacing w:before="80" w:after="40"/>
        <w:jc w:val="center"/>
      </w:pPr>
      <w:r>
        <w:drawing>
          <wp:inline xmlns:a="http://schemas.openxmlformats.org/drawingml/2006/main" xmlns:pic="http://schemas.openxmlformats.org/drawingml/2006/picture">
            <wp:extent cx="4800600" cy="3019848"/>
            <wp:docPr id="3" name="Picture 3"/>
            <wp:cNvGraphicFramePr>
              <a:graphicFrameLocks noChangeAspect="1"/>
            </wp:cNvGraphicFramePr>
            <a:graphic>
              <a:graphicData uri="http://schemas.openxmlformats.org/drawingml/2006/picture">
                <pic:pic>
                  <pic:nvPicPr>
                    <pic:cNvPr id="0" name="figure3_class_distribution.png"/>
                    <pic:cNvPicPr/>
                  </pic:nvPicPr>
                  <pic:blipFill>
                    <a:blip r:embed="rId13"/>
                    <a:stretch>
                      <a:fillRect/>
                    </a:stretch>
                  </pic:blipFill>
                  <pic:spPr>
                    <a:xfrm>
                      <a:off x="0" y="0"/>
                      <a:ext cx="4800600" cy="3019848"/>
                    </a:xfrm>
                    <a:prstGeom prst="rect"/>
                  </pic:spPr>
                </pic:pic>
              </a:graphicData>
            </a:graphic>
          </wp:inline>
        </w:drawing>
      </w:r>
    </w:p>
    <w:p>
      <w:pPr>
        <w:keepLines/>
        <w:spacing w:after="120"/>
        <w:jc w:val="center"/>
      </w:pPr>
      <w:r>
        <w:rPr>
          <w:rFonts w:ascii="Times New Roman" w:hAnsi="Times New Roman"/>
          <w:b/>
          <w:sz w:val="17"/>
        </w:rPr>
        <w:t>Fig. 3. Class distribution of the cleaned synthetic transaction dataset.</w:t>
      </w:r>
    </w:p>
    <w:p>
      <w:pPr>
        <w:pStyle w:val="Heading2"/>
      </w:pPr>
      <w:r>
        <w:t>D. Progressive Dataset Versions</w:t>
      </w:r>
    </w:p>
    <w:p>
      <w:pPr>
        <w:keepLines w:val="0"/>
      </w:pPr>
      <w:r>
        <w:rPr>
          <w:rFonts w:ascii="Times New Roman" w:hAnsi="Times New Roman"/>
          <w:b w:val="0"/>
          <w:i w:val="0"/>
          <w:sz w:val="20"/>
        </w:rPr>
        <w:t>The five dataset versions use the same transaction population. This improves experimental control because differences across v1-v5 reflect feature availability rather than changes in row count, duplicate exposure, or class balance. Table II summarizes the version design.</w:t>
      </w:r>
    </w:p>
    <w:p>
      <w:pPr>
        <w:keepNext/>
        <w:spacing w:before="100" w:after="0"/>
        <w:jc w:val="center"/>
      </w:pPr>
      <w:r>
        <w:rPr>
          <w:rFonts w:ascii="Times New Roman" w:hAnsi="Times New Roman"/>
          <w:b/>
          <w:sz w:val="18"/>
        </w:rPr>
        <w:t>TABLE II</w:t>
      </w:r>
    </w:p>
    <w:p>
      <w:pPr>
        <w:keepNext/>
        <w:spacing w:after="60"/>
        <w:jc w:val="center"/>
      </w:pPr>
      <w:r>
        <w:rPr>
          <w:rFonts w:ascii="Times New Roman" w:hAnsi="Times New Roman"/>
          <w:b/>
          <w:sz w:val="18"/>
        </w:rPr>
        <w:t>PROGRESSIVE DATASET VERSIONS</w:t>
      </w:r>
    </w:p>
    <w:tbl>
      <w:tblPr>
        <w:tblStyle w:val="TableGrid"/>
        <w:tblW w:type="dxa" w:w="9360"/>
        <w:jc w:val="center"/>
        <w:tblLayout w:type="fixed"/>
        <w:tblLook w:firstColumn="1" w:firstRow="1" w:lastColumn="0" w:lastRow="0" w:noHBand="0" w:noVBand="1" w:val="04A0"/>
        <w:tblInd w:w="0" w:type="dxa"/>
      </w:tblPr>
      <w:tblGrid>
        <w:gridCol w:w="820"/>
        <w:gridCol w:w="900"/>
        <w:gridCol w:w="900"/>
        <w:gridCol w:w="3550"/>
        <w:gridCol w:w="3190"/>
      </w:tblGrid>
      <w:tr>
        <w:trPr>
          <w:tblHeader w:val="true"/>
        </w:trPr>
        <w:tc>
          <w:tcPr>
            <w:tcW w:type="dxa" w:w="820"/>
            <w:tcMar>
              <w:top w:w="80" w:type="dxa"/>
              <w:start w:w="100" w:type="dxa"/>
              <w:bottom w:w="80" w:type="dxa"/>
              <w:end w:w="100" w:type="dxa"/>
            </w:tcMar>
            <w:vAlign w:val="center"/>
            <w:shd w:fill="F2F2F2"/>
          </w:tcPr>
          <w:p>
            <w:pPr>
              <w:spacing w:after="0" w:line="240" w:lineRule="auto"/>
            </w:pPr>
            <w:r>
              <w:rPr>
                <w:rFonts w:ascii="Times New Roman" w:hAnsi="Times New Roman"/>
                <w:b/>
                <w:sz w:val="15"/>
              </w:rPr>
              <w:t>Version</w:t>
            </w:r>
          </w:p>
        </w:tc>
        <w:tc>
          <w:tcPr>
            <w:tcW w:type="dxa" w:w="900"/>
            <w:tcMar>
              <w:top w:w="80" w:type="dxa"/>
              <w:start w:w="100" w:type="dxa"/>
              <w:bottom w:w="80" w:type="dxa"/>
              <w:end w:w="100" w:type="dxa"/>
            </w:tcMar>
            <w:vAlign w:val="center"/>
            <w:shd w:fill="F2F2F2"/>
          </w:tcPr>
          <w:p>
            <w:pPr>
              <w:spacing w:after="0" w:line="240" w:lineRule="auto"/>
              <w:jc w:val="center"/>
            </w:pPr>
            <w:r>
              <w:rPr>
                <w:rFonts w:ascii="Times New Roman" w:hAnsi="Times New Roman"/>
                <w:b/>
                <w:sz w:val="15"/>
              </w:rPr>
              <w:t>Rows</w:t>
            </w:r>
          </w:p>
        </w:tc>
        <w:tc>
          <w:tcPr>
            <w:tcW w:type="dxa" w:w="900"/>
            <w:tcMar>
              <w:top w:w="80" w:type="dxa"/>
              <w:start w:w="100" w:type="dxa"/>
              <w:bottom w:w="80" w:type="dxa"/>
              <w:end w:w="100" w:type="dxa"/>
            </w:tcMar>
            <w:vAlign w:val="center"/>
            <w:shd w:fill="F2F2F2"/>
          </w:tcPr>
          <w:p>
            <w:pPr>
              <w:spacing w:after="0" w:line="240" w:lineRule="auto"/>
              <w:jc w:val="center"/>
            </w:pPr>
            <w:r>
              <w:rPr>
                <w:rFonts w:ascii="Times New Roman" w:hAnsi="Times New Roman"/>
                <w:b/>
                <w:sz w:val="15"/>
              </w:rPr>
              <w:t>Columns</w:t>
            </w:r>
          </w:p>
        </w:tc>
        <w:tc>
          <w:tcPr>
            <w:tcW w:type="dxa" w:w="3550"/>
            <w:tcMar>
              <w:top w:w="80" w:type="dxa"/>
              <w:start w:w="100" w:type="dxa"/>
              <w:bottom w:w="80" w:type="dxa"/>
              <w:end w:w="100" w:type="dxa"/>
            </w:tcMar>
            <w:vAlign w:val="center"/>
            <w:shd w:fill="F2F2F2"/>
          </w:tcPr>
          <w:p>
            <w:pPr>
              <w:spacing w:after="0" w:line="240" w:lineRule="auto"/>
            </w:pPr>
            <w:r>
              <w:rPr>
                <w:rFonts w:ascii="Times New Roman" w:hAnsi="Times New Roman"/>
                <w:b/>
                <w:sz w:val="15"/>
              </w:rPr>
              <w:t>Added Feature Group</w:t>
            </w:r>
          </w:p>
        </w:tc>
        <w:tc>
          <w:tcPr>
            <w:tcW w:type="dxa" w:w="3190"/>
            <w:tcMar>
              <w:top w:w="80" w:type="dxa"/>
              <w:start w:w="100" w:type="dxa"/>
              <w:bottom w:w="80" w:type="dxa"/>
              <w:end w:w="100" w:type="dxa"/>
            </w:tcMar>
            <w:vAlign w:val="center"/>
            <w:shd w:fill="F2F2F2"/>
          </w:tcPr>
          <w:p>
            <w:pPr>
              <w:spacing w:after="0" w:line="240" w:lineRule="auto"/>
              <w:jc w:val="center"/>
            </w:pPr>
            <w:r>
              <w:rPr>
                <w:rFonts w:ascii="Times New Roman" w:hAnsi="Times New Roman"/>
                <w:b/>
                <w:sz w:val="15"/>
              </w:rPr>
              <w:t>Purpose</w:t>
            </w:r>
          </w:p>
        </w:tc>
      </w:tr>
      <w:tr>
        <w:tc>
          <w:tcPr>
            <w:tcW w:type="dxa" w:w="820"/>
            <w:tcMar>
              <w:top w:w="80" w:type="dxa"/>
              <w:start w:w="100" w:type="dxa"/>
              <w:bottom w:w="80" w:type="dxa"/>
              <w:end w:w="100" w:type="dxa"/>
            </w:tcMar>
            <w:vAlign w:val="center"/>
          </w:tcPr>
          <w:p>
            <w:pPr>
              <w:spacing w:after="0" w:line="240" w:lineRule="auto"/>
            </w:pPr>
            <w:r>
              <w:rPr>
                <w:rFonts w:ascii="Times New Roman" w:hAnsi="Times New Roman"/>
                <w:b w:val="0"/>
                <w:sz w:val="15"/>
              </w:rPr>
              <w:t>v1</w:t>
            </w:r>
          </w:p>
        </w:tc>
        <w:tc>
          <w:tcPr>
            <w:tcW w:type="dxa" w:w="900"/>
            <w:tcMar>
              <w:top w:w="80" w:type="dxa"/>
              <w:start w:w="100" w:type="dxa"/>
              <w:bottom w:w="80" w:type="dxa"/>
              <w:end w:w="100" w:type="dxa"/>
            </w:tcMar>
            <w:vAlign w:val="center"/>
          </w:tcPr>
          <w:p>
            <w:pPr>
              <w:spacing w:after="0" w:line="240" w:lineRule="auto"/>
              <w:jc w:val="center"/>
            </w:pPr>
            <w:r>
              <w:rPr>
                <w:rFonts w:ascii="Times New Roman" w:hAnsi="Times New Roman"/>
                <w:b w:val="0"/>
                <w:sz w:val="15"/>
              </w:rPr>
              <w:t>499,985</w:t>
            </w:r>
          </w:p>
        </w:tc>
        <w:tc>
          <w:tcPr>
            <w:tcW w:type="dxa" w:w="900"/>
            <w:tcMar>
              <w:top w:w="80" w:type="dxa"/>
              <w:start w:w="100" w:type="dxa"/>
              <w:bottom w:w="80" w:type="dxa"/>
              <w:end w:w="100" w:type="dxa"/>
            </w:tcMar>
            <w:vAlign w:val="center"/>
          </w:tcPr>
          <w:p>
            <w:pPr>
              <w:spacing w:after="0" w:line="240" w:lineRule="auto"/>
              <w:jc w:val="center"/>
            </w:pPr>
            <w:r>
              <w:rPr>
                <w:rFonts w:ascii="Times New Roman" w:hAnsi="Times New Roman"/>
                <w:b w:val="0"/>
                <w:sz w:val="15"/>
              </w:rPr>
              <w:t>8</w:t>
            </w:r>
          </w:p>
        </w:tc>
        <w:tc>
          <w:tcPr>
            <w:tcW w:type="dxa" w:w="3550"/>
            <w:tcMar>
              <w:top w:w="80" w:type="dxa"/>
              <w:start w:w="100" w:type="dxa"/>
              <w:bottom w:w="80" w:type="dxa"/>
              <w:end w:w="100" w:type="dxa"/>
            </w:tcMar>
            <w:vAlign w:val="center"/>
          </w:tcPr>
          <w:p>
            <w:pPr>
              <w:spacing w:after="0" w:line="240" w:lineRule="auto"/>
            </w:pPr>
            <w:r>
              <w:rPr>
                <w:rFonts w:ascii="Times New Roman" w:hAnsi="Times New Roman"/>
                <w:b w:val="0"/>
                <w:sz w:val="15"/>
              </w:rPr>
              <w:t>Baseline transaction, categorical, and time fields</w:t>
            </w:r>
          </w:p>
        </w:tc>
        <w:tc>
          <w:tcPr>
            <w:tcW w:type="dxa" w:w="3190"/>
            <w:tcMar>
              <w:top w:w="80" w:type="dxa"/>
              <w:start w:w="100" w:type="dxa"/>
              <w:bottom w:w="80" w:type="dxa"/>
              <w:end w:w="100" w:type="dxa"/>
            </w:tcMar>
            <w:vAlign w:val="center"/>
          </w:tcPr>
          <w:p>
            <w:pPr>
              <w:spacing w:after="0" w:line="240" w:lineRule="auto"/>
            </w:pPr>
            <w:r>
              <w:rPr>
                <w:rFonts w:ascii="Times New Roman" w:hAnsi="Times New Roman"/>
                <w:b w:val="0"/>
                <w:sz w:val="15"/>
              </w:rPr>
              <w:t>Baseline comparator</w:t>
            </w:r>
          </w:p>
        </w:tc>
      </w:tr>
      <w:tr>
        <w:tc>
          <w:tcPr>
            <w:tcW w:type="dxa" w:w="820"/>
            <w:tcMar>
              <w:top w:w="80" w:type="dxa"/>
              <w:start w:w="100" w:type="dxa"/>
              <w:bottom w:w="80" w:type="dxa"/>
              <w:end w:w="100" w:type="dxa"/>
            </w:tcMar>
            <w:vAlign w:val="center"/>
          </w:tcPr>
          <w:p>
            <w:pPr>
              <w:spacing w:after="0" w:line="240" w:lineRule="auto"/>
            </w:pPr>
            <w:r>
              <w:rPr>
                <w:rFonts w:ascii="Times New Roman" w:hAnsi="Times New Roman"/>
                <w:b w:val="0"/>
                <w:sz w:val="15"/>
              </w:rPr>
              <w:t>v2</w:t>
            </w:r>
          </w:p>
        </w:tc>
        <w:tc>
          <w:tcPr>
            <w:tcW w:type="dxa" w:w="900"/>
            <w:tcMar>
              <w:top w:w="80" w:type="dxa"/>
              <w:start w:w="100" w:type="dxa"/>
              <w:bottom w:w="80" w:type="dxa"/>
              <w:end w:w="100" w:type="dxa"/>
            </w:tcMar>
            <w:vAlign w:val="center"/>
          </w:tcPr>
          <w:p>
            <w:pPr>
              <w:spacing w:after="0" w:line="240" w:lineRule="auto"/>
              <w:jc w:val="center"/>
            </w:pPr>
            <w:r>
              <w:rPr>
                <w:rFonts w:ascii="Times New Roman" w:hAnsi="Times New Roman"/>
                <w:b w:val="0"/>
                <w:sz w:val="15"/>
              </w:rPr>
              <w:t>499,985</w:t>
            </w:r>
          </w:p>
        </w:tc>
        <w:tc>
          <w:tcPr>
            <w:tcW w:type="dxa" w:w="900"/>
            <w:tcMar>
              <w:top w:w="80" w:type="dxa"/>
              <w:start w:w="100" w:type="dxa"/>
              <w:bottom w:w="80" w:type="dxa"/>
              <w:end w:w="100" w:type="dxa"/>
            </w:tcMar>
            <w:vAlign w:val="center"/>
          </w:tcPr>
          <w:p>
            <w:pPr>
              <w:spacing w:after="0" w:line="240" w:lineRule="auto"/>
              <w:jc w:val="center"/>
            </w:pPr>
            <w:r>
              <w:rPr>
                <w:rFonts w:ascii="Times New Roman" w:hAnsi="Times New Roman"/>
                <w:b w:val="0"/>
                <w:sz w:val="15"/>
              </w:rPr>
              <w:t>11</w:t>
            </w:r>
          </w:p>
        </w:tc>
        <w:tc>
          <w:tcPr>
            <w:tcW w:type="dxa" w:w="3550"/>
            <w:tcMar>
              <w:top w:w="80" w:type="dxa"/>
              <w:start w:w="100" w:type="dxa"/>
              <w:bottom w:w="80" w:type="dxa"/>
              <w:end w:w="100" w:type="dxa"/>
            </w:tcMar>
            <w:vAlign w:val="center"/>
          </w:tcPr>
          <w:p>
            <w:pPr>
              <w:spacing w:after="0" w:line="240" w:lineRule="auto"/>
            </w:pPr>
            <w:r>
              <w:rPr>
                <w:rFonts w:ascii="Times New Roman" w:hAnsi="Times New Roman"/>
                <w:b w:val="0"/>
                <w:sz w:val="15"/>
              </w:rPr>
              <w:t>High-amount flag, night-transaction flag, subcategory</w:t>
            </w:r>
          </w:p>
        </w:tc>
        <w:tc>
          <w:tcPr>
            <w:tcW w:type="dxa" w:w="3190"/>
            <w:tcMar>
              <w:top w:w="80" w:type="dxa"/>
              <w:start w:w="100" w:type="dxa"/>
              <w:bottom w:w="80" w:type="dxa"/>
              <w:end w:w="100" w:type="dxa"/>
            </w:tcMar>
            <w:vAlign w:val="center"/>
          </w:tcPr>
          <w:p>
            <w:pPr>
              <w:spacing w:after="0" w:line="240" w:lineRule="auto"/>
            </w:pPr>
            <w:r>
              <w:rPr>
                <w:rFonts w:ascii="Times New Roman" w:hAnsi="Times New Roman"/>
                <w:b w:val="0"/>
                <w:sz w:val="15"/>
              </w:rPr>
              <w:t>Assess simple risk indicators</w:t>
            </w:r>
          </w:p>
        </w:tc>
      </w:tr>
      <w:tr>
        <w:tc>
          <w:tcPr>
            <w:tcW w:type="dxa" w:w="820"/>
            <w:tcMar>
              <w:top w:w="80" w:type="dxa"/>
              <w:start w:w="100" w:type="dxa"/>
              <w:bottom w:w="80" w:type="dxa"/>
              <w:end w:w="100" w:type="dxa"/>
            </w:tcMar>
            <w:vAlign w:val="center"/>
          </w:tcPr>
          <w:p>
            <w:pPr>
              <w:spacing w:after="0" w:line="240" w:lineRule="auto"/>
            </w:pPr>
            <w:r>
              <w:rPr>
                <w:rFonts w:ascii="Times New Roman" w:hAnsi="Times New Roman"/>
                <w:b w:val="0"/>
                <w:sz w:val="15"/>
              </w:rPr>
              <w:t>v3</w:t>
            </w:r>
          </w:p>
        </w:tc>
        <w:tc>
          <w:tcPr>
            <w:tcW w:type="dxa" w:w="900"/>
            <w:tcMar>
              <w:top w:w="80" w:type="dxa"/>
              <w:start w:w="100" w:type="dxa"/>
              <w:bottom w:w="80" w:type="dxa"/>
              <w:end w:w="100" w:type="dxa"/>
            </w:tcMar>
            <w:vAlign w:val="center"/>
          </w:tcPr>
          <w:p>
            <w:pPr>
              <w:spacing w:after="0" w:line="240" w:lineRule="auto"/>
              <w:jc w:val="center"/>
            </w:pPr>
            <w:r>
              <w:rPr>
                <w:rFonts w:ascii="Times New Roman" w:hAnsi="Times New Roman"/>
                <w:b w:val="0"/>
                <w:sz w:val="15"/>
              </w:rPr>
              <w:t>499,985</w:t>
            </w:r>
          </w:p>
        </w:tc>
        <w:tc>
          <w:tcPr>
            <w:tcW w:type="dxa" w:w="900"/>
            <w:tcMar>
              <w:top w:w="80" w:type="dxa"/>
              <w:start w:w="100" w:type="dxa"/>
              <w:bottom w:w="80" w:type="dxa"/>
              <w:end w:w="100" w:type="dxa"/>
            </w:tcMar>
            <w:vAlign w:val="center"/>
          </w:tcPr>
          <w:p>
            <w:pPr>
              <w:spacing w:after="0" w:line="240" w:lineRule="auto"/>
              <w:jc w:val="center"/>
            </w:pPr>
            <w:r>
              <w:rPr>
                <w:rFonts w:ascii="Times New Roman" w:hAnsi="Times New Roman"/>
                <w:b w:val="0"/>
                <w:sz w:val="15"/>
              </w:rPr>
              <w:t>13</w:t>
            </w:r>
          </w:p>
        </w:tc>
        <w:tc>
          <w:tcPr>
            <w:tcW w:type="dxa" w:w="3550"/>
            <w:tcMar>
              <w:top w:w="80" w:type="dxa"/>
              <w:start w:w="100" w:type="dxa"/>
              <w:bottom w:w="80" w:type="dxa"/>
              <w:end w:w="100" w:type="dxa"/>
            </w:tcMar>
            <w:vAlign w:val="center"/>
          </w:tcPr>
          <w:p>
            <w:pPr>
              <w:spacing w:after="0" w:line="240" w:lineRule="auto"/>
            </w:pPr>
            <w:r>
              <w:rPr>
                <w:rFonts w:ascii="Times New Roman" w:hAnsi="Times New Roman"/>
                <w:b w:val="0"/>
                <w:sz w:val="15"/>
              </w:rPr>
              <w:t>Merchant-risk and card-risk indicators</w:t>
            </w:r>
          </w:p>
        </w:tc>
        <w:tc>
          <w:tcPr>
            <w:tcW w:type="dxa" w:w="3190"/>
            <w:tcMar>
              <w:top w:w="80" w:type="dxa"/>
              <w:start w:w="100" w:type="dxa"/>
              <w:bottom w:w="80" w:type="dxa"/>
              <w:end w:w="100" w:type="dxa"/>
            </w:tcMar>
            <w:vAlign w:val="center"/>
          </w:tcPr>
          <w:p>
            <w:pPr>
              <w:spacing w:after="0" w:line="240" w:lineRule="auto"/>
            </w:pPr>
            <w:r>
              <w:rPr>
                <w:rFonts w:ascii="Times New Roman" w:hAnsi="Times New Roman"/>
                <w:b w:val="0"/>
                <w:sz w:val="15"/>
              </w:rPr>
              <w:t>Assess proxy risk enrichment</w:t>
            </w:r>
          </w:p>
        </w:tc>
      </w:tr>
      <w:tr>
        <w:tc>
          <w:tcPr>
            <w:tcW w:type="dxa" w:w="820"/>
            <w:tcMar>
              <w:top w:w="80" w:type="dxa"/>
              <w:start w:w="100" w:type="dxa"/>
              <w:bottom w:w="80" w:type="dxa"/>
              <w:end w:w="100" w:type="dxa"/>
            </w:tcMar>
            <w:vAlign w:val="center"/>
          </w:tcPr>
          <w:p>
            <w:pPr>
              <w:spacing w:after="0" w:line="240" w:lineRule="auto"/>
            </w:pPr>
            <w:r>
              <w:rPr>
                <w:rFonts w:ascii="Times New Roman" w:hAnsi="Times New Roman"/>
                <w:b w:val="0"/>
                <w:sz w:val="15"/>
              </w:rPr>
              <w:t>v4</w:t>
            </w:r>
          </w:p>
        </w:tc>
        <w:tc>
          <w:tcPr>
            <w:tcW w:type="dxa" w:w="900"/>
            <w:tcMar>
              <w:top w:w="80" w:type="dxa"/>
              <w:start w:w="100" w:type="dxa"/>
              <w:bottom w:w="80" w:type="dxa"/>
              <w:end w:w="100" w:type="dxa"/>
            </w:tcMar>
            <w:vAlign w:val="center"/>
          </w:tcPr>
          <w:p>
            <w:pPr>
              <w:spacing w:after="0" w:line="240" w:lineRule="auto"/>
              <w:jc w:val="center"/>
            </w:pPr>
            <w:r>
              <w:rPr>
                <w:rFonts w:ascii="Times New Roman" w:hAnsi="Times New Roman"/>
                <w:b w:val="0"/>
                <w:sz w:val="15"/>
              </w:rPr>
              <w:t>499,985</w:t>
            </w:r>
          </w:p>
        </w:tc>
        <w:tc>
          <w:tcPr>
            <w:tcW w:type="dxa" w:w="900"/>
            <w:tcMar>
              <w:top w:w="80" w:type="dxa"/>
              <w:start w:w="100" w:type="dxa"/>
              <w:bottom w:w="80" w:type="dxa"/>
              <w:end w:w="100" w:type="dxa"/>
            </w:tcMar>
            <w:vAlign w:val="center"/>
          </w:tcPr>
          <w:p>
            <w:pPr>
              <w:spacing w:after="0" w:line="240" w:lineRule="auto"/>
              <w:jc w:val="center"/>
            </w:pPr>
            <w:r>
              <w:rPr>
                <w:rFonts w:ascii="Times New Roman" w:hAnsi="Times New Roman"/>
                <w:b w:val="0"/>
                <w:sz w:val="15"/>
              </w:rPr>
              <w:t>21</w:t>
            </w:r>
          </w:p>
        </w:tc>
        <w:tc>
          <w:tcPr>
            <w:tcW w:type="dxa" w:w="3550"/>
            <w:tcMar>
              <w:top w:w="80" w:type="dxa"/>
              <w:start w:w="100" w:type="dxa"/>
              <w:bottom w:w="80" w:type="dxa"/>
              <w:end w:w="100" w:type="dxa"/>
            </w:tcMar>
            <w:vAlign w:val="center"/>
          </w:tcPr>
          <w:p>
            <w:pPr>
              <w:spacing w:after="0" w:line="240" w:lineRule="auto"/>
            </w:pPr>
            <w:r>
              <w:rPr>
                <w:rFonts w:ascii="Times New Roman" w:hAnsi="Times New Roman"/>
                <w:b w:val="0"/>
                <w:sz w:val="15"/>
              </w:rPr>
              <w:t>Amount and time engineered features</w:t>
            </w:r>
          </w:p>
        </w:tc>
        <w:tc>
          <w:tcPr>
            <w:tcW w:type="dxa" w:w="3190"/>
            <w:tcMar>
              <w:top w:w="80" w:type="dxa"/>
              <w:start w:w="100" w:type="dxa"/>
              <w:bottom w:w="80" w:type="dxa"/>
              <w:end w:w="100" w:type="dxa"/>
            </w:tcMar>
            <w:vAlign w:val="center"/>
          </w:tcPr>
          <w:p>
            <w:pPr>
              <w:spacing w:after="0" w:line="240" w:lineRule="auto"/>
            </w:pPr>
            <w:r>
              <w:rPr>
                <w:rFonts w:ascii="Times New Roman" w:hAnsi="Times New Roman"/>
                <w:b w:val="0"/>
                <w:sz w:val="15"/>
              </w:rPr>
              <w:t>Assess advanced engineered predictors</w:t>
            </w:r>
          </w:p>
        </w:tc>
      </w:tr>
      <w:tr>
        <w:tc>
          <w:tcPr>
            <w:tcW w:type="dxa" w:w="820"/>
            <w:tcMar>
              <w:top w:w="80" w:type="dxa"/>
              <w:start w:w="100" w:type="dxa"/>
              <w:bottom w:w="80" w:type="dxa"/>
              <w:end w:w="100" w:type="dxa"/>
            </w:tcMar>
            <w:vAlign w:val="center"/>
          </w:tcPr>
          <w:p>
            <w:pPr>
              <w:spacing w:after="0" w:line="240" w:lineRule="auto"/>
            </w:pPr>
            <w:r>
              <w:rPr>
                <w:rFonts w:ascii="Times New Roman" w:hAnsi="Times New Roman"/>
                <w:b w:val="0"/>
                <w:sz w:val="15"/>
              </w:rPr>
              <w:t>v5</w:t>
            </w:r>
          </w:p>
        </w:tc>
        <w:tc>
          <w:tcPr>
            <w:tcW w:type="dxa" w:w="900"/>
            <w:tcMar>
              <w:top w:w="80" w:type="dxa"/>
              <w:start w:w="100" w:type="dxa"/>
              <w:bottom w:w="80" w:type="dxa"/>
              <w:end w:w="100" w:type="dxa"/>
            </w:tcMar>
            <w:vAlign w:val="center"/>
          </w:tcPr>
          <w:p>
            <w:pPr>
              <w:spacing w:after="0" w:line="240" w:lineRule="auto"/>
              <w:jc w:val="center"/>
            </w:pPr>
            <w:r>
              <w:rPr>
                <w:rFonts w:ascii="Times New Roman" w:hAnsi="Times New Roman"/>
                <w:b w:val="0"/>
                <w:sz w:val="15"/>
              </w:rPr>
              <w:t>499,985</w:t>
            </w:r>
          </w:p>
        </w:tc>
        <w:tc>
          <w:tcPr>
            <w:tcW w:type="dxa" w:w="900"/>
            <w:tcMar>
              <w:top w:w="80" w:type="dxa"/>
              <w:start w:w="100" w:type="dxa"/>
              <w:bottom w:w="80" w:type="dxa"/>
              <w:end w:w="100" w:type="dxa"/>
            </w:tcMar>
            <w:vAlign w:val="center"/>
          </w:tcPr>
          <w:p>
            <w:pPr>
              <w:spacing w:after="0" w:line="240" w:lineRule="auto"/>
              <w:jc w:val="center"/>
            </w:pPr>
            <w:r>
              <w:rPr>
                <w:rFonts w:ascii="Times New Roman" w:hAnsi="Times New Roman"/>
                <w:b w:val="0"/>
                <w:sz w:val="15"/>
              </w:rPr>
              <w:t>23</w:t>
            </w:r>
          </w:p>
        </w:tc>
        <w:tc>
          <w:tcPr>
            <w:tcW w:type="dxa" w:w="3550"/>
            <w:tcMar>
              <w:top w:w="80" w:type="dxa"/>
              <w:start w:w="100" w:type="dxa"/>
              <w:bottom w:w="80" w:type="dxa"/>
              <w:end w:w="100" w:type="dxa"/>
            </w:tcMar>
            <w:vAlign w:val="center"/>
          </w:tcPr>
          <w:p>
            <w:pPr>
              <w:spacing w:after="0" w:line="240" w:lineRule="auto"/>
            </w:pPr>
            <w:r>
              <w:rPr>
                <w:rFonts w:ascii="Times New Roman" w:hAnsi="Times New Roman"/>
                <w:b w:val="0"/>
                <w:sz w:val="15"/>
              </w:rPr>
              <w:t>Night-high-amount flag and composite risk score</w:t>
            </w:r>
          </w:p>
        </w:tc>
        <w:tc>
          <w:tcPr>
            <w:tcW w:type="dxa" w:w="3190"/>
            <w:tcMar>
              <w:top w:w="80" w:type="dxa"/>
              <w:start w:w="100" w:type="dxa"/>
              <w:bottom w:w="80" w:type="dxa"/>
              <w:end w:w="100" w:type="dxa"/>
            </w:tcMar>
            <w:vAlign w:val="center"/>
          </w:tcPr>
          <w:p>
            <w:pPr>
              <w:spacing w:after="0" w:line="240" w:lineRule="auto"/>
            </w:pPr>
            <w:r>
              <w:rPr>
                <w:rFonts w:ascii="Times New Roman" w:hAnsi="Times New Roman"/>
                <w:b w:val="0"/>
                <w:sz w:val="15"/>
              </w:rPr>
              <w:t>Assess full engineered feature set</w:t>
            </w:r>
          </w:p>
        </w:tc>
      </w:tr>
    </w:tbl>
    <w:p>
      <w:pPr>
        <w:spacing w:after="60"/>
      </w:pPr>
    </w:p>
    <w:p>
      <w:pPr>
        <w:pStyle w:val="Heading2"/>
      </w:pPr>
      <w:r>
        <w:t>E. Feature Exclusion and Leakage Controls</w:t>
      </w:r>
    </w:p>
    <w:p>
      <w:pPr>
        <w:keepLines w:val="0"/>
      </w:pPr>
      <w:r>
        <w:rPr>
          <w:rFonts w:ascii="Times New Roman" w:hAnsi="Times New Roman"/>
          <w:b w:val="0"/>
          <w:i w:val="0"/>
          <w:sz w:val="20"/>
        </w:rPr>
        <w:t>The active pipeline excludes FraudFlag, TransactionID, Time, DayOfWeek, Month, IsWeekend, and IsWeekendDerived from model features. MerchantRisk and CardRisk are retained only in v3+ as documented synthetic proxy indicators, and the manuscript treats them as leakage-risk features requiring caution. The synthetic nature of the data also limits external validity because observed performance may not transfer to independently collected transaction streams.</w:t>
      </w:r>
    </w:p>
    <w:p>
      <w:pPr>
        <w:pStyle w:val="Heading1"/>
        <w:jc w:val="center"/>
      </w:pPr>
      <w:r>
        <w:t>IV. METHODOLOGY</w:t>
      </w:r>
    </w:p>
    <w:p>
      <w:pPr>
        <w:pStyle w:val="Heading2"/>
      </w:pPr>
      <w:r>
        <w:t>A. Experimental Pipeline</w:t>
      </w:r>
    </w:p>
    <w:p>
      <w:pPr>
        <w:keepLines w:val="0"/>
      </w:pPr>
      <w:r>
        <w:rPr>
          <w:rFonts w:ascii="Times New Roman" w:hAnsi="Times New Roman"/>
          <w:b w:val="0"/>
          <w:i w:val="0"/>
          <w:sz w:val="20"/>
        </w:rPr>
        <w:t>The experimental pipeline follows Fig. 1. Datasets are validated first, then each version is processed through preprocessing, model tuning, validation selection, untouched test reporting, SMOTE comparison, and threshold tuning.</w:t>
      </w:r>
    </w:p>
    <w:p>
      <w:pPr>
        <w:keepNext/>
        <w:spacing w:before="100" w:after="0"/>
        <w:jc w:val="center"/>
      </w:pPr>
      <w:r>
        <w:rPr>
          <w:rFonts w:ascii="Times New Roman" w:hAnsi="Times New Roman"/>
          <w:b/>
          <w:sz w:val="18"/>
        </w:rPr>
        <w:t>TABLE III</w:t>
      </w:r>
    </w:p>
    <w:p>
      <w:pPr>
        <w:keepNext/>
        <w:spacing w:after="60"/>
        <w:jc w:val="center"/>
      </w:pPr>
      <w:r>
        <w:rPr>
          <w:rFonts w:ascii="Times New Roman" w:hAnsi="Times New Roman"/>
          <w:b/>
          <w:sz w:val="18"/>
        </w:rPr>
        <w:t>EXPERIMENTAL CONFIGURATION</w:t>
      </w:r>
    </w:p>
    <w:tbl>
      <w:tblPr>
        <w:tblStyle w:val="TableGrid"/>
        <w:tblW w:type="dxa" w:w="9360"/>
        <w:jc w:val="center"/>
        <w:tblLayout w:type="fixed"/>
        <w:tblLook w:firstColumn="1" w:firstRow="1" w:lastColumn="0" w:lastRow="0" w:noHBand="0" w:noVBand="1" w:val="04A0"/>
        <w:tblInd w:w="0" w:type="dxa"/>
      </w:tblPr>
      <w:tblGrid>
        <w:gridCol w:w="2700"/>
        <w:gridCol w:w="6660"/>
      </w:tblGrid>
      <w:tr>
        <w:trPr>
          <w:tblHeader w:val="true"/>
        </w:trPr>
        <w:tc>
          <w:tcPr>
            <w:tcW w:type="dxa" w:w="2700"/>
            <w:tcMar>
              <w:top w:w="80" w:type="dxa"/>
              <w:start w:w="100" w:type="dxa"/>
              <w:bottom w:w="80" w:type="dxa"/>
              <w:end w:w="100" w:type="dxa"/>
            </w:tcMar>
            <w:vAlign w:val="center"/>
            <w:shd w:fill="F2F2F2"/>
          </w:tcPr>
          <w:p>
            <w:pPr>
              <w:spacing w:after="0" w:line="240" w:lineRule="auto"/>
            </w:pPr>
            <w:r>
              <w:rPr>
                <w:rFonts w:ascii="Times New Roman" w:hAnsi="Times New Roman"/>
                <w:b/>
                <w:sz w:val="16"/>
              </w:rPr>
              <w:t>Component</w:t>
            </w:r>
          </w:p>
        </w:tc>
        <w:tc>
          <w:tcPr>
            <w:tcW w:type="dxa" w:w="6660"/>
            <w:tcMar>
              <w:top w:w="80" w:type="dxa"/>
              <w:start w:w="100" w:type="dxa"/>
              <w:bottom w:w="80" w:type="dxa"/>
              <w:end w:w="100" w:type="dxa"/>
            </w:tcMar>
            <w:vAlign w:val="center"/>
            <w:shd w:fill="F2F2F2"/>
          </w:tcPr>
          <w:p>
            <w:pPr>
              <w:spacing w:after="0" w:line="240" w:lineRule="auto"/>
              <w:jc w:val="center"/>
            </w:pPr>
            <w:r>
              <w:rPr>
                <w:rFonts w:ascii="Times New Roman" w:hAnsi="Times New Roman"/>
                <w:b/>
                <w:sz w:val="16"/>
              </w:rPr>
              <w:t>Configuration</w:t>
            </w:r>
          </w:p>
        </w:tc>
      </w:tr>
      <w:tr>
        <w:tc>
          <w:tcPr>
            <w:tcW w:type="dxa" w:w="2700"/>
            <w:tcMar>
              <w:top w:w="80" w:type="dxa"/>
              <w:start w:w="100" w:type="dxa"/>
              <w:bottom w:w="80" w:type="dxa"/>
              <w:end w:w="100" w:type="dxa"/>
            </w:tcMar>
            <w:vAlign w:val="center"/>
          </w:tcPr>
          <w:p>
            <w:pPr>
              <w:spacing w:after="0" w:line="240" w:lineRule="auto"/>
            </w:pPr>
            <w:r>
              <w:rPr>
                <w:rFonts w:ascii="Times New Roman" w:hAnsi="Times New Roman"/>
                <w:b w:val="0"/>
                <w:sz w:val="16"/>
              </w:rPr>
              <w:t>Split strategy</w:t>
            </w:r>
          </w:p>
        </w:tc>
        <w:tc>
          <w:tcPr>
            <w:tcW w:type="dxa" w:w="6660"/>
            <w:tcMar>
              <w:top w:w="80" w:type="dxa"/>
              <w:start w:w="100" w:type="dxa"/>
              <w:bottom w:w="80" w:type="dxa"/>
              <w:end w:w="100" w:type="dxa"/>
            </w:tcMar>
            <w:vAlign w:val="center"/>
          </w:tcPr>
          <w:p>
            <w:pPr>
              <w:spacing w:after="0" w:line="240" w:lineRule="auto"/>
            </w:pPr>
            <w:r>
              <w:rPr>
                <w:rFonts w:ascii="Times New Roman" w:hAnsi="Times New Roman"/>
                <w:b w:val="0"/>
                <w:sz w:val="16"/>
              </w:rPr>
              <w:t>Stratified train/validation/test split</w:t>
            </w:r>
          </w:p>
        </w:tc>
      </w:tr>
      <w:tr>
        <w:tc>
          <w:tcPr>
            <w:tcW w:type="dxa" w:w="2700"/>
            <w:tcMar>
              <w:top w:w="80" w:type="dxa"/>
              <w:start w:w="100" w:type="dxa"/>
              <w:bottom w:w="80" w:type="dxa"/>
              <w:end w:w="100" w:type="dxa"/>
            </w:tcMar>
            <w:vAlign w:val="center"/>
          </w:tcPr>
          <w:p>
            <w:pPr>
              <w:spacing w:after="0" w:line="240" w:lineRule="auto"/>
            </w:pPr>
            <w:r>
              <w:rPr>
                <w:rFonts w:ascii="Times New Roman" w:hAnsi="Times New Roman"/>
                <w:b w:val="0"/>
                <w:sz w:val="16"/>
              </w:rPr>
              <w:t>Split ratio</w:t>
            </w:r>
          </w:p>
        </w:tc>
        <w:tc>
          <w:tcPr>
            <w:tcW w:type="dxa" w:w="6660"/>
            <w:tcMar>
              <w:top w:w="80" w:type="dxa"/>
              <w:start w:w="100" w:type="dxa"/>
              <w:bottom w:w="80" w:type="dxa"/>
              <w:end w:w="100" w:type="dxa"/>
            </w:tcMar>
            <w:vAlign w:val="center"/>
          </w:tcPr>
          <w:p>
            <w:pPr>
              <w:spacing w:after="0" w:line="240" w:lineRule="auto"/>
              <w:jc w:val="center"/>
            </w:pPr>
            <w:r>
              <w:rPr>
                <w:rFonts w:ascii="Times New Roman" w:hAnsi="Times New Roman"/>
                <w:b w:val="0"/>
                <w:sz w:val="16"/>
              </w:rPr>
              <w:t>60/20/20</w:t>
            </w:r>
          </w:p>
        </w:tc>
      </w:tr>
      <w:tr>
        <w:tc>
          <w:tcPr>
            <w:tcW w:type="dxa" w:w="2700"/>
            <w:tcMar>
              <w:top w:w="80" w:type="dxa"/>
              <w:start w:w="100" w:type="dxa"/>
              <w:bottom w:w="80" w:type="dxa"/>
              <w:end w:w="100" w:type="dxa"/>
            </w:tcMar>
            <w:vAlign w:val="center"/>
          </w:tcPr>
          <w:p>
            <w:pPr>
              <w:spacing w:after="0" w:line="240" w:lineRule="auto"/>
            </w:pPr>
            <w:r>
              <w:rPr>
                <w:rFonts w:ascii="Times New Roman" w:hAnsi="Times New Roman"/>
                <w:b w:val="0"/>
                <w:sz w:val="16"/>
              </w:rPr>
              <w:t>Training records</w:t>
            </w:r>
          </w:p>
        </w:tc>
        <w:tc>
          <w:tcPr>
            <w:tcW w:type="dxa" w:w="6660"/>
            <w:tcMar>
              <w:top w:w="80" w:type="dxa"/>
              <w:start w:w="100" w:type="dxa"/>
              <w:bottom w:w="80" w:type="dxa"/>
              <w:end w:w="100" w:type="dxa"/>
            </w:tcMar>
            <w:vAlign w:val="center"/>
          </w:tcPr>
          <w:p>
            <w:pPr>
              <w:spacing w:after="0" w:line="240" w:lineRule="auto"/>
              <w:jc w:val="center"/>
            </w:pPr>
            <w:r>
              <w:rPr>
                <w:rFonts w:ascii="Times New Roman" w:hAnsi="Times New Roman"/>
                <w:b w:val="0"/>
                <w:sz w:val="16"/>
              </w:rPr>
              <w:t>299,991</w:t>
            </w:r>
          </w:p>
        </w:tc>
      </w:tr>
      <w:tr>
        <w:tc>
          <w:tcPr>
            <w:tcW w:type="dxa" w:w="2700"/>
            <w:tcMar>
              <w:top w:w="80" w:type="dxa"/>
              <w:start w:w="100" w:type="dxa"/>
              <w:bottom w:w="80" w:type="dxa"/>
              <w:end w:w="100" w:type="dxa"/>
            </w:tcMar>
            <w:vAlign w:val="center"/>
          </w:tcPr>
          <w:p>
            <w:pPr>
              <w:spacing w:after="0" w:line="240" w:lineRule="auto"/>
            </w:pPr>
            <w:r>
              <w:rPr>
                <w:rFonts w:ascii="Times New Roman" w:hAnsi="Times New Roman"/>
                <w:b w:val="0"/>
                <w:sz w:val="16"/>
              </w:rPr>
              <w:t>Validation records</w:t>
            </w:r>
          </w:p>
        </w:tc>
        <w:tc>
          <w:tcPr>
            <w:tcW w:type="dxa" w:w="6660"/>
            <w:tcMar>
              <w:top w:w="80" w:type="dxa"/>
              <w:start w:w="100" w:type="dxa"/>
              <w:bottom w:w="80" w:type="dxa"/>
              <w:end w:w="100" w:type="dxa"/>
            </w:tcMar>
            <w:vAlign w:val="center"/>
          </w:tcPr>
          <w:p>
            <w:pPr>
              <w:spacing w:after="0" w:line="240" w:lineRule="auto"/>
              <w:jc w:val="center"/>
            </w:pPr>
            <w:r>
              <w:rPr>
                <w:rFonts w:ascii="Times New Roman" w:hAnsi="Times New Roman"/>
                <w:b w:val="0"/>
                <w:sz w:val="16"/>
              </w:rPr>
              <w:t>99,997</w:t>
            </w:r>
          </w:p>
        </w:tc>
      </w:tr>
      <w:tr>
        <w:tc>
          <w:tcPr>
            <w:tcW w:type="dxa" w:w="2700"/>
            <w:tcMar>
              <w:top w:w="80" w:type="dxa"/>
              <w:start w:w="100" w:type="dxa"/>
              <w:bottom w:w="80" w:type="dxa"/>
              <w:end w:w="100" w:type="dxa"/>
            </w:tcMar>
            <w:vAlign w:val="center"/>
          </w:tcPr>
          <w:p>
            <w:pPr>
              <w:spacing w:after="0" w:line="240" w:lineRule="auto"/>
            </w:pPr>
            <w:r>
              <w:rPr>
                <w:rFonts w:ascii="Times New Roman" w:hAnsi="Times New Roman"/>
                <w:b w:val="0"/>
                <w:sz w:val="16"/>
              </w:rPr>
              <w:t>Test records</w:t>
            </w:r>
          </w:p>
        </w:tc>
        <w:tc>
          <w:tcPr>
            <w:tcW w:type="dxa" w:w="6660"/>
            <w:tcMar>
              <w:top w:w="80" w:type="dxa"/>
              <w:start w:w="100" w:type="dxa"/>
              <w:bottom w:w="80" w:type="dxa"/>
              <w:end w:w="100" w:type="dxa"/>
            </w:tcMar>
            <w:vAlign w:val="center"/>
          </w:tcPr>
          <w:p>
            <w:pPr>
              <w:spacing w:after="0" w:line="240" w:lineRule="auto"/>
              <w:jc w:val="center"/>
            </w:pPr>
            <w:r>
              <w:rPr>
                <w:rFonts w:ascii="Times New Roman" w:hAnsi="Times New Roman"/>
                <w:b w:val="0"/>
                <w:sz w:val="16"/>
              </w:rPr>
              <w:t>99,997</w:t>
            </w:r>
          </w:p>
        </w:tc>
      </w:tr>
      <w:tr>
        <w:tc>
          <w:tcPr>
            <w:tcW w:type="dxa" w:w="2700"/>
            <w:tcMar>
              <w:top w:w="80" w:type="dxa"/>
              <w:start w:w="100" w:type="dxa"/>
              <w:bottom w:w="80" w:type="dxa"/>
              <w:end w:w="100" w:type="dxa"/>
            </w:tcMar>
            <w:vAlign w:val="center"/>
          </w:tcPr>
          <w:p>
            <w:pPr>
              <w:spacing w:after="0" w:line="240" w:lineRule="auto"/>
            </w:pPr>
            <w:r>
              <w:rPr>
                <w:rFonts w:ascii="Times New Roman" w:hAnsi="Times New Roman"/>
                <w:b w:val="0"/>
                <w:sz w:val="16"/>
              </w:rPr>
              <w:t>Cross-validation</w:t>
            </w:r>
          </w:p>
        </w:tc>
        <w:tc>
          <w:tcPr>
            <w:tcW w:type="dxa" w:w="6660"/>
            <w:tcMar>
              <w:top w:w="80" w:type="dxa"/>
              <w:start w:w="100" w:type="dxa"/>
              <w:bottom w:w="80" w:type="dxa"/>
              <w:end w:w="100" w:type="dxa"/>
            </w:tcMar>
            <w:vAlign w:val="center"/>
          </w:tcPr>
          <w:p>
            <w:pPr>
              <w:spacing w:after="0" w:line="240" w:lineRule="auto"/>
            </w:pPr>
            <w:r>
              <w:rPr>
                <w:rFonts w:ascii="Times New Roman" w:hAnsi="Times New Roman"/>
                <w:b w:val="0"/>
                <w:sz w:val="16"/>
              </w:rPr>
              <w:t>5-fold CV on training split</w:t>
            </w:r>
          </w:p>
        </w:tc>
      </w:tr>
      <w:tr>
        <w:tc>
          <w:tcPr>
            <w:tcW w:type="dxa" w:w="2700"/>
            <w:tcMar>
              <w:top w:w="80" w:type="dxa"/>
              <w:start w:w="100" w:type="dxa"/>
              <w:bottom w:w="80" w:type="dxa"/>
              <w:end w:w="100" w:type="dxa"/>
            </w:tcMar>
            <w:vAlign w:val="center"/>
          </w:tcPr>
          <w:p>
            <w:pPr>
              <w:spacing w:after="0" w:line="240" w:lineRule="auto"/>
            </w:pPr>
            <w:r>
              <w:rPr>
                <w:rFonts w:ascii="Times New Roman" w:hAnsi="Times New Roman"/>
                <w:b w:val="0"/>
                <w:sz w:val="16"/>
              </w:rPr>
              <w:t>Hyperparameter tuning metric</w:t>
            </w:r>
          </w:p>
        </w:tc>
        <w:tc>
          <w:tcPr>
            <w:tcW w:type="dxa" w:w="6660"/>
            <w:tcMar>
              <w:top w:w="80" w:type="dxa"/>
              <w:start w:w="100" w:type="dxa"/>
              <w:bottom w:w="80" w:type="dxa"/>
              <w:end w:w="100" w:type="dxa"/>
            </w:tcMar>
            <w:vAlign w:val="center"/>
          </w:tcPr>
          <w:p>
            <w:pPr>
              <w:spacing w:after="0" w:line="240" w:lineRule="auto"/>
            </w:pPr>
            <w:r>
              <w:rPr>
                <w:rFonts w:ascii="Times New Roman" w:hAnsi="Times New Roman"/>
                <w:b w:val="0"/>
                <w:sz w:val="16"/>
              </w:rPr>
              <w:t>PR-AUC / average precision</w:t>
            </w:r>
          </w:p>
        </w:tc>
      </w:tr>
      <w:tr>
        <w:tc>
          <w:tcPr>
            <w:tcW w:type="dxa" w:w="2700"/>
            <w:tcMar>
              <w:top w:w="80" w:type="dxa"/>
              <w:start w:w="100" w:type="dxa"/>
              <w:bottom w:w="80" w:type="dxa"/>
              <w:end w:w="100" w:type="dxa"/>
            </w:tcMar>
            <w:vAlign w:val="center"/>
          </w:tcPr>
          <w:p>
            <w:pPr>
              <w:spacing w:after="0" w:line="240" w:lineRule="auto"/>
            </w:pPr>
            <w:r>
              <w:rPr>
                <w:rFonts w:ascii="Times New Roman" w:hAnsi="Times New Roman"/>
                <w:b w:val="0"/>
                <w:sz w:val="16"/>
              </w:rPr>
              <w:t>Model-family selection</w:t>
            </w:r>
          </w:p>
        </w:tc>
        <w:tc>
          <w:tcPr>
            <w:tcW w:type="dxa" w:w="6660"/>
            <w:tcMar>
              <w:top w:w="80" w:type="dxa"/>
              <w:start w:w="100" w:type="dxa"/>
              <w:bottom w:w="80" w:type="dxa"/>
              <w:end w:w="100" w:type="dxa"/>
            </w:tcMar>
            <w:vAlign w:val="center"/>
          </w:tcPr>
          <w:p>
            <w:pPr>
              <w:spacing w:after="0" w:line="240" w:lineRule="auto"/>
              <w:jc w:val="center"/>
            </w:pPr>
            <w:r>
              <w:rPr>
                <w:rFonts w:ascii="Times New Roman" w:hAnsi="Times New Roman"/>
                <w:b w:val="0"/>
                <w:sz w:val="16"/>
              </w:rPr>
              <w:t>Validation split</w:t>
            </w:r>
          </w:p>
        </w:tc>
      </w:tr>
      <w:tr>
        <w:tc>
          <w:tcPr>
            <w:tcW w:type="dxa" w:w="2700"/>
            <w:tcMar>
              <w:top w:w="80" w:type="dxa"/>
              <w:start w:w="100" w:type="dxa"/>
              <w:bottom w:w="80" w:type="dxa"/>
              <w:end w:w="100" w:type="dxa"/>
            </w:tcMar>
            <w:vAlign w:val="center"/>
          </w:tcPr>
          <w:p>
            <w:pPr>
              <w:spacing w:after="0" w:line="240" w:lineRule="auto"/>
            </w:pPr>
            <w:r>
              <w:rPr>
                <w:rFonts w:ascii="Times New Roman" w:hAnsi="Times New Roman"/>
                <w:b w:val="0"/>
                <w:sz w:val="16"/>
              </w:rPr>
              <w:t>Final reporting</w:t>
            </w:r>
          </w:p>
        </w:tc>
        <w:tc>
          <w:tcPr>
            <w:tcW w:type="dxa" w:w="6660"/>
            <w:tcMar>
              <w:top w:w="80" w:type="dxa"/>
              <w:start w:w="100" w:type="dxa"/>
              <w:bottom w:w="80" w:type="dxa"/>
              <w:end w:w="100" w:type="dxa"/>
            </w:tcMar>
            <w:vAlign w:val="center"/>
          </w:tcPr>
          <w:p>
            <w:pPr>
              <w:spacing w:after="0" w:line="240" w:lineRule="auto"/>
            </w:pPr>
            <w:r>
              <w:rPr>
                <w:rFonts w:ascii="Times New Roman" w:hAnsi="Times New Roman"/>
                <w:b w:val="0"/>
                <w:sz w:val="16"/>
              </w:rPr>
              <w:t>Untouched test split</w:t>
            </w:r>
          </w:p>
        </w:tc>
      </w:tr>
      <w:tr>
        <w:tc>
          <w:tcPr>
            <w:tcW w:type="dxa" w:w="2700"/>
            <w:tcMar>
              <w:top w:w="80" w:type="dxa"/>
              <w:start w:w="100" w:type="dxa"/>
              <w:bottom w:w="80" w:type="dxa"/>
              <w:end w:w="100" w:type="dxa"/>
            </w:tcMar>
            <w:vAlign w:val="center"/>
          </w:tcPr>
          <w:p>
            <w:pPr>
              <w:spacing w:after="0" w:line="240" w:lineRule="auto"/>
            </w:pPr>
            <w:r>
              <w:rPr>
                <w:rFonts w:ascii="Times New Roman" w:hAnsi="Times New Roman"/>
                <w:b w:val="0"/>
                <w:sz w:val="16"/>
              </w:rPr>
              <w:t>SMOTE placement</w:t>
            </w:r>
          </w:p>
        </w:tc>
        <w:tc>
          <w:tcPr>
            <w:tcW w:type="dxa" w:w="6660"/>
            <w:tcMar>
              <w:top w:w="80" w:type="dxa"/>
              <w:start w:w="100" w:type="dxa"/>
              <w:bottom w:w="80" w:type="dxa"/>
              <w:end w:w="100" w:type="dxa"/>
            </w:tcMar>
            <w:vAlign w:val="center"/>
          </w:tcPr>
          <w:p>
            <w:pPr>
              <w:spacing w:after="0" w:line="240" w:lineRule="auto"/>
            </w:pPr>
            <w:r>
              <w:rPr>
                <w:rFonts w:ascii="Times New Roman" w:hAnsi="Times New Roman"/>
                <w:b w:val="0"/>
                <w:sz w:val="16"/>
              </w:rPr>
              <w:t>Inside imblearn pipeline, after preprocessing, inside CV folds</w:t>
            </w:r>
          </w:p>
        </w:tc>
      </w:tr>
      <w:tr>
        <w:tc>
          <w:tcPr>
            <w:tcW w:type="dxa" w:w="2700"/>
            <w:tcMar>
              <w:top w:w="80" w:type="dxa"/>
              <w:start w:w="100" w:type="dxa"/>
              <w:bottom w:w="80" w:type="dxa"/>
              <w:end w:w="100" w:type="dxa"/>
            </w:tcMar>
            <w:vAlign w:val="center"/>
          </w:tcPr>
          <w:p>
            <w:pPr>
              <w:spacing w:after="0" w:line="240" w:lineRule="auto"/>
            </w:pPr>
            <w:r>
              <w:rPr>
                <w:rFonts w:ascii="Times New Roman" w:hAnsi="Times New Roman"/>
                <w:b w:val="0"/>
                <w:sz w:val="16"/>
              </w:rPr>
              <w:t>Excluded model features</w:t>
            </w:r>
          </w:p>
        </w:tc>
        <w:tc>
          <w:tcPr>
            <w:tcW w:type="dxa" w:w="6660"/>
            <w:tcMar>
              <w:top w:w="80" w:type="dxa"/>
              <w:start w:w="100" w:type="dxa"/>
              <w:bottom w:w="80" w:type="dxa"/>
              <w:end w:w="100" w:type="dxa"/>
            </w:tcMar>
            <w:vAlign w:val="center"/>
          </w:tcPr>
          <w:p>
            <w:pPr>
              <w:spacing w:after="0" w:line="240" w:lineRule="auto"/>
            </w:pPr>
            <w:r>
              <w:rPr>
                <w:rFonts w:ascii="Times New Roman" w:hAnsi="Times New Roman"/>
                <w:b w:val="0"/>
                <w:sz w:val="16"/>
              </w:rPr>
              <w:t>FraudFlag, TransactionID, Time, DayOfWeek, Month, IsWeekend, IsWeekendDerived</w:t>
            </w:r>
          </w:p>
        </w:tc>
      </w:tr>
    </w:tbl>
    <w:p>
      <w:pPr>
        <w:spacing w:after="60"/>
      </w:pPr>
    </w:p>
    <w:p>
      <w:pPr>
        <w:pStyle w:val="Heading2"/>
      </w:pPr>
      <w:r>
        <w:t>B. Preprocessing Strategy</w:t>
      </w:r>
    </w:p>
    <w:p>
      <w:pPr>
        <w:keepLines w:val="0"/>
      </w:pPr>
      <w:r>
        <w:rPr>
          <w:rFonts w:ascii="Times New Roman" w:hAnsi="Times New Roman"/>
          <w:b w:val="0"/>
          <w:i w:val="0"/>
          <w:sz w:val="20"/>
        </w:rPr>
        <w:t>The split is stratified 60/20/20, producing 299,991 training records, 99,997 validation records, and 99,997 test records. Logistic Regression uses imputation, one-hot encoding for categorical variables, and numeric scaling. Decision Tree, Random Forest, and XGBoost use imputation and frequency encoding for categorical variables. CatBoost follows the repository implementation, with leakage-safe feature engineering applied before CatBoost fitting and prediction.</w:t>
      </w:r>
    </w:p>
    <w:p>
      <w:pPr>
        <w:pStyle w:val="Heading2"/>
      </w:pPr>
      <w:r>
        <w:t>C. Model Families</w:t>
      </w:r>
    </w:p>
    <w:p>
      <w:pPr>
        <w:keepLines w:val="0"/>
      </w:pPr>
      <w:r>
        <w:rPr>
          <w:rFonts w:ascii="Times New Roman" w:hAnsi="Times New Roman"/>
          <w:b w:val="0"/>
          <w:i w:val="0"/>
          <w:sz w:val="20"/>
        </w:rPr>
        <w:t>The implemented model families are Logistic Regression, Decision Tree, Random Forest, XGBoost, and CatBoost. Logistic Regression provides a linear baseline, while the tree-based and boosting models capture nonlinear thresholds and interactions in heterogeneous tabular features [18]-[22].</w:t>
      </w:r>
    </w:p>
    <w:p>
      <w:pPr>
        <w:pStyle w:val="Heading2"/>
      </w:pPr>
      <w:r>
        <w:t>D. Hyperparameter Tuning and Model Selection</w:t>
      </w:r>
    </w:p>
    <w:p>
      <w:pPr>
        <w:keepLines w:val="0"/>
      </w:pPr>
      <w:r>
        <w:rPr>
          <w:rFonts w:ascii="Times New Roman" w:hAnsi="Times New Roman"/>
          <w:b w:val="0"/>
          <w:i w:val="0"/>
          <w:sz w:val="20"/>
        </w:rPr>
        <w:t>Hyperparameter tuning uses 5-fold cross-validation only on the training split, with PR-AUC implemented as average precision. Model-family selection is performed on the validation split using fraud-class F1 with tie-breaking based on PR-AUC, recall, precision, ROC-AUC, and lower training time. Test metrics are reported only after validation-based selection [23]-[26].</w:t>
      </w:r>
    </w:p>
    <w:p>
      <w:pPr>
        <w:pStyle w:val="Heading2"/>
      </w:pPr>
      <w:r>
        <w:t>E. SMOTE Configuration</w:t>
      </w:r>
    </w:p>
    <w:p>
      <w:pPr>
        <w:keepLines w:val="0"/>
      </w:pPr>
      <w:r>
        <w:rPr>
          <w:rFonts w:ascii="Times New Roman" w:hAnsi="Times New Roman"/>
          <w:b w:val="0"/>
          <w:i w:val="0"/>
          <w:sz w:val="20"/>
        </w:rPr>
        <w:t>SMOTE is applied only inside the imblearn training pipeline, after preprocessing and inside the cross-validation folds. It is not applied before the train-validation-test split. This placement reduces split contamination risk and keeps validation/test sets representative of the original class distribution.</w:t>
      </w:r>
    </w:p>
    <w:p>
      <w:pPr>
        <w:pStyle w:val="Heading2"/>
      </w:pPr>
      <w:r>
        <w:t>F. Threshold Optimization</w:t>
      </w:r>
    </w:p>
    <w:p>
      <w:pPr>
        <w:keepLines w:val="0"/>
      </w:pPr>
      <w:r>
        <w:rPr>
          <w:rFonts w:ascii="Times New Roman" w:hAnsi="Times New Roman"/>
          <w:b w:val="0"/>
          <w:i w:val="0"/>
          <w:sz w:val="20"/>
        </w:rPr>
        <w:t>Threshold optimization is performed after model training by selecting a fraud-probability threshold on validation predictions and evaluating the selected threshold on test predictions. This operating-point analysis is separate from the default-threshold model comparison.</w:t>
      </w:r>
    </w:p>
    <w:p>
      <w:pPr>
        <w:pStyle w:val="Heading2"/>
      </w:pPr>
      <w:r>
        <w:t>G. Evaluation Metrics</w:t>
      </w:r>
    </w:p>
    <w:p>
      <w:pPr>
        <w:keepLines w:val="0"/>
      </w:pPr>
      <w:r>
        <w:rPr>
          <w:rFonts w:ascii="Times New Roman" w:hAnsi="Times New Roman"/>
          <w:b w:val="0"/>
          <w:i w:val="0"/>
          <w:sz w:val="20"/>
        </w:rPr>
        <w:t>The reported metrics are fraud-class precision, fraud-class recall, fraud-class F1, ROC-AUC, and PR-AUC. Fraud-class F1 and PR-AUC are emphasized because the minority class is the primary analytic target.</w:t>
      </w:r>
    </w:p>
    <w:p>
      <w:pPr>
        <w:pStyle w:val="Heading1"/>
        <w:jc w:val="center"/>
      </w:pPr>
      <w:r>
        <w:t>V. EXPERIMENTAL RESULTS</w:t>
      </w:r>
    </w:p>
    <w:p>
      <w:pPr>
        <w:pStyle w:val="Heading2"/>
      </w:pPr>
      <w:r>
        <w:t>A. Default-Threshold Results Without SMOTE</w:t>
      </w:r>
    </w:p>
    <w:p>
      <w:pPr>
        <w:keepLines w:val="0"/>
      </w:pPr>
      <w:r>
        <w:rPr>
          <w:rFonts w:ascii="Times New Roman" w:hAnsi="Times New Roman"/>
          <w:b w:val="0"/>
          <w:i w:val="0"/>
          <w:sz w:val="20"/>
        </w:rPr>
        <w:t>Table IV reports the selected default-threshold No-SMOTE model for each dataset version. Performance increases sharply from v1-v2 to v3-v5, indicating that the risk-enriched and engineered feature sets provide stronger fraud-class separability.</w:t>
      </w:r>
    </w:p>
    <w:p>
      <w:pPr>
        <w:keepNext/>
        <w:spacing w:before="100" w:after="0"/>
        <w:jc w:val="center"/>
      </w:pPr>
      <w:r>
        <w:rPr>
          <w:rFonts w:ascii="Times New Roman" w:hAnsi="Times New Roman"/>
          <w:b/>
          <w:sz w:val="18"/>
        </w:rPr>
        <w:t>TABLE IV</w:t>
      </w:r>
    </w:p>
    <w:p>
      <w:pPr>
        <w:keepNext/>
        <w:spacing w:after="60"/>
        <w:jc w:val="center"/>
      </w:pPr>
      <w:r>
        <w:rPr>
          <w:rFonts w:ascii="Times New Roman" w:hAnsi="Times New Roman"/>
          <w:b/>
          <w:sz w:val="18"/>
        </w:rPr>
        <w:t>BEST DEFAULT-THRESHOLD RESULTS WITHOUT SMOTE</w:t>
      </w:r>
    </w:p>
    <w:tbl>
      <w:tblPr>
        <w:tblStyle w:val="TableGrid"/>
        <w:tblW w:type="dxa" w:w="9360"/>
        <w:jc w:val="center"/>
        <w:tblLayout w:type="fixed"/>
        <w:tblLook w:firstColumn="1" w:firstRow="1" w:lastColumn="0" w:lastRow="0" w:noHBand="0" w:noVBand="1" w:val="04A0"/>
        <w:tblInd w:w="0" w:type="dxa"/>
      </w:tblPr>
      <w:tblGrid>
        <w:gridCol w:w="850"/>
        <w:gridCol w:w="1800"/>
        <w:gridCol w:w="1400"/>
        <w:gridCol w:w="1400"/>
        <w:gridCol w:w="1900"/>
        <w:gridCol w:w="2010"/>
      </w:tblGrid>
      <w:tr>
        <w:trPr>
          <w:tblHeader w:val="true"/>
        </w:trPr>
        <w:tc>
          <w:tcPr>
            <w:tcW w:type="dxa" w:w="850"/>
            <w:tcMar>
              <w:top w:w="80" w:type="dxa"/>
              <w:start w:w="100" w:type="dxa"/>
              <w:bottom w:w="80" w:type="dxa"/>
              <w:end w:w="100" w:type="dxa"/>
            </w:tcMar>
            <w:vAlign w:val="center"/>
            <w:shd w:fill="F2F2F2"/>
          </w:tcPr>
          <w:p>
            <w:pPr>
              <w:spacing w:after="0" w:line="240" w:lineRule="auto"/>
            </w:pPr>
            <w:r>
              <w:rPr>
                <w:rFonts w:ascii="Times New Roman" w:hAnsi="Times New Roman"/>
                <w:b/>
                <w:sz w:val="14"/>
              </w:rPr>
              <w:t>Version</w:t>
            </w:r>
          </w:p>
        </w:tc>
        <w:tc>
          <w:tcPr>
            <w:tcW w:type="dxa" w:w="1800"/>
            <w:tcMar>
              <w:top w:w="80" w:type="dxa"/>
              <w:start w:w="100" w:type="dxa"/>
              <w:bottom w:w="80" w:type="dxa"/>
              <w:end w:w="100" w:type="dxa"/>
            </w:tcMar>
            <w:vAlign w:val="center"/>
            <w:shd w:fill="F2F2F2"/>
          </w:tcPr>
          <w:p>
            <w:pPr>
              <w:spacing w:after="0" w:line="240" w:lineRule="auto"/>
              <w:jc w:val="center"/>
            </w:pPr>
            <w:r>
              <w:rPr>
                <w:rFonts w:ascii="Times New Roman" w:hAnsi="Times New Roman"/>
                <w:b/>
                <w:sz w:val="14"/>
              </w:rPr>
              <w:t>Best Model</w:t>
            </w:r>
          </w:p>
        </w:tc>
        <w:tc>
          <w:tcPr>
            <w:tcW w:type="dxa" w:w="1400"/>
            <w:tcMar>
              <w:top w:w="80" w:type="dxa"/>
              <w:start w:w="100" w:type="dxa"/>
              <w:bottom w:w="80" w:type="dxa"/>
              <w:end w:w="100" w:type="dxa"/>
            </w:tcMar>
            <w:vAlign w:val="center"/>
            <w:shd w:fill="F2F2F2"/>
          </w:tcPr>
          <w:p>
            <w:pPr>
              <w:spacing w:after="0" w:line="240" w:lineRule="auto"/>
              <w:jc w:val="center"/>
            </w:pPr>
            <w:r>
              <w:rPr>
                <w:rFonts w:ascii="Times New Roman" w:hAnsi="Times New Roman"/>
                <w:b/>
                <w:sz w:val="14"/>
              </w:rPr>
              <w:t>Precision</w:t>
            </w:r>
          </w:p>
        </w:tc>
        <w:tc>
          <w:tcPr>
            <w:tcW w:type="dxa" w:w="1400"/>
            <w:tcMar>
              <w:top w:w="80" w:type="dxa"/>
              <w:start w:w="100" w:type="dxa"/>
              <w:bottom w:w="80" w:type="dxa"/>
              <w:end w:w="100" w:type="dxa"/>
            </w:tcMar>
            <w:vAlign w:val="center"/>
            <w:shd w:fill="F2F2F2"/>
          </w:tcPr>
          <w:p>
            <w:pPr>
              <w:spacing w:after="0" w:line="240" w:lineRule="auto"/>
              <w:jc w:val="center"/>
            </w:pPr>
            <w:r>
              <w:rPr>
                <w:rFonts w:ascii="Times New Roman" w:hAnsi="Times New Roman"/>
                <w:b/>
                <w:sz w:val="14"/>
              </w:rPr>
              <w:t>Recall</w:t>
            </w:r>
          </w:p>
        </w:tc>
        <w:tc>
          <w:tcPr>
            <w:tcW w:type="dxa" w:w="1900"/>
            <w:tcMar>
              <w:top w:w="80" w:type="dxa"/>
              <w:start w:w="100" w:type="dxa"/>
              <w:bottom w:w="80" w:type="dxa"/>
              <w:end w:w="100" w:type="dxa"/>
            </w:tcMar>
            <w:vAlign w:val="center"/>
            <w:shd w:fill="F2F2F2"/>
          </w:tcPr>
          <w:p>
            <w:pPr>
              <w:spacing w:after="0" w:line="240" w:lineRule="auto"/>
              <w:jc w:val="center"/>
            </w:pPr>
            <w:r>
              <w:rPr>
                <w:rFonts w:ascii="Times New Roman" w:hAnsi="Times New Roman"/>
                <w:b/>
                <w:sz w:val="14"/>
              </w:rPr>
              <w:t>Fraud-Class F1</w:t>
            </w:r>
          </w:p>
        </w:tc>
        <w:tc>
          <w:tcPr>
            <w:tcW w:type="dxa" w:w="2010"/>
            <w:tcMar>
              <w:top w:w="80" w:type="dxa"/>
              <w:start w:w="100" w:type="dxa"/>
              <w:bottom w:w="80" w:type="dxa"/>
              <w:end w:w="100" w:type="dxa"/>
            </w:tcMar>
            <w:vAlign w:val="center"/>
            <w:shd w:fill="F2F2F2"/>
          </w:tcPr>
          <w:p>
            <w:pPr>
              <w:spacing w:after="0" w:line="240" w:lineRule="auto"/>
              <w:jc w:val="center"/>
            </w:pPr>
            <w:r>
              <w:rPr>
                <w:rFonts w:ascii="Times New Roman" w:hAnsi="Times New Roman"/>
                <w:b/>
                <w:sz w:val="14"/>
              </w:rPr>
              <w:t>PR-AUC</w:t>
            </w:r>
          </w:p>
        </w:tc>
      </w:tr>
      <w:tr>
        <w:tc>
          <w:tcPr>
            <w:tcW w:type="dxa" w:w="850"/>
            <w:tcMar>
              <w:top w:w="80" w:type="dxa"/>
              <w:start w:w="100" w:type="dxa"/>
              <w:bottom w:w="80" w:type="dxa"/>
              <w:end w:w="100" w:type="dxa"/>
            </w:tcMar>
            <w:vAlign w:val="center"/>
          </w:tcPr>
          <w:p>
            <w:pPr>
              <w:spacing w:after="0" w:line="240" w:lineRule="auto"/>
            </w:pPr>
            <w:r>
              <w:rPr>
                <w:rFonts w:ascii="Times New Roman" w:hAnsi="Times New Roman"/>
                <w:b w:val="0"/>
                <w:sz w:val="14"/>
              </w:rPr>
              <w:t>v1</w:t>
            </w:r>
          </w:p>
        </w:tc>
        <w:tc>
          <w:tcPr>
            <w:tcW w:type="dxa" w:w="1800"/>
            <w:tcMar>
              <w:top w:w="80" w:type="dxa"/>
              <w:start w:w="100" w:type="dxa"/>
              <w:bottom w:w="80" w:type="dxa"/>
              <w:end w:w="100" w:type="dxa"/>
            </w:tcMar>
            <w:vAlign w:val="center"/>
          </w:tcPr>
          <w:p>
            <w:pPr>
              <w:spacing w:after="0" w:line="240" w:lineRule="auto"/>
              <w:jc w:val="center"/>
            </w:pPr>
            <w:r>
              <w:rPr>
                <w:rFonts w:ascii="Times New Roman" w:hAnsi="Times New Roman"/>
                <w:b w:val="0"/>
                <w:sz w:val="14"/>
              </w:rPr>
              <w:t>XGBoost</w:t>
            </w:r>
          </w:p>
        </w:tc>
        <w:tc>
          <w:tcPr>
            <w:tcW w:type="dxa" w:w="1400"/>
            <w:tcMar>
              <w:top w:w="80" w:type="dxa"/>
              <w:start w:w="100" w:type="dxa"/>
              <w:bottom w:w="80" w:type="dxa"/>
              <w:end w:w="100" w:type="dxa"/>
            </w:tcMar>
            <w:vAlign w:val="center"/>
          </w:tcPr>
          <w:p>
            <w:pPr>
              <w:spacing w:after="0" w:line="240" w:lineRule="auto"/>
              <w:jc w:val="center"/>
            </w:pPr>
            <w:r>
              <w:rPr>
                <w:rFonts w:ascii="Times New Roman" w:hAnsi="Times New Roman"/>
                <w:b w:val="0"/>
                <w:sz w:val="14"/>
              </w:rPr>
              <w:t>0.8062</w:t>
            </w:r>
          </w:p>
        </w:tc>
        <w:tc>
          <w:tcPr>
            <w:tcW w:type="dxa" w:w="1400"/>
            <w:tcMar>
              <w:top w:w="80" w:type="dxa"/>
              <w:start w:w="100" w:type="dxa"/>
              <w:bottom w:w="80" w:type="dxa"/>
              <w:end w:w="100" w:type="dxa"/>
            </w:tcMar>
            <w:vAlign w:val="center"/>
          </w:tcPr>
          <w:p>
            <w:pPr>
              <w:spacing w:after="0" w:line="240" w:lineRule="auto"/>
              <w:jc w:val="center"/>
            </w:pPr>
            <w:r>
              <w:rPr>
                <w:rFonts w:ascii="Times New Roman" w:hAnsi="Times New Roman"/>
                <w:b w:val="0"/>
                <w:sz w:val="14"/>
              </w:rPr>
              <w:t>0.7502</w:t>
            </w:r>
          </w:p>
        </w:tc>
        <w:tc>
          <w:tcPr>
            <w:tcW w:type="dxa" w:w="1900"/>
            <w:tcMar>
              <w:top w:w="80" w:type="dxa"/>
              <w:start w:w="100" w:type="dxa"/>
              <w:bottom w:w="80" w:type="dxa"/>
              <w:end w:w="100" w:type="dxa"/>
            </w:tcMar>
            <w:vAlign w:val="center"/>
          </w:tcPr>
          <w:p>
            <w:pPr>
              <w:spacing w:after="0" w:line="240" w:lineRule="auto"/>
              <w:jc w:val="center"/>
            </w:pPr>
            <w:r>
              <w:rPr>
                <w:rFonts w:ascii="Times New Roman" w:hAnsi="Times New Roman"/>
                <w:b w:val="0"/>
                <w:sz w:val="14"/>
              </w:rPr>
              <w:t>0.7772</w:t>
            </w:r>
          </w:p>
        </w:tc>
        <w:tc>
          <w:tcPr>
            <w:tcW w:type="dxa" w:w="2010"/>
            <w:tcMar>
              <w:top w:w="80" w:type="dxa"/>
              <w:start w:w="100" w:type="dxa"/>
              <w:bottom w:w="80" w:type="dxa"/>
              <w:end w:w="100" w:type="dxa"/>
            </w:tcMar>
            <w:vAlign w:val="center"/>
          </w:tcPr>
          <w:p>
            <w:pPr>
              <w:spacing w:after="0" w:line="240" w:lineRule="auto"/>
              <w:jc w:val="center"/>
            </w:pPr>
            <w:r>
              <w:rPr>
                <w:rFonts w:ascii="Times New Roman" w:hAnsi="Times New Roman"/>
                <w:b w:val="0"/>
                <w:sz w:val="14"/>
              </w:rPr>
              <w:t>0.8268</w:t>
            </w:r>
          </w:p>
        </w:tc>
      </w:tr>
      <w:tr>
        <w:tc>
          <w:tcPr>
            <w:tcW w:type="dxa" w:w="850"/>
            <w:tcMar>
              <w:top w:w="80" w:type="dxa"/>
              <w:start w:w="100" w:type="dxa"/>
              <w:bottom w:w="80" w:type="dxa"/>
              <w:end w:w="100" w:type="dxa"/>
            </w:tcMar>
            <w:vAlign w:val="center"/>
          </w:tcPr>
          <w:p>
            <w:pPr>
              <w:spacing w:after="0" w:line="240" w:lineRule="auto"/>
            </w:pPr>
            <w:r>
              <w:rPr>
                <w:rFonts w:ascii="Times New Roman" w:hAnsi="Times New Roman"/>
                <w:b w:val="0"/>
                <w:sz w:val="14"/>
              </w:rPr>
              <w:t>v2</w:t>
            </w:r>
          </w:p>
        </w:tc>
        <w:tc>
          <w:tcPr>
            <w:tcW w:type="dxa" w:w="1800"/>
            <w:tcMar>
              <w:top w:w="80" w:type="dxa"/>
              <w:start w:w="100" w:type="dxa"/>
              <w:bottom w:w="80" w:type="dxa"/>
              <w:end w:w="100" w:type="dxa"/>
            </w:tcMar>
            <w:vAlign w:val="center"/>
          </w:tcPr>
          <w:p>
            <w:pPr>
              <w:spacing w:after="0" w:line="240" w:lineRule="auto"/>
              <w:jc w:val="center"/>
            </w:pPr>
            <w:r>
              <w:rPr>
                <w:rFonts w:ascii="Times New Roman" w:hAnsi="Times New Roman"/>
                <w:b w:val="0"/>
                <w:sz w:val="14"/>
              </w:rPr>
              <w:t>XGBoost</w:t>
            </w:r>
          </w:p>
        </w:tc>
        <w:tc>
          <w:tcPr>
            <w:tcW w:type="dxa" w:w="1400"/>
            <w:tcMar>
              <w:top w:w="80" w:type="dxa"/>
              <w:start w:w="100" w:type="dxa"/>
              <w:bottom w:w="80" w:type="dxa"/>
              <w:end w:w="100" w:type="dxa"/>
            </w:tcMar>
            <w:vAlign w:val="center"/>
          </w:tcPr>
          <w:p>
            <w:pPr>
              <w:spacing w:after="0" w:line="240" w:lineRule="auto"/>
              <w:jc w:val="center"/>
            </w:pPr>
            <w:r>
              <w:rPr>
                <w:rFonts w:ascii="Times New Roman" w:hAnsi="Times New Roman"/>
                <w:b w:val="0"/>
                <w:sz w:val="14"/>
              </w:rPr>
              <w:t>0.8094</w:t>
            </w:r>
          </w:p>
        </w:tc>
        <w:tc>
          <w:tcPr>
            <w:tcW w:type="dxa" w:w="1400"/>
            <w:tcMar>
              <w:top w:w="80" w:type="dxa"/>
              <w:start w:w="100" w:type="dxa"/>
              <w:bottom w:w="80" w:type="dxa"/>
              <w:end w:w="100" w:type="dxa"/>
            </w:tcMar>
            <w:vAlign w:val="center"/>
          </w:tcPr>
          <w:p>
            <w:pPr>
              <w:spacing w:after="0" w:line="240" w:lineRule="auto"/>
              <w:jc w:val="center"/>
            </w:pPr>
            <w:r>
              <w:rPr>
                <w:rFonts w:ascii="Times New Roman" w:hAnsi="Times New Roman"/>
                <w:b w:val="0"/>
                <w:sz w:val="14"/>
              </w:rPr>
              <w:t>0.7500</w:t>
            </w:r>
          </w:p>
        </w:tc>
        <w:tc>
          <w:tcPr>
            <w:tcW w:type="dxa" w:w="1900"/>
            <w:tcMar>
              <w:top w:w="80" w:type="dxa"/>
              <w:start w:w="100" w:type="dxa"/>
              <w:bottom w:w="80" w:type="dxa"/>
              <w:end w:w="100" w:type="dxa"/>
            </w:tcMar>
            <w:vAlign w:val="center"/>
          </w:tcPr>
          <w:p>
            <w:pPr>
              <w:spacing w:after="0" w:line="240" w:lineRule="auto"/>
              <w:jc w:val="center"/>
            </w:pPr>
            <w:r>
              <w:rPr>
                <w:rFonts w:ascii="Times New Roman" w:hAnsi="Times New Roman"/>
                <w:b w:val="0"/>
                <w:sz w:val="14"/>
              </w:rPr>
              <w:t>0.7786</w:t>
            </w:r>
          </w:p>
        </w:tc>
        <w:tc>
          <w:tcPr>
            <w:tcW w:type="dxa" w:w="2010"/>
            <w:tcMar>
              <w:top w:w="80" w:type="dxa"/>
              <w:start w:w="100" w:type="dxa"/>
              <w:bottom w:w="80" w:type="dxa"/>
              <w:end w:w="100" w:type="dxa"/>
            </w:tcMar>
            <w:vAlign w:val="center"/>
          </w:tcPr>
          <w:p>
            <w:pPr>
              <w:spacing w:after="0" w:line="240" w:lineRule="auto"/>
              <w:jc w:val="center"/>
            </w:pPr>
            <w:r>
              <w:rPr>
                <w:rFonts w:ascii="Times New Roman" w:hAnsi="Times New Roman"/>
                <w:b w:val="0"/>
                <w:sz w:val="14"/>
              </w:rPr>
              <w:t>0.8274</w:t>
            </w:r>
          </w:p>
        </w:tc>
      </w:tr>
      <w:tr>
        <w:tc>
          <w:tcPr>
            <w:tcW w:type="dxa" w:w="850"/>
            <w:tcMar>
              <w:top w:w="80" w:type="dxa"/>
              <w:start w:w="100" w:type="dxa"/>
              <w:bottom w:w="80" w:type="dxa"/>
              <w:end w:w="100" w:type="dxa"/>
            </w:tcMar>
            <w:vAlign w:val="center"/>
          </w:tcPr>
          <w:p>
            <w:pPr>
              <w:spacing w:after="0" w:line="240" w:lineRule="auto"/>
            </w:pPr>
            <w:r>
              <w:rPr>
                <w:rFonts w:ascii="Times New Roman" w:hAnsi="Times New Roman"/>
                <w:b w:val="0"/>
                <w:sz w:val="14"/>
              </w:rPr>
              <w:t>v3</w:t>
            </w:r>
          </w:p>
        </w:tc>
        <w:tc>
          <w:tcPr>
            <w:tcW w:type="dxa" w:w="1800"/>
            <w:tcMar>
              <w:top w:w="80" w:type="dxa"/>
              <w:start w:w="100" w:type="dxa"/>
              <w:bottom w:w="80" w:type="dxa"/>
              <w:end w:w="100" w:type="dxa"/>
            </w:tcMar>
            <w:vAlign w:val="center"/>
          </w:tcPr>
          <w:p>
            <w:pPr>
              <w:spacing w:after="0" w:line="240" w:lineRule="auto"/>
              <w:jc w:val="center"/>
            </w:pPr>
            <w:r>
              <w:rPr>
                <w:rFonts w:ascii="Times New Roman" w:hAnsi="Times New Roman"/>
                <w:b w:val="0"/>
                <w:sz w:val="14"/>
              </w:rPr>
              <w:t>CatBoost</w:t>
            </w:r>
          </w:p>
        </w:tc>
        <w:tc>
          <w:tcPr>
            <w:tcW w:type="dxa" w:w="1400"/>
            <w:tcMar>
              <w:top w:w="80" w:type="dxa"/>
              <w:start w:w="100" w:type="dxa"/>
              <w:bottom w:w="80" w:type="dxa"/>
              <w:end w:w="100" w:type="dxa"/>
            </w:tcMar>
            <w:vAlign w:val="center"/>
          </w:tcPr>
          <w:p>
            <w:pPr>
              <w:spacing w:after="0" w:line="240" w:lineRule="auto"/>
              <w:jc w:val="center"/>
            </w:pPr>
            <w:r>
              <w:rPr>
                <w:rFonts w:ascii="Times New Roman" w:hAnsi="Times New Roman"/>
                <w:b w:val="0"/>
                <w:sz w:val="14"/>
              </w:rPr>
              <w:t>0.9219</w:t>
            </w:r>
          </w:p>
        </w:tc>
        <w:tc>
          <w:tcPr>
            <w:tcW w:type="dxa" w:w="1400"/>
            <w:tcMar>
              <w:top w:w="80" w:type="dxa"/>
              <w:start w:w="100" w:type="dxa"/>
              <w:bottom w:w="80" w:type="dxa"/>
              <w:end w:w="100" w:type="dxa"/>
            </w:tcMar>
            <w:vAlign w:val="center"/>
          </w:tcPr>
          <w:p>
            <w:pPr>
              <w:spacing w:after="0" w:line="240" w:lineRule="auto"/>
              <w:jc w:val="center"/>
            </w:pPr>
            <w:r>
              <w:rPr>
                <w:rFonts w:ascii="Times New Roman" w:hAnsi="Times New Roman"/>
                <w:b w:val="0"/>
                <w:sz w:val="14"/>
              </w:rPr>
              <w:t>0.7739</w:t>
            </w:r>
          </w:p>
        </w:tc>
        <w:tc>
          <w:tcPr>
            <w:tcW w:type="dxa" w:w="1900"/>
            <w:tcMar>
              <w:top w:w="80" w:type="dxa"/>
              <w:start w:w="100" w:type="dxa"/>
              <w:bottom w:w="80" w:type="dxa"/>
              <w:end w:w="100" w:type="dxa"/>
            </w:tcMar>
            <w:vAlign w:val="center"/>
          </w:tcPr>
          <w:p>
            <w:pPr>
              <w:spacing w:after="0" w:line="240" w:lineRule="auto"/>
              <w:jc w:val="center"/>
            </w:pPr>
            <w:r>
              <w:rPr>
                <w:rFonts w:ascii="Times New Roman" w:hAnsi="Times New Roman"/>
                <w:b w:val="0"/>
                <w:sz w:val="14"/>
              </w:rPr>
              <w:t>0.8414</w:t>
            </w:r>
          </w:p>
        </w:tc>
        <w:tc>
          <w:tcPr>
            <w:tcW w:type="dxa" w:w="2010"/>
            <w:tcMar>
              <w:top w:w="80" w:type="dxa"/>
              <w:start w:w="100" w:type="dxa"/>
              <w:bottom w:w="80" w:type="dxa"/>
              <w:end w:w="100" w:type="dxa"/>
            </w:tcMar>
            <w:vAlign w:val="center"/>
          </w:tcPr>
          <w:p>
            <w:pPr>
              <w:spacing w:after="0" w:line="240" w:lineRule="auto"/>
              <w:jc w:val="center"/>
            </w:pPr>
            <w:r>
              <w:rPr>
                <w:rFonts w:ascii="Times New Roman" w:hAnsi="Times New Roman"/>
                <w:b w:val="0"/>
                <w:sz w:val="14"/>
              </w:rPr>
              <w:t>0.8558</w:t>
            </w:r>
          </w:p>
        </w:tc>
      </w:tr>
      <w:tr>
        <w:tc>
          <w:tcPr>
            <w:tcW w:type="dxa" w:w="850"/>
            <w:tcMar>
              <w:top w:w="80" w:type="dxa"/>
              <w:start w:w="100" w:type="dxa"/>
              <w:bottom w:w="80" w:type="dxa"/>
              <w:end w:w="100" w:type="dxa"/>
            </w:tcMar>
            <w:vAlign w:val="center"/>
          </w:tcPr>
          <w:p>
            <w:pPr>
              <w:spacing w:after="0" w:line="240" w:lineRule="auto"/>
            </w:pPr>
            <w:r>
              <w:rPr>
                <w:rFonts w:ascii="Times New Roman" w:hAnsi="Times New Roman"/>
                <w:b w:val="0"/>
                <w:sz w:val="14"/>
              </w:rPr>
              <w:t>v4</w:t>
            </w:r>
          </w:p>
        </w:tc>
        <w:tc>
          <w:tcPr>
            <w:tcW w:type="dxa" w:w="1800"/>
            <w:tcMar>
              <w:top w:w="80" w:type="dxa"/>
              <w:start w:w="100" w:type="dxa"/>
              <w:bottom w:w="80" w:type="dxa"/>
              <w:end w:w="100" w:type="dxa"/>
            </w:tcMar>
            <w:vAlign w:val="center"/>
          </w:tcPr>
          <w:p>
            <w:pPr>
              <w:spacing w:after="0" w:line="240" w:lineRule="auto"/>
              <w:jc w:val="center"/>
            </w:pPr>
            <w:r>
              <w:rPr>
                <w:rFonts w:ascii="Times New Roman" w:hAnsi="Times New Roman"/>
                <w:b w:val="0"/>
                <w:sz w:val="14"/>
              </w:rPr>
              <w:t>DecisionTree</w:t>
            </w:r>
          </w:p>
        </w:tc>
        <w:tc>
          <w:tcPr>
            <w:tcW w:type="dxa" w:w="1400"/>
            <w:tcMar>
              <w:top w:w="80" w:type="dxa"/>
              <w:start w:w="100" w:type="dxa"/>
              <w:bottom w:w="80" w:type="dxa"/>
              <w:end w:w="100" w:type="dxa"/>
            </w:tcMar>
            <w:vAlign w:val="center"/>
          </w:tcPr>
          <w:p>
            <w:pPr>
              <w:spacing w:after="0" w:line="240" w:lineRule="auto"/>
              <w:jc w:val="center"/>
            </w:pPr>
            <w:r>
              <w:rPr>
                <w:rFonts w:ascii="Times New Roman" w:hAnsi="Times New Roman"/>
                <w:b w:val="0"/>
                <w:sz w:val="14"/>
              </w:rPr>
              <w:t>0.9537</w:t>
            </w:r>
          </w:p>
        </w:tc>
        <w:tc>
          <w:tcPr>
            <w:tcW w:type="dxa" w:w="1400"/>
            <w:tcMar>
              <w:top w:w="80" w:type="dxa"/>
              <w:start w:w="100" w:type="dxa"/>
              <w:bottom w:w="80" w:type="dxa"/>
              <w:end w:w="100" w:type="dxa"/>
            </w:tcMar>
            <w:vAlign w:val="center"/>
          </w:tcPr>
          <w:p>
            <w:pPr>
              <w:spacing w:after="0" w:line="240" w:lineRule="auto"/>
              <w:jc w:val="center"/>
            </w:pPr>
            <w:r>
              <w:rPr>
                <w:rFonts w:ascii="Times New Roman" w:hAnsi="Times New Roman"/>
                <w:b w:val="0"/>
                <w:sz w:val="14"/>
              </w:rPr>
              <w:t>0.7678</w:t>
            </w:r>
          </w:p>
        </w:tc>
        <w:tc>
          <w:tcPr>
            <w:tcW w:type="dxa" w:w="1900"/>
            <w:tcMar>
              <w:top w:w="80" w:type="dxa"/>
              <w:start w:w="100" w:type="dxa"/>
              <w:bottom w:w="80" w:type="dxa"/>
              <w:end w:w="100" w:type="dxa"/>
            </w:tcMar>
            <w:vAlign w:val="center"/>
          </w:tcPr>
          <w:p>
            <w:pPr>
              <w:spacing w:after="0" w:line="240" w:lineRule="auto"/>
              <w:jc w:val="center"/>
            </w:pPr>
            <w:r>
              <w:rPr>
                <w:rFonts w:ascii="Times New Roman" w:hAnsi="Times New Roman"/>
                <w:b w:val="0"/>
                <w:sz w:val="14"/>
              </w:rPr>
              <w:t>0.8507</w:t>
            </w:r>
          </w:p>
        </w:tc>
        <w:tc>
          <w:tcPr>
            <w:tcW w:type="dxa" w:w="2010"/>
            <w:tcMar>
              <w:top w:w="80" w:type="dxa"/>
              <w:start w:w="100" w:type="dxa"/>
              <w:bottom w:w="80" w:type="dxa"/>
              <w:end w:w="100" w:type="dxa"/>
            </w:tcMar>
            <w:vAlign w:val="center"/>
          </w:tcPr>
          <w:p>
            <w:pPr>
              <w:spacing w:after="0" w:line="240" w:lineRule="auto"/>
              <w:jc w:val="center"/>
            </w:pPr>
            <w:r>
              <w:rPr>
                <w:rFonts w:ascii="Times New Roman" w:hAnsi="Times New Roman"/>
                <w:b w:val="0"/>
                <w:sz w:val="14"/>
              </w:rPr>
              <w:t>0.8337</w:t>
            </w:r>
          </w:p>
        </w:tc>
      </w:tr>
      <w:tr>
        <w:tc>
          <w:tcPr>
            <w:tcW w:type="dxa" w:w="850"/>
            <w:tcMar>
              <w:top w:w="80" w:type="dxa"/>
              <w:start w:w="100" w:type="dxa"/>
              <w:bottom w:w="80" w:type="dxa"/>
              <w:end w:w="100" w:type="dxa"/>
            </w:tcMar>
            <w:vAlign w:val="center"/>
          </w:tcPr>
          <w:p>
            <w:pPr>
              <w:spacing w:after="0" w:line="240" w:lineRule="auto"/>
            </w:pPr>
            <w:r>
              <w:rPr>
                <w:rFonts w:ascii="Times New Roman" w:hAnsi="Times New Roman"/>
                <w:b w:val="0"/>
                <w:sz w:val="14"/>
              </w:rPr>
              <w:t>v5</w:t>
            </w:r>
          </w:p>
        </w:tc>
        <w:tc>
          <w:tcPr>
            <w:tcW w:type="dxa" w:w="1800"/>
            <w:tcMar>
              <w:top w:w="80" w:type="dxa"/>
              <w:start w:w="100" w:type="dxa"/>
              <w:bottom w:w="80" w:type="dxa"/>
              <w:end w:w="100" w:type="dxa"/>
            </w:tcMar>
            <w:vAlign w:val="center"/>
          </w:tcPr>
          <w:p>
            <w:pPr>
              <w:spacing w:after="0" w:line="240" w:lineRule="auto"/>
              <w:jc w:val="center"/>
            </w:pPr>
            <w:r>
              <w:rPr>
                <w:rFonts w:ascii="Times New Roman" w:hAnsi="Times New Roman"/>
                <w:b w:val="0"/>
                <w:sz w:val="14"/>
              </w:rPr>
              <w:t>RandomForest</w:t>
            </w:r>
          </w:p>
        </w:tc>
        <w:tc>
          <w:tcPr>
            <w:tcW w:type="dxa" w:w="1400"/>
            <w:tcMar>
              <w:top w:w="80" w:type="dxa"/>
              <w:start w:w="100" w:type="dxa"/>
              <w:bottom w:w="80" w:type="dxa"/>
              <w:end w:w="100" w:type="dxa"/>
            </w:tcMar>
            <w:vAlign w:val="center"/>
          </w:tcPr>
          <w:p>
            <w:pPr>
              <w:spacing w:after="0" w:line="240" w:lineRule="auto"/>
              <w:jc w:val="center"/>
            </w:pPr>
            <w:r>
              <w:rPr>
                <w:rFonts w:ascii="Times New Roman" w:hAnsi="Times New Roman"/>
                <w:b w:val="0"/>
                <w:sz w:val="14"/>
              </w:rPr>
              <w:t>0.9418</w:t>
            </w:r>
          </w:p>
        </w:tc>
        <w:tc>
          <w:tcPr>
            <w:tcW w:type="dxa" w:w="1400"/>
            <w:tcMar>
              <w:top w:w="80" w:type="dxa"/>
              <w:start w:w="100" w:type="dxa"/>
              <w:bottom w:w="80" w:type="dxa"/>
              <w:end w:w="100" w:type="dxa"/>
            </w:tcMar>
            <w:vAlign w:val="center"/>
          </w:tcPr>
          <w:p>
            <w:pPr>
              <w:spacing w:after="0" w:line="240" w:lineRule="auto"/>
              <w:jc w:val="center"/>
            </w:pPr>
            <w:r>
              <w:rPr>
                <w:rFonts w:ascii="Times New Roman" w:hAnsi="Times New Roman"/>
                <w:b w:val="0"/>
                <w:sz w:val="14"/>
              </w:rPr>
              <w:t>0.7713</w:t>
            </w:r>
          </w:p>
        </w:tc>
        <w:tc>
          <w:tcPr>
            <w:tcW w:type="dxa" w:w="1900"/>
            <w:tcMar>
              <w:top w:w="80" w:type="dxa"/>
              <w:start w:w="100" w:type="dxa"/>
              <w:bottom w:w="80" w:type="dxa"/>
              <w:end w:w="100" w:type="dxa"/>
            </w:tcMar>
            <w:vAlign w:val="center"/>
          </w:tcPr>
          <w:p>
            <w:pPr>
              <w:spacing w:after="0" w:line="240" w:lineRule="auto"/>
              <w:jc w:val="center"/>
            </w:pPr>
            <w:r>
              <w:rPr>
                <w:rFonts w:ascii="Times New Roman" w:hAnsi="Times New Roman"/>
                <w:b w:val="0"/>
                <w:sz w:val="14"/>
              </w:rPr>
              <w:t>0.8480</w:t>
            </w:r>
          </w:p>
        </w:tc>
        <w:tc>
          <w:tcPr>
            <w:tcW w:type="dxa" w:w="2010"/>
            <w:tcMar>
              <w:top w:w="80" w:type="dxa"/>
              <w:start w:w="100" w:type="dxa"/>
              <w:bottom w:w="80" w:type="dxa"/>
              <w:end w:w="100" w:type="dxa"/>
            </w:tcMar>
            <w:vAlign w:val="center"/>
          </w:tcPr>
          <w:p>
            <w:pPr>
              <w:spacing w:after="0" w:line="240" w:lineRule="auto"/>
              <w:jc w:val="center"/>
            </w:pPr>
            <w:r>
              <w:rPr>
                <w:rFonts w:ascii="Times New Roman" w:hAnsi="Times New Roman"/>
                <w:b w:val="0"/>
                <w:sz w:val="14"/>
              </w:rPr>
              <w:t>0.8561</w:t>
            </w:r>
          </w:p>
        </w:tc>
      </w:tr>
    </w:tbl>
    <w:p>
      <w:pPr>
        <w:spacing w:after="60"/>
      </w:pPr>
    </w:p>
    <w:p>
      <w:pPr>
        <w:pStyle w:val="Heading2"/>
      </w:pPr>
      <w:r>
        <w:t>B. Default-Threshold Results With SMOTE</w:t>
      </w:r>
    </w:p>
    <w:p>
      <w:pPr>
        <w:keepLines w:val="0"/>
      </w:pPr>
      <w:r>
        <w:rPr>
          <w:rFonts w:ascii="Times New Roman" w:hAnsi="Times New Roman"/>
          <w:b w:val="0"/>
          <w:i w:val="0"/>
          <w:sz w:val="20"/>
        </w:rPr>
        <w:t>Table V reports the selected default-threshold SMOTE model for each version. The strongest default-threshold result is v3 SMOTE Random Forest, with precision 0.998525, recall 0.758080, fraud-class F1 0.861846, and PR-AUC 0.855235.</w:t>
      </w:r>
    </w:p>
    <w:p>
      <w:pPr>
        <w:keepNext/>
        <w:spacing w:before="100" w:after="0"/>
        <w:jc w:val="center"/>
      </w:pPr>
      <w:r>
        <w:rPr>
          <w:rFonts w:ascii="Times New Roman" w:hAnsi="Times New Roman"/>
          <w:b/>
          <w:sz w:val="18"/>
        </w:rPr>
        <w:t>TABLE V</w:t>
      </w:r>
    </w:p>
    <w:p>
      <w:pPr>
        <w:keepNext/>
        <w:spacing w:after="60"/>
        <w:jc w:val="center"/>
      </w:pPr>
      <w:r>
        <w:rPr>
          <w:rFonts w:ascii="Times New Roman" w:hAnsi="Times New Roman"/>
          <w:b/>
          <w:sz w:val="18"/>
        </w:rPr>
        <w:t>BEST DEFAULT-THRESHOLD RESULTS WITH SMOTE</w:t>
      </w:r>
    </w:p>
    <w:tbl>
      <w:tblPr>
        <w:tblStyle w:val="TableGrid"/>
        <w:tblW w:type="dxa" w:w="9360"/>
        <w:jc w:val="center"/>
        <w:tblLayout w:type="fixed"/>
        <w:tblLook w:firstColumn="1" w:firstRow="1" w:lastColumn="0" w:lastRow="0" w:noHBand="0" w:noVBand="1" w:val="04A0"/>
        <w:tblInd w:w="0" w:type="dxa"/>
      </w:tblPr>
      <w:tblGrid>
        <w:gridCol w:w="850"/>
        <w:gridCol w:w="1800"/>
        <w:gridCol w:w="1400"/>
        <w:gridCol w:w="1400"/>
        <w:gridCol w:w="1900"/>
        <w:gridCol w:w="2010"/>
      </w:tblGrid>
      <w:tr>
        <w:trPr>
          <w:tblHeader w:val="true"/>
        </w:trPr>
        <w:tc>
          <w:tcPr>
            <w:tcW w:type="dxa" w:w="850"/>
            <w:tcMar>
              <w:top w:w="80" w:type="dxa"/>
              <w:start w:w="100" w:type="dxa"/>
              <w:bottom w:w="80" w:type="dxa"/>
              <w:end w:w="100" w:type="dxa"/>
            </w:tcMar>
            <w:vAlign w:val="center"/>
            <w:shd w:fill="F2F2F2"/>
          </w:tcPr>
          <w:p>
            <w:pPr>
              <w:spacing w:after="0" w:line="240" w:lineRule="auto"/>
            </w:pPr>
            <w:r>
              <w:rPr>
                <w:rFonts w:ascii="Times New Roman" w:hAnsi="Times New Roman"/>
                <w:b/>
                <w:sz w:val="14"/>
              </w:rPr>
              <w:t>Version</w:t>
            </w:r>
          </w:p>
        </w:tc>
        <w:tc>
          <w:tcPr>
            <w:tcW w:type="dxa" w:w="1800"/>
            <w:tcMar>
              <w:top w:w="80" w:type="dxa"/>
              <w:start w:w="100" w:type="dxa"/>
              <w:bottom w:w="80" w:type="dxa"/>
              <w:end w:w="100" w:type="dxa"/>
            </w:tcMar>
            <w:vAlign w:val="center"/>
            <w:shd w:fill="F2F2F2"/>
          </w:tcPr>
          <w:p>
            <w:pPr>
              <w:spacing w:after="0" w:line="240" w:lineRule="auto"/>
              <w:jc w:val="center"/>
            </w:pPr>
            <w:r>
              <w:rPr>
                <w:rFonts w:ascii="Times New Roman" w:hAnsi="Times New Roman"/>
                <w:b/>
                <w:sz w:val="14"/>
              </w:rPr>
              <w:t>Best Model</w:t>
            </w:r>
          </w:p>
        </w:tc>
        <w:tc>
          <w:tcPr>
            <w:tcW w:type="dxa" w:w="1400"/>
            <w:tcMar>
              <w:top w:w="80" w:type="dxa"/>
              <w:start w:w="100" w:type="dxa"/>
              <w:bottom w:w="80" w:type="dxa"/>
              <w:end w:w="100" w:type="dxa"/>
            </w:tcMar>
            <w:vAlign w:val="center"/>
            <w:shd w:fill="F2F2F2"/>
          </w:tcPr>
          <w:p>
            <w:pPr>
              <w:spacing w:after="0" w:line="240" w:lineRule="auto"/>
              <w:jc w:val="center"/>
            </w:pPr>
            <w:r>
              <w:rPr>
                <w:rFonts w:ascii="Times New Roman" w:hAnsi="Times New Roman"/>
                <w:b/>
                <w:sz w:val="14"/>
              </w:rPr>
              <w:t>Precision</w:t>
            </w:r>
          </w:p>
        </w:tc>
        <w:tc>
          <w:tcPr>
            <w:tcW w:type="dxa" w:w="1400"/>
            <w:tcMar>
              <w:top w:w="80" w:type="dxa"/>
              <w:start w:w="100" w:type="dxa"/>
              <w:bottom w:w="80" w:type="dxa"/>
              <w:end w:w="100" w:type="dxa"/>
            </w:tcMar>
            <w:vAlign w:val="center"/>
            <w:shd w:fill="F2F2F2"/>
          </w:tcPr>
          <w:p>
            <w:pPr>
              <w:spacing w:after="0" w:line="240" w:lineRule="auto"/>
              <w:jc w:val="center"/>
            </w:pPr>
            <w:r>
              <w:rPr>
                <w:rFonts w:ascii="Times New Roman" w:hAnsi="Times New Roman"/>
                <w:b/>
                <w:sz w:val="14"/>
              </w:rPr>
              <w:t>Recall</w:t>
            </w:r>
          </w:p>
        </w:tc>
        <w:tc>
          <w:tcPr>
            <w:tcW w:type="dxa" w:w="1900"/>
            <w:tcMar>
              <w:top w:w="80" w:type="dxa"/>
              <w:start w:w="100" w:type="dxa"/>
              <w:bottom w:w="80" w:type="dxa"/>
              <w:end w:w="100" w:type="dxa"/>
            </w:tcMar>
            <w:vAlign w:val="center"/>
            <w:shd w:fill="F2F2F2"/>
          </w:tcPr>
          <w:p>
            <w:pPr>
              <w:spacing w:after="0" w:line="240" w:lineRule="auto"/>
              <w:jc w:val="center"/>
            </w:pPr>
            <w:r>
              <w:rPr>
                <w:rFonts w:ascii="Times New Roman" w:hAnsi="Times New Roman"/>
                <w:b/>
                <w:sz w:val="14"/>
              </w:rPr>
              <w:t>Fraud-Class F1</w:t>
            </w:r>
          </w:p>
        </w:tc>
        <w:tc>
          <w:tcPr>
            <w:tcW w:type="dxa" w:w="2010"/>
            <w:tcMar>
              <w:top w:w="80" w:type="dxa"/>
              <w:start w:w="100" w:type="dxa"/>
              <w:bottom w:w="80" w:type="dxa"/>
              <w:end w:w="100" w:type="dxa"/>
            </w:tcMar>
            <w:vAlign w:val="center"/>
            <w:shd w:fill="F2F2F2"/>
          </w:tcPr>
          <w:p>
            <w:pPr>
              <w:spacing w:after="0" w:line="240" w:lineRule="auto"/>
              <w:jc w:val="center"/>
            </w:pPr>
            <w:r>
              <w:rPr>
                <w:rFonts w:ascii="Times New Roman" w:hAnsi="Times New Roman"/>
                <w:b/>
                <w:sz w:val="14"/>
              </w:rPr>
              <w:t>PR-AUC</w:t>
            </w:r>
          </w:p>
        </w:tc>
      </w:tr>
      <w:tr>
        <w:tc>
          <w:tcPr>
            <w:tcW w:type="dxa" w:w="850"/>
            <w:tcMar>
              <w:top w:w="80" w:type="dxa"/>
              <w:start w:w="100" w:type="dxa"/>
              <w:bottom w:w="80" w:type="dxa"/>
              <w:end w:w="100" w:type="dxa"/>
            </w:tcMar>
            <w:vAlign w:val="center"/>
          </w:tcPr>
          <w:p>
            <w:pPr>
              <w:spacing w:after="0" w:line="240" w:lineRule="auto"/>
            </w:pPr>
            <w:r>
              <w:rPr>
                <w:rFonts w:ascii="Times New Roman" w:hAnsi="Times New Roman"/>
                <w:b w:val="0"/>
                <w:sz w:val="14"/>
              </w:rPr>
              <w:t>v1</w:t>
            </w:r>
          </w:p>
        </w:tc>
        <w:tc>
          <w:tcPr>
            <w:tcW w:type="dxa" w:w="1800"/>
            <w:tcMar>
              <w:top w:w="80" w:type="dxa"/>
              <w:start w:w="100" w:type="dxa"/>
              <w:bottom w:w="80" w:type="dxa"/>
              <w:end w:w="100" w:type="dxa"/>
            </w:tcMar>
            <w:vAlign w:val="center"/>
          </w:tcPr>
          <w:p>
            <w:pPr>
              <w:spacing w:after="0" w:line="240" w:lineRule="auto"/>
              <w:jc w:val="center"/>
            </w:pPr>
            <w:r>
              <w:rPr>
                <w:rFonts w:ascii="Times New Roman" w:hAnsi="Times New Roman"/>
                <w:b w:val="0"/>
                <w:sz w:val="14"/>
              </w:rPr>
              <w:t>DecisionTree</w:t>
            </w:r>
          </w:p>
        </w:tc>
        <w:tc>
          <w:tcPr>
            <w:tcW w:type="dxa" w:w="1400"/>
            <w:tcMar>
              <w:top w:w="80" w:type="dxa"/>
              <w:start w:w="100" w:type="dxa"/>
              <w:bottom w:w="80" w:type="dxa"/>
              <w:end w:w="100" w:type="dxa"/>
            </w:tcMar>
            <w:vAlign w:val="center"/>
          </w:tcPr>
          <w:p>
            <w:pPr>
              <w:spacing w:after="0" w:line="240" w:lineRule="auto"/>
              <w:jc w:val="center"/>
            </w:pPr>
            <w:r>
              <w:rPr>
                <w:rFonts w:ascii="Times New Roman" w:hAnsi="Times New Roman"/>
                <w:b w:val="0"/>
                <w:sz w:val="14"/>
              </w:rPr>
              <w:t>0.9760</w:t>
            </w:r>
          </w:p>
        </w:tc>
        <w:tc>
          <w:tcPr>
            <w:tcW w:type="dxa" w:w="1400"/>
            <w:tcMar>
              <w:top w:w="80" w:type="dxa"/>
              <w:start w:w="100" w:type="dxa"/>
              <w:bottom w:w="80" w:type="dxa"/>
              <w:end w:w="100" w:type="dxa"/>
            </w:tcMar>
            <w:vAlign w:val="center"/>
          </w:tcPr>
          <w:p>
            <w:pPr>
              <w:spacing w:after="0" w:line="240" w:lineRule="auto"/>
              <w:jc w:val="center"/>
            </w:pPr>
            <w:r>
              <w:rPr>
                <w:rFonts w:ascii="Times New Roman" w:hAnsi="Times New Roman"/>
                <w:b w:val="0"/>
                <w:sz w:val="14"/>
              </w:rPr>
              <w:t>0.7040</w:t>
            </w:r>
          </w:p>
        </w:tc>
        <w:tc>
          <w:tcPr>
            <w:tcW w:type="dxa" w:w="1900"/>
            <w:tcMar>
              <w:top w:w="80" w:type="dxa"/>
              <w:start w:w="100" w:type="dxa"/>
              <w:bottom w:w="80" w:type="dxa"/>
              <w:end w:w="100" w:type="dxa"/>
            </w:tcMar>
            <w:vAlign w:val="center"/>
          </w:tcPr>
          <w:p>
            <w:pPr>
              <w:spacing w:after="0" w:line="240" w:lineRule="auto"/>
              <w:jc w:val="center"/>
            </w:pPr>
            <w:r>
              <w:rPr>
                <w:rFonts w:ascii="Times New Roman" w:hAnsi="Times New Roman"/>
                <w:b w:val="0"/>
                <w:sz w:val="14"/>
              </w:rPr>
              <w:t>0.8180</w:t>
            </w:r>
          </w:p>
        </w:tc>
        <w:tc>
          <w:tcPr>
            <w:tcW w:type="dxa" w:w="2010"/>
            <w:tcMar>
              <w:top w:w="80" w:type="dxa"/>
              <w:start w:w="100" w:type="dxa"/>
              <w:bottom w:w="80" w:type="dxa"/>
              <w:end w:w="100" w:type="dxa"/>
            </w:tcMar>
            <w:vAlign w:val="center"/>
          </w:tcPr>
          <w:p>
            <w:pPr>
              <w:spacing w:after="0" w:line="240" w:lineRule="auto"/>
              <w:jc w:val="center"/>
            </w:pPr>
            <w:r>
              <w:rPr>
                <w:rFonts w:ascii="Times New Roman" w:hAnsi="Times New Roman"/>
                <w:b w:val="0"/>
                <w:sz w:val="14"/>
              </w:rPr>
              <w:t>0.8237</w:t>
            </w:r>
          </w:p>
        </w:tc>
      </w:tr>
      <w:tr>
        <w:tc>
          <w:tcPr>
            <w:tcW w:type="dxa" w:w="850"/>
            <w:tcMar>
              <w:top w:w="80" w:type="dxa"/>
              <w:start w:w="100" w:type="dxa"/>
              <w:bottom w:w="80" w:type="dxa"/>
              <w:end w:w="100" w:type="dxa"/>
            </w:tcMar>
            <w:vAlign w:val="center"/>
          </w:tcPr>
          <w:p>
            <w:pPr>
              <w:spacing w:after="0" w:line="240" w:lineRule="auto"/>
            </w:pPr>
            <w:r>
              <w:rPr>
                <w:rFonts w:ascii="Times New Roman" w:hAnsi="Times New Roman"/>
                <w:b w:val="0"/>
                <w:sz w:val="14"/>
              </w:rPr>
              <w:t>v2</w:t>
            </w:r>
          </w:p>
        </w:tc>
        <w:tc>
          <w:tcPr>
            <w:tcW w:type="dxa" w:w="1800"/>
            <w:tcMar>
              <w:top w:w="80" w:type="dxa"/>
              <w:start w:w="100" w:type="dxa"/>
              <w:bottom w:w="80" w:type="dxa"/>
              <w:end w:w="100" w:type="dxa"/>
            </w:tcMar>
            <w:vAlign w:val="center"/>
          </w:tcPr>
          <w:p>
            <w:pPr>
              <w:spacing w:after="0" w:line="240" w:lineRule="auto"/>
              <w:jc w:val="center"/>
            </w:pPr>
            <w:r>
              <w:rPr>
                <w:rFonts w:ascii="Times New Roman" w:hAnsi="Times New Roman"/>
                <w:b w:val="0"/>
                <w:sz w:val="14"/>
              </w:rPr>
              <w:t>RandomForest</w:t>
            </w:r>
          </w:p>
        </w:tc>
        <w:tc>
          <w:tcPr>
            <w:tcW w:type="dxa" w:w="1400"/>
            <w:tcMar>
              <w:top w:w="80" w:type="dxa"/>
              <w:start w:w="100" w:type="dxa"/>
              <w:bottom w:w="80" w:type="dxa"/>
              <w:end w:w="100" w:type="dxa"/>
            </w:tcMar>
            <w:vAlign w:val="center"/>
          </w:tcPr>
          <w:p>
            <w:pPr>
              <w:spacing w:after="0" w:line="240" w:lineRule="auto"/>
              <w:jc w:val="center"/>
            </w:pPr>
            <w:r>
              <w:rPr>
                <w:rFonts w:ascii="Times New Roman" w:hAnsi="Times New Roman"/>
                <w:b w:val="0"/>
                <w:sz w:val="14"/>
              </w:rPr>
              <w:t>0.9527</w:t>
            </w:r>
          </w:p>
        </w:tc>
        <w:tc>
          <w:tcPr>
            <w:tcW w:type="dxa" w:w="1400"/>
            <w:tcMar>
              <w:top w:w="80" w:type="dxa"/>
              <w:start w:w="100" w:type="dxa"/>
              <w:bottom w:w="80" w:type="dxa"/>
              <w:end w:w="100" w:type="dxa"/>
            </w:tcMar>
            <w:vAlign w:val="center"/>
          </w:tcPr>
          <w:p>
            <w:pPr>
              <w:spacing w:after="0" w:line="240" w:lineRule="auto"/>
              <w:jc w:val="center"/>
            </w:pPr>
            <w:r>
              <w:rPr>
                <w:rFonts w:ascii="Times New Roman" w:hAnsi="Times New Roman"/>
                <w:b w:val="0"/>
                <w:sz w:val="14"/>
              </w:rPr>
              <w:t>0.7153</w:t>
            </w:r>
          </w:p>
        </w:tc>
        <w:tc>
          <w:tcPr>
            <w:tcW w:type="dxa" w:w="1900"/>
            <w:tcMar>
              <w:top w:w="80" w:type="dxa"/>
              <w:start w:w="100" w:type="dxa"/>
              <w:bottom w:w="80" w:type="dxa"/>
              <w:end w:w="100" w:type="dxa"/>
            </w:tcMar>
            <w:vAlign w:val="center"/>
          </w:tcPr>
          <w:p>
            <w:pPr>
              <w:spacing w:after="0" w:line="240" w:lineRule="auto"/>
              <w:jc w:val="center"/>
            </w:pPr>
            <w:r>
              <w:rPr>
                <w:rFonts w:ascii="Times New Roman" w:hAnsi="Times New Roman"/>
                <w:b w:val="0"/>
                <w:sz w:val="14"/>
              </w:rPr>
              <w:t>0.8171</w:t>
            </w:r>
          </w:p>
        </w:tc>
        <w:tc>
          <w:tcPr>
            <w:tcW w:type="dxa" w:w="2010"/>
            <w:tcMar>
              <w:top w:w="80" w:type="dxa"/>
              <w:start w:w="100" w:type="dxa"/>
              <w:bottom w:w="80" w:type="dxa"/>
              <w:end w:w="100" w:type="dxa"/>
            </w:tcMar>
            <w:vAlign w:val="center"/>
          </w:tcPr>
          <w:p>
            <w:pPr>
              <w:spacing w:after="0" w:line="240" w:lineRule="auto"/>
              <w:jc w:val="center"/>
            </w:pPr>
            <w:r>
              <w:rPr>
                <w:rFonts w:ascii="Times New Roman" w:hAnsi="Times New Roman"/>
                <w:b w:val="0"/>
                <w:sz w:val="14"/>
              </w:rPr>
              <w:t>0.8265</w:t>
            </w:r>
          </w:p>
        </w:tc>
      </w:tr>
      <w:tr>
        <w:tc>
          <w:tcPr>
            <w:tcW w:type="dxa" w:w="850"/>
            <w:tcMar>
              <w:top w:w="80" w:type="dxa"/>
              <w:start w:w="100" w:type="dxa"/>
              <w:bottom w:w="80" w:type="dxa"/>
              <w:end w:w="100" w:type="dxa"/>
            </w:tcMar>
            <w:vAlign w:val="center"/>
          </w:tcPr>
          <w:p>
            <w:pPr>
              <w:spacing w:after="0" w:line="240" w:lineRule="auto"/>
            </w:pPr>
            <w:r>
              <w:rPr>
                <w:rFonts w:ascii="Times New Roman" w:hAnsi="Times New Roman"/>
                <w:b w:val="0"/>
                <w:sz w:val="14"/>
              </w:rPr>
              <w:t>v3</w:t>
            </w:r>
          </w:p>
        </w:tc>
        <w:tc>
          <w:tcPr>
            <w:tcW w:type="dxa" w:w="1800"/>
            <w:tcMar>
              <w:top w:w="80" w:type="dxa"/>
              <w:start w:w="100" w:type="dxa"/>
              <w:bottom w:w="80" w:type="dxa"/>
              <w:end w:w="100" w:type="dxa"/>
            </w:tcMar>
            <w:vAlign w:val="center"/>
          </w:tcPr>
          <w:p>
            <w:pPr>
              <w:spacing w:after="0" w:line="240" w:lineRule="auto"/>
              <w:jc w:val="center"/>
            </w:pPr>
            <w:r>
              <w:rPr>
                <w:rFonts w:ascii="Times New Roman" w:hAnsi="Times New Roman"/>
                <w:b w:val="0"/>
                <w:sz w:val="14"/>
              </w:rPr>
              <w:t>RandomForest</w:t>
            </w:r>
          </w:p>
        </w:tc>
        <w:tc>
          <w:tcPr>
            <w:tcW w:type="dxa" w:w="1400"/>
            <w:tcMar>
              <w:top w:w="80" w:type="dxa"/>
              <w:start w:w="100" w:type="dxa"/>
              <w:bottom w:w="80" w:type="dxa"/>
              <w:end w:w="100" w:type="dxa"/>
            </w:tcMar>
            <w:vAlign w:val="center"/>
          </w:tcPr>
          <w:p>
            <w:pPr>
              <w:spacing w:after="0" w:line="240" w:lineRule="auto"/>
              <w:jc w:val="center"/>
            </w:pPr>
            <w:r>
              <w:rPr>
                <w:rFonts w:ascii="Times New Roman" w:hAnsi="Times New Roman"/>
                <w:b w:val="0"/>
                <w:sz w:val="14"/>
              </w:rPr>
              <w:t>0.9985</w:t>
            </w:r>
          </w:p>
        </w:tc>
        <w:tc>
          <w:tcPr>
            <w:tcW w:type="dxa" w:w="1400"/>
            <w:tcMar>
              <w:top w:w="80" w:type="dxa"/>
              <w:start w:w="100" w:type="dxa"/>
              <w:bottom w:w="80" w:type="dxa"/>
              <w:end w:w="100" w:type="dxa"/>
            </w:tcMar>
            <w:vAlign w:val="center"/>
          </w:tcPr>
          <w:p>
            <w:pPr>
              <w:spacing w:after="0" w:line="240" w:lineRule="auto"/>
              <w:jc w:val="center"/>
            </w:pPr>
            <w:r>
              <w:rPr>
                <w:rFonts w:ascii="Times New Roman" w:hAnsi="Times New Roman"/>
                <w:b w:val="0"/>
                <w:sz w:val="14"/>
              </w:rPr>
              <w:t>0.7581</w:t>
            </w:r>
          </w:p>
        </w:tc>
        <w:tc>
          <w:tcPr>
            <w:tcW w:type="dxa" w:w="1900"/>
            <w:tcMar>
              <w:top w:w="80" w:type="dxa"/>
              <w:start w:w="100" w:type="dxa"/>
              <w:bottom w:w="80" w:type="dxa"/>
              <w:end w:w="100" w:type="dxa"/>
            </w:tcMar>
            <w:vAlign w:val="center"/>
          </w:tcPr>
          <w:p>
            <w:pPr>
              <w:spacing w:after="0" w:line="240" w:lineRule="auto"/>
              <w:jc w:val="center"/>
            </w:pPr>
            <w:r>
              <w:rPr>
                <w:rFonts w:ascii="Times New Roman" w:hAnsi="Times New Roman"/>
                <w:b w:val="0"/>
                <w:sz w:val="14"/>
              </w:rPr>
              <w:t>0.8618</w:t>
            </w:r>
          </w:p>
        </w:tc>
        <w:tc>
          <w:tcPr>
            <w:tcW w:type="dxa" w:w="2010"/>
            <w:tcMar>
              <w:top w:w="80" w:type="dxa"/>
              <w:start w:w="100" w:type="dxa"/>
              <w:bottom w:w="80" w:type="dxa"/>
              <w:end w:w="100" w:type="dxa"/>
            </w:tcMar>
            <w:vAlign w:val="center"/>
          </w:tcPr>
          <w:p>
            <w:pPr>
              <w:spacing w:after="0" w:line="240" w:lineRule="auto"/>
              <w:jc w:val="center"/>
            </w:pPr>
            <w:r>
              <w:rPr>
                <w:rFonts w:ascii="Times New Roman" w:hAnsi="Times New Roman"/>
                <w:b w:val="0"/>
                <w:sz w:val="14"/>
              </w:rPr>
              <w:t>0.8552</w:t>
            </w:r>
          </w:p>
        </w:tc>
      </w:tr>
      <w:tr>
        <w:tc>
          <w:tcPr>
            <w:tcW w:type="dxa" w:w="850"/>
            <w:tcMar>
              <w:top w:w="80" w:type="dxa"/>
              <w:start w:w="100" w:type="dxa"/>
              <w:bottom w:w="80" w:type="dxa"/>
              <w:end w:w="100" w:type="dxa"/>
            </w:tcMar>
            <w:vAlign w:val="center"/>
          </w:tcPr>
          <w:p>
            <w:pPr>
              <w:spacing w:after="0" w:line="240" w:lineRule="auto"/>
            </w:pPr>
            <w:r>
              <w:rPr>
                <w:rFonts w:ascii="Times New Roman" w:hAnsi="Times New Roman"/>
                <w:b w:val="0"/>
                <w:sz w:val="14"/>
              </w:rPr>
              <w:t>v4</w:t>
            </w:r>
          </w:p>
        </w:tc>
        <w:tc>
          <w:tcPr>
            <w:tcW w:type="dxa" w:w="1800"/>
            <w:tcMar>
              <w:top w:w="80" w:type="dxa"/>
              <w:start w:w="100" w:type="dxa"/>
              <w:bottom w:w="80" w:type="dxa"/>
              <w:end w:w="100" w:type="dxa"/>
            </w:tcMar>
            <w:vAlign w:val="center"/>
          </w:tcPr>
          <w:p>
            <w:pPr>
              <w:spacing w:after="0" w:line="240" w:lineRule="auto"/>
              <w:jc w:val="center"/>
            </w:pPr>
            <w:r>
              <w:rPr>
                <w:rFonts w:ascii="Times New Roman" w:hAnsi="Times New Roman"/>
                <w:b w:val="0"/>
                <w:sz w:val="14"/>
              </w:rPr>
              <w:t>CatBoost</w:t>
            </w:r>
          </w:p>
        </w:tc>
        <w:tc>
          <w:tcPr>
            <w:tcW w:type="dxa" w:w="1400"/>
            <w:tcMar>
              <w:top w:w="80" w:type="dxa"/>
              <w:start w:w="100" w:type="dxa"/>
              <w:bottom w:w="80" w:type="dxa"/>
              <w:end w:w="100" w:type="dxa"/>
            </w:tcMar>
            <w:vAlign w:val="center"/>
          </w:tcPr>
          <w:p>
            <w:pPr>
              <w:spacing w:after="0" w:line="240" w:lineRule="auto"/>
              <w:jc w:val="center"/>
            </w:pPr>
            <w:r>
              <w:rPr>
                <w:rFonts w:ascii="Times New Roman" w:hAnsi="Times New Roman"/>
                <w:b w:val="0"/>
                <w:sz w:val="14"/>
              </w:rPr>
              <w:t>0.9998</w:t>
            </w:r>
          </w:p>
        </w:tc>
        <w:tc>
          <w:tcPr>
            <w:tcW w:type="dxa" w:w="1400"/>
            <w:tcMar>
              <w:top w:w="80" w:type="dxa"/>
              <w:start w:w="100" w:type="dxa"/>
              <w:bottom w:w="80" w:type="dxa"/>
              <w:end w:w="100" w:type="dxa"/>
            </w:tcMar>
            <w:vAlign w:val="center"/>
          </w:tcPr>
          <w:p>
            <w:pPr>
              <w:spacing w:after="0" w:line="240" w:lineRule="auto"/>
              <w:jc w:val="center"/>
            </w:pPr>
            <w:r>
              <w:rPr>
                <w:rFonts w:ascii="Times New Roman" w:hAnsi="Times New Roman"/>
                <w:b w:val="0"/>
                <w:sz w:val="14"/>
              </w:rPr>
              <w:t>0.7570</w:t>
            </w:r>
          </w:p>
        </w:tc>
        <w:tc>
          <w:tcPr>
            <w:tcW w:type="dxa" w:w="1900"/>
            <w:tcMar>
              <w:top w:w="80" w:type="dxa"/>
              <w:start w:w="100" w:type="dxa"/>
              <w:bottom w:w="80" w:type="dxa"/>
              <w:end w:w="100" w:type="dxa"/>
            </w:tcMar>
            <w:vAlign w:val="center"/>
          </w:tcPr>
          <w:p>
            <w:pPr>
              <w:spacing w:after="0" w:line="240" w:lineRule="auto"/>
              <w:jc w:val="center"/>
            </w:pPr>
            <w:r>
              <w:rPr>
                <w:rFonts w:ascii="Times New Roman" w:hAnsi="Times New Roman"/>
                <w:b w:val="0"/>
                <w:sz w:val="14"/>
              </w:rPr>
              <w:t>0.8616</w:t>
            </w:r>
          </w:p>
        </w:tc>
        <w:tc>
          <w:tcPr>
            <w:tcW w:type="dxa" w:w="2010"/>
            <w:tcMar>
              <w:top w:w="80" w:type="dxa"/>
              <w:start w:w="100" w:type="dxa"/>
              <w:bottom w:w="80" w:type="dxa"/>
              <w:end w:w="100" w:type="dxa"/>
            </w:tcMar>
            <w:vAlign w:val="center"/>
          </w:tcPr>
          <w:p>
            <w:pPr>
              <w:spacing w:after="0" w:line="240" w:lineRule="auto"/>
              <w:jc w:val="center"/>
            </w:pPr>
            <w:r>
              <w:rPr>
                <w:rFonts w:ascii="Times New Roman" w:hAnsi="Times New Roman"/>
                <w:b w:val="0"/>
                <w:sz w:val="14"/>
              </w:rPr>
              <w:t>0.8564</w:t>
            </w:r>
          </w:p>
        </w:tc>
      </w:tr>
      <w:tr>
        <w:tc>
          <w:tcPr>
            <w:tcW w:type="dxa" w:w="850"/>
            <w:tcMar>
              <w:top w:w="80" w:type="dxa"/>
              <w:start w:w="100" w:type="dxa"/>
              <w:bottom w:w="80" w:type="dxa"/>
              <w:end w:w="100" w:type="dxa"/>
            </w:tcMar>
            <w:vAlign w:val="center"/>
          </w:tcPr>
          <w:p>
            <w:pPr>
              <w:spacing w:after="0" w:line="240" w:lineRule="auto"/>
            </w:pPr>
            <w:r>
              <w:rPr>
                <w:rFonts w:ascii="Times New Roman" w:hAnsi="Times New Roman"/>
                <w:b w:val="0"/>
                <w:sz w:val="14"/>
              </w:rPr>
              <w:t>v5</w:t>
            </w:r>
          </w:p>
        </w:tc>
        <w:tc>
          <w:tcPr>
            <w:tcW w:type="dxa" w:w="1800"/>
            <w:tcMar>
              <w:top w:w="80" w:type="dxa"/>
              <w:start w:w="100" w:type="dxa"/>
              <w:bottom w:w="80" w:type="dxa"/>
              <w:end w:w="100" w:type="dxa"/>
            </w:tcMar>
            <w:vAlign w:val="center"/>
          </w:tcPr>
          <w:p>
            <w:pPr>
              <w:spacing w:after="0" w:line="240" w:lineRule="auto"/>
              <w:jc w:val="center"/>
            </w:pPr>
            <w:r>
              <w:rPr>
                <w:rFonts w:ascii="Times New Roman" w:hAnsi="Times New Roman"/>
                <w:b w:val="0"/>
                <w:sz w:val="14"/>
              </w:rPr>
              <w:t>CatBoost</w:t>
            </w:r>
          </w:p>
        </w:tc>
        <w:tc>
          <w:tcPr>
            <w:tcW w:type="dxa" w:w="1400"/>
            <w:tcMar>
              <w:top w:w="80" w:type="dxa"/>
              <w:start w:w="100" w:type="dxa"/>
              <w:bottom w:w="80" w:type="dxa"/>
              <w:end w:w="100" w:type="dxa"/>
            </w:tcMar>
            <w:vAlign w:val="center"/>
          </w:tcPr>
          <w:p>
            <w:pPr>
              <w:spacing w:after="0" w:line="240" w:lineRule="auto"/>
              <w:jc w:val="center"/>
            </w:pPr>
            <w:r>
              <w:rPr>
                <w:rFonts w:ascii="Times New Roman" w:hAnsi="Times New Roman"/>
                <w:b w:val="0"/>
                <w:sz w:val="14"/>
              </w:rPr>
              <w:t>0.9999</w:t>
            </w:r>
          </w:p>
        </w:tc>
        <w:tc>
          <w:tcPr>
            <w:tcW w:type="dxa" w:w="1400"/>
            <w:tcMar>
              <w:top w:w="80" w:type="dxa"/>
              <w:start w:w="100" w:type="dxa"/>
              <w:bottom w:w="80" w:type="dxa"/>
              <w:end w:w="100" w:type="dxa"/>
            </w:tcMar>
            <w:vAlign w:val="center"/>
          </w:tcPr>
          <w:p>
            <w:pPr>
              <w:spacing w:after="0" w:line="240" w:lineRule="auto"/>
              <w:jc w:val="center"/>
            </w:pPr>
            <w:r>
              <w:rPr>
                <w:rFonts w:ascii="Times New Roman" w:hAnsi="Times New Roman"/>
                <w:b w:val="0"/>
                <w:sz w:val="14"/>
              </w:rPr>
              <w:t>0.7571</w:t>
            </w:r>
          </w:p>
        </w:tc>
        <w:tc>
          <w:tcPr>
            <w:tcW w:type="dxa" w:w="1900"/>
            <w:tcMar>
              <w:top w:w="80" w:type="dxa"/>
              <w:start w:w="100" w:type="dxa"/>
              <w:bottom w:w="80" w:type="dxa"/>
              <w:end w:w="100" w:type="dxa"/>
            </w:tcMar>
            <w:vAlign w:val="center"/>
          </w:tcPr>
          <w:p>
            <w:pPr>
              <w:spacing w:after="0" w:line="240" w:lineRule="auto"/>
              <w:jc w:val="center"/>
            </w:pPr>
            <w:r>
              <w:rPr>
                <w:rFonts w:ascii="Times New Roman" w:hAnsi="Times New Roman"/>
                <w:b w:val="0"/>
                <w:sz w:val="14"/>
              </w:rPr>
              <w:t>0.8617</w:t>
            </w:r>
          </w:p>
        </w:tc>
        <w:tc>
          <w:tcPr>
            <w:tcW w:type="dxa" w:w="2010"/>
            <w:tcMar>
              <w:top w:w="80" w:type="dxa"/>
              <w:start w:w="100" w:type="dxa"/>
              <w:bottom w:w="80" w:type="dxa"/>
              <w:end w:w="100" w:type="dxa"/>
            </w:tcMar>
            <w:vAlign w:val="center"/>
          </w:tcPr>
          <w:p>
            <w:pPr>
              <w:spacing w:after="0" w:line="240" w:lineRule="auto"/>
              <w:jc w:val="center"/>
            </w:pPr>
            <w:r>
              <w:rPr>
                <w:rFonts w:ascii="Times New Roman" w:hAnsi="Times New Roman"/>
                <w:b w:val="0"/>
                <w:sz w:val="14"/>
              </w:rPr>
              <w:t>0.8558</w:t>
            </w:r>
          </w:p>
        </w:tc>
      </w:tr>
    </w:tbl>
    <w:p>
      <w:pPr>
        <w:spacing w:after="60"/>
      </w:pPr>
    </w:p>
    <w:p>
      <w:pPr>
        <w:pStyle w:val="Heading2"/>
      </w:pPr>
      <w:r>
        <w:t>C. Impact of Progressive Feature Engineering</w:t>
      </w:r>
    </w:p>
    <w:p>
      <w:pPr>
        <w:keepLines w:val="0"/>
      </w:pPr>
      <w:r>
        <w:rPr>
          <w:rFonts w:ascii="Times New Roman" w:hAnsi="Times New Roman"/>
          <w:b w:val="0"/>
          <w:i w:val="0"/>
          <w:sz w:val="20"/>
        </w:rPr>
        <w:t>Fig. 4 shows that the largest gain occurs from v2 to v3. Versions v3-v5 are practically close, so differences below 0.001 should not be overstated without repeated-seed or uncertainty analysis.</w:t>
      </w:r>
    </w:p>
    <w:p>
      <w:pPr>
        <w:keepNext/>
        <w:spacing w:before="80" w:after="40"/>
        <w:jc w:val="center"/>
      </w:pPr>
      <w:r>
        <w:drawing>
          <wp:inline xmlns:a="http://schemas.openxmlformats.org/drawingml/2006/main" xmlns:pic="http://schemas.openxmlformats.org/drawingml/2006/picture">
            <wp:extent cx="5394960" cy="3135571"/>
            <wp:docPr id="4" name="Picture 4"/>
            <wp:cNvGraphicFramePr>
              <a:graphicFrameLocks noChangeAspect="1"/>
            </wp:cNvGraphicFramePr>
            <a:graphic>
              <a:graphicData uri="http://schemas.openxmlformats.org/drawingml/2006/picture">
                <pic:pic>
                  <pic:nvPicPr>
                    <pic:cNvPr id="0" name="figure4_fraud_f1_comparison.png"/>
                    <pic:cNvPicPr/>
                  </pic:nvPicPr>
                  <pic:blipFill>
                    <a:blip r:embed="rId14"/>
                    <a:stretch>
                      <a:fillRect/>
                    </a:stretch>
                  </pic:blipFill>
                  <pic:spPr>
                    <a:xfrm>
                      <a:off x="0" y="0"/>
                      <a:ext cx="5394960" cy="3135571"/>
                    </a:xfrm>
                    <a:prstGeom prst="rect"/>
                  </pic:spPr>
                </pic:pic>
              </a:graphicData>
            </a:graphic>
          </wp:inline>
        </w:drawing>
      </w:r>
    </w:p>
    <w:p>
      <w:pPr>
        <w:keepLines/>
        <w:spacing w:after="120"/>
        <w:jc w:val="center"/>
      </w:pPr>
      <w:r>
        <w:rPr>
          <w:rFonts w:ascii="Times New Roman" w:hAnsi="Times New Roman"/>
          <w:b/>
          <w:sz w:val="17"/>
        </w:rPr>
        <w:t>Fig. 4. Fraud-class F1 comparison across dataset versions.</w:t>
      </w:r>
    </w:p>
    <w:p>
      <w:pPr>
        <w:pStyle w:val="Heading2"/>
      </w:pPr>
      <w:r>
        <w:t>D. Impact of SMOTE</w:t>
      </w:r>
    </w:p>
    <w:p>
      <w:pPr>
        <w:keepLines w:val="0"/>
      </w:pPr>
      <w:r>
        <w:rPr>
          <w:rFonts w:ascii="Times New Roman" w:hAnsi="Times New Roman"/>
          <w:b w:val="0"/>
          <w:i w:val="0"/>
          <w:sz w:val="20"/>
        </w:rPr>
        <w:t>SMOTE improves default-threshold fraud-class F1 in all five versions. However, it does not improve recall in every selected model. Fig. 5, Fig. 6, and Fig. 7 compare precision, recall, and PR-AUC under No-SMOTE and SMOTE settings.</w:t>
      </w:r>
    </w:p>
    <w:p>
      <w:pPr>
        <w:keepNext/>
        <w:spacing w:before="80" w:after="40"/>
        <w:jc w:val="center"/>
      </w:pPr>
      <w:r>
        <w:drawing>
          <wp:inline xmlns:a="http://schemas.openxmlformats.org/drawingml/2006/main" xmlns:pic="http://schemas.openxmlformats.org/drawingml/2006/picture">
            <wp:extent cx="5349240" cy="3108998"/>
            <wp:docPr id="5" name="Picture 5"/>
            <wp:cNvGraphicFramePr>
              <a:graphicFrameLocks noChangeAspect="1"/>
            </wp:cNvGraphicFramePr>
            <a:graphic>
              <a:graphicData uri="http://schemas.openxmlformats.org/drawingml/2006/picture">
                <pic:pic>
                  <pic:nvPicPr>
                    <pic:cNvPr id="0" name="figure5_precision_comparison.png"/>
                    <pic:cNvPicPr/>
                  </pic:nvPicPr>
                  <pic:blipFill>
                    <a:blip r:embed="rId15"/>
                    <a:stretch>
                      <a:fillRect/>
                    </a:stretch>
                  </pic:blipFill>
                  <pic:spPr>
                    <a:xfrm>
                      <a:off x="0" y="0"/>
                      <a:ext cx="5349240" cy="3108998"/>
                    </a:xfrm>
                    <a:prstGeom prst="rect"/>
                  </pic:spPr>
                </pic:pic>
              </a:graphicData>
            </a:graphic>
          </wp:inline>
        </w:drawing>
      </w:r>
    </w:p>
    <w:p>
      <w:pPr>
        <w:keepLines/>
        <w:spacing w:after="120"/>
        <w:jc w:val="center"/>
      </w:pPr>
      <w:r>
        <w:rPr>
          <w:rFonts w:ascii="Times New Roman" w:hAnsi="Times New Roman"/>
          <w:b/>
          <w:sz w:val="17"/>
        </w:rPr>
        <w:t>Fig. 5. Fraud precision comparison across dataset versions.</w:t>
      </w:r>
    </w:p>
    <w:p>
      <w:pPr>
        <w:keepNext/>
        <w:spacing w:before="80" w:after="40"/>
        <w:jc w:val="center"/>
      </w:pPr>
      <w:r>
        <w:drawing>
          <wp:inline xmlns:a="http://schemas.openxmlformats.org/drawingml/2006/main" xmlns:pic="http://schemas.openxmlformats.org/drawingml/2006/picture">
            <wp:extent cx="5349240" cy="3108998"/>
            <wp:docPr id="6" name="Picture 6"/>
            <wp:cNvGraphicFramePr>
              <a:graphicFrameLocks noChangeAspect="1"/>
            </wp:cNvGraphicFramePr>
            <a:graphic>
              <a:graphicData uri="http://schemas.openxmlformats.org/drawingml/2006/picture">
                <pic:pic>
                  <pic:nvPicPr>
                    <pic:cNvPr id="0" name="figure6_recall_comparison.png"/>
                    <pic:cNvPicPr/>
                  </pic:nvPicPr>
                  <pic:blipFill>
                    <a:blip r:embed="rId16"/>
                    <a:stretch>
                      <a:fillRect/>
                    </a:stretch>
                  </pic:blipFill>
                  <pic:spPr>
                    <a:xfrm>
                      <a:off x="0" y="0"/>
                      <a:ext cx="5349240" cy="3108998"/>
                    </a:xfrm>
                    <a:prstGeom prst="rect"/>
                  </pic:spPr>
                </pic:pic>
              </a:graphicData>
            </a:graphic>
          </wp:inline>
        </w:drawing>
      </w:r>
    </w:p>
    <w:p>
      <w:pPr>
        <w:keepLines/>
        <w:spacing w:after="120"/>
        <w:jc w:val="center"/>
      </w:pPr>
      <w:r>
        <w:rPr>
          <w:rFonts w:ascii="Times New Roman" w:hAnsi="Times New Roman"/>
          <w:b/>
          <w:sz w:val="17"/>
        </w:rPr>
        <w:t>Fig. 6. Fraud recall comparison across dataset versions.</w:t>
      </w:r>
    </w:p>
    <w:p>
      <w:pPr>
        <w:keepNext/>
        <w:spacing w:before="80" w:after="40"/>
        <w:jc w:val="center"/>
      </w:pPr>
      <w:r>
        <w:drawing>
          <wp:inline xmlns:a="http://schemas.openxmlformats.org/drawingml/2006/main" xmlns:pic="http://schemas.openxmlformats.org/drawingml/2006/picture">
            <wp:extent cx="5349240" cy="3108998"/>
            <wp:docPr id="7" name="Picture 7"/>
            <wp:cNvGraphicFramePr>
              <a:graphicFrameLocks noChangeAspect="1"/>
            </wp:cNvGraphicFramePr>
            <a:graphic>
              <a:graphicData uri="http://schemas.openxmlformats.org/drawingml/2006/picture">
                <pic:pic>
                  <pic:nvPicPr>
                    <pic:cNvPr id="0" name="figure7_pr_auc_comparison.png"/>
                    <pic:cNvPicPr/>
                  </pic:nvPicPr>
                  <pic:blipFill>
                    <a:blip r:embed="rId17"/>
                    <a:stretch>
                      <a:fillRect/>
                    </a:stretch>
                  </pic:blipFill>
                  <pic:spPr>
                    <a:xfrm>
                      <a:off x="0" y="0"/>
                      <a:ext cx="5349240" cy="3108998"/>
                    </a:xfrm>
                    <a:prstGeom prst="rect"/>
                  </pic:spPr>
                </pic:pic>
              </a:graphicData>
            </a:graphic>
          </wp:inline>
        </w:drawing>
      </w:r>
    </w:p>
    <w:p>
      <w:pPr>
        <w:keepLines/>
        <w:spacing w:after="120"/>
        <w:jc w:val="center"/>
      </w:pPr>
      <w:r>
        <w:rPr>
          <w:rFonts w:ascii="Times New Roman" w:hAnsi="Times New Roman"/>
          <w:b/>
          <w:sz w:val="17"/>
        </w:rPr>
        <w:t>Fig. 7. PR-AUC comparison across dataset versions.</w:t>
      </w:r>
    </w:p>
    <w:p>
      <w:pPr>
        <w:pStyle w:val="Heading2"/>
      </w:pPr>
      <w:r>
        <w:t>E. Threshold-Tuned Operating Points</w:t>
      </w:r>
    </w:p>
    <w:p>
      <w:pPr>
        <w:keepLines w:val="0"/>
      </w:pPr>
      <w:r>
        <w:rPr>
          <w:rFonts w:ascii="Times New Roman" w:hAnsi="Times New Roman"/>
          <w:b w:val="0"/>
          <w:i w:val="0"/>
          <w:sz w:val="20"/>
        </w:rPr>
        <w:t>Table VI reports validation-selected thresholds and test-set F1 values. Threshold tuning removes most of the practical SMOTE advantage: the best tuned F1 values differ by less than 0.001 across the strongest settings.</w:t>
      </w:r>
    </w:p>
    <w:p>
      <w:r>
        <w:br w:type="page"/>
      </w:r>
    </w:p>
    <w:p>
      <w:pPr>
        <w:keepNext/>
        <w:spacing w:before="100" w:after="0"/>
        <w:jc w:val="center"/>
      </w:pPr>
      <w:r>
        <w:rPr>
          <w:rFonts w:ascii="Times New Roman" w:hAnsi="Times New Roman"/>
          <w:b/>
          <w:sz w:val="18"/>
        </w:rPr>
        <w:t>TABLE VI</w:t>
      </w:r>
    </w:p>
    <w:p>
      <w:pPr>
        <w:keepNext/>
        <w:spacing w:after="60"/>
        <w:jc w:val="center"/>
      </w:pPr>
      <w:r>
        <w:rPr>
          <w:rFonts w:ascii="Times New Roman" w:hAnsi="Times New Roman"/>
          <w:b/>
          <w:sz w:val="18"/>
        </w:rPr>
        <w:t>THRESHOLD-TUNED COMPARISON</w:t>
      </w:r>
    </w:p>
    <w:tbl>
      <w:tblPr>
        <w:tblStyle w:val="TableGrid"/>
        <w:tblW w:type="dxa" w:w="9360"/>
        <w:jc w:val="center"/>
        <w:tblLayout w:type="fixed"/>
        <w:tblLook w:firstColumn="1" w:firstRow="1" w:lastColumn="0" w:lastRow="0" w:noHBand="0" w:noVBand="1" w:val="04A0"/>
        <w:tblInd w:w="0" w:type="dxa"/>
      </w:tblPr>
      <w:tblGrid>
        <w:gridCol w:w="850"/>
        <w:gridCol w:w="1550"/>
        <w:gridCol w:w="1450"/>
        <w:gridCol w:w="1250"/>
        <w:gridCol w:w="1550"/>
        <w:gridCol w:w="1450"/>
        <w:gridCol w:w="1260"/>
      </w:tblGrid>
      <w:tr>
        <w:trPr>
          <w:tblHeader w:val="true"/>
        </w:trPr>
        <w:tc>
          <w:tcPr>
            <w:tcW w:type="dxa" w:w="850"/>
            <w:tcMar>
              <w:top w:w="80" w:type="dxa"/>
              <w:start w:w="100" w:type="dxa"/>
              <w:bottom w:w="80" w:type="dxa"/>
              <w:end w:w="100" w:type="dxa"/>
            </w:tcMar>
            <w:vAlign w:val="center"/>
            <w:shd w:fill="F2F2F2"/>
          </w:tcPr>
          <w:p>
            <w:pPr>
              <w:spacing w:after="0" w:line="240" w:lineRule="auto"/>
            </w:pPr>
            <w:r>
              <w:rPr>
                <w:rFonts w:ascii="Times New Roman" w:hAnsi="Times New Roman"/>
                <w:b/>
                <w:sz w:val="14"/>
              </w:rPr>
              <w:t>Version</w:t>
            </w:r>
          </w:p>
        </w:tc>
        <w:tc>
          <w:tcPr>
            <w:tcW w:type="dxa" w:w="1550"/>
            <w:tcMar>
              <w:top w:w="80" w:type="dxa"/>
              <w:start w:w="100" w:type="dxa"/>
              <w:bottom w:w="80" w:type="dxa"/>
              <w:end w:w="100" w:type="dxa"/>
            </w:tcMar>
            <w:vAlign w:val="center"/>
            <w:shd w:fill="F2F2F2"/>
          </w:tcPr>
          <w:p>
            <w:pPr>
              <w:spacing w:after="0" w:line="240" w:lineRule="auto"/>
              <w:jc w:val="center"/>
            </w:pPr>
            <w:r>
              <w:rPr>
                <w:rFonts w:ascii="Times New Roman" w:hAnsi="Times New Roman"/>
                <w:b/>
                <w:sz w:val="14"/>
              </w:rPr>
              <w:t>No-SMOTE Model</w:t>
            </w:r>
          </w:p>
        </w:tc>
        <w:tc>
          <w:tcPr>
            <w:tcW w:type="dxa" w:w="1450"/>
            <w:tcMar>
              <w:top w:w="80" w:type="dxa"/>
              <w:start w:w="100" w:type="dxa"/>
              <w:bottom w:w="80" w:type="dxa"/>
              <w:end w:w="100" w:type="dxa"/>
            </w:tcMar>
            <w:vAlign w:val="center"/>
            <w:shd w:fill="F2F2F2"/>
          </w:tcPr>
          <w:p>
            <w:pPr>
              <w:spacing w:after="0" w:line="240" w:lineRule="auto"/>
            </w:pPr>
            <w:r>
              <w:rPr>
                <w:rFonts w:ascii="Times New Roman" w:hAnsi="Times New Roman"/>
                <w:b/>
                <w:sz w:val="14"/>
              </w:rPr>
              <w:t>No-SMOTE Threshold</w:t>
            </w:r>
          </w:p>
        </w:tc>
        <w:tc>
          <w:tcPr>
            <w:tcW w:type="dxa" w:w="1250"/>
            <w:tcMar>
              <w:top w:w="80" w:type="dxa"/>
              <w:start w:w="100" w:type="dxa"/>
              <w:bottom w:w="80" w:type="dxa"/>
              <w:end w:w="100" w:type="dxa"/>
            </w:tcMar>
            <w:vAlign w:val="center"/>
            <w:shd w:fill="F2F2F2"/>
          </w:tcPr>
          <w:p>
            <w:pPr>
              <w:spacing w:after="0" w:line="240" w:lineRule="auto"/>
              <w:jc w:val="center"/>
            </w:pPr>
            <w:r>
              <w:rPr>
                <w:rFonts w:ascii="Times New Roman" w:hAnsi="Times New Roman"/>
                <w:b/>
                <w:sz w:val="14"/>
              </w:rPr>
              <w:t>No-SMOTE F1</w:t>
            </w:r>
          </w:p>
        </w:tc>
        <w:tc>
          <w:tcPr>
            <w:tcW w:type="dxa" w:w="1550"/>
            <w:tcMar>
              <w:top w:w="80" w:type="dxa"/>
              <w:start w:w="100" w:type="dxa"/>
              <w:bottom w:w="80" w:type="dxa"/>
              <w:end w:w="100" w:type="dxa"/>
            </w:tcMar>
            <w:vAlign w:val="center"/>
            <w:shd w:fill="F2F2F2"/>
          </w:tcPr>
          <w:p>
            <w:pPr>
              <w:spacing w:after="0" w:line="240" w:lineRule="auto"/>
              <w:jc w:val="center"/>
            </w:pPr>
            <w:r>
              <w:rPr>
                <w:rFonts w:ascii="Times New Roman" w:hAnsi="Times New Roman"/>
                <w:b/>
                <w:sz w:val="14"/>
              </w:rPr>
              <w:t>SMOTE Model</w:t>
            </w:r>
          </w:p>
        </w:tc>
        <w:tc>
          <w:tcPr>
            <w:tcW w:type="dxa" w:w="1450"/>
            <w:tcMar>
              <w:top w:w="80" w:type="dxa"/>
              <w:start w:w="100" w:type="dxa"/>
              <w:bottom w:w="80" w:type="dxa"/>
              <w:end w:w="100" w:type="dxa"/>
            </w:tcMar>
            <w:vAlign w:val="center"/>
            <w:shd w:fill="F2F2F2"/>
          </w:tcPr>
          <w:p>
            <w:pPr>
              <w:spacing w:after="0" w:line="240" w:lineRule="auto"/>
              <w:jc w:val="center"/>
            </w:pPr>
            <w:r>
              <w:rPr>
                <w:rFonts w:ascii="Times New Roman" w:hAnsi="Times New Roman"/>
                <w:b/>
                <w:sz w:val="14"/>
              </w:rPr>
              <w:t>SMOTE Threshold</w:t>
            </w:r>
          </w:p>
        </w:tc>
        <w:tc>
          <w:tcPr>
            <w:tcW w:type="dxa" w:w="1260"/>
            <w:tcMar>
              <w:top w:w="80" w:type="dxa"/>
              <w:start w:w="100" w:type="dxa"/>
              <w:bottom w:w="80" w:type="dxa"/>
              <w:end w:w="100" w:type="dxa"/>
            </w:tcMar>
            <w:vAlign w:val="center"/>
            <w:shd w:fill="F2F2F2"/>
          </w:tcPr>
          <w:p>
            <w:pPr>
              <w:spacing w:after="0" w:line="240" w:lineRule="auto"/>
              <w:jc w:val="center"/>
            </w:pPr>
            <w:r>
              <w:rPr>
                <w:rFonts w:ascii="Times New Roman" w:hAnsi="Times New Roman"/>
                <w:b/>
                <w:sz w:val="14"/>
              </w:rPr>
              <w:t>SMOTE F1</w:t>
            </w:r>
          </w:p>
        </w:tc>
      </w:tr>
      <w:tr>
        <w:tc>
          <w:tcPr>
            <w:tcW w:type="dxa" w:w="850"/>
            <w:tcMar>
              <w:top w:w="80" w:type="dxa"/>
              <w:start w:w="100" w:type="dxa"/>
              <w:bottom w:w="80" w:type="dxa"/>
              <w:end w:w="100" w:type="dxa"/>
            </w:tcMar>
            <w:vAlign w:val="center"/>
          </w:tcPr>
          <w:p>
            <w:pPr>
              <w:spacing w:after="0" w:line="240" w:lineRule="auto"/>
            </w:pPr>
            <w:r>
              <w:rPr>
                <w:rFonts w:ascii="Times New Roman" w:hAnsi="Times New Roman"/>
                <w:b w:val="0"/>
                <w:sz w:val="14"/>
              </w:rPr>
              <w:t>v1</w:t>
            </w:r>
          </w:p>
        </w:tc>
        <w:tc>
          <w:tcPr>
            <w:tcW w:type="dxa" w:w="1550"/>
            <w:tcMar>
              <w:top w:w="80" w:type="dxa"/>
              <w:start w:w="100" w:type="dxa"/>
              <w:bottom w:w="80" w:type="dxa"/>
              <w:end w:w="100" w:type="dxa"/>
            </w:tcMar>
            <w:vAlign w:val="center"/>
          </w:tcPr>
          <w:p>
            <w:pPr>
              <w:spacing w:after="0" w:line="240" w:lineRule="auto"/>
              <w:jc w:val="center"/>
            </w:pPr>
            <w:r>
              <w:rPr>
                <w:rFonts w:ascii="Times New Roman" w:hAnsi="Times New Roman"/>
                <w:b w:val="0"/>
                <w:sz w:val="14"/>
              </w:rPr>
              <w:t>RandomForest</w:t>
            </w:r>
          </w:p>
        </w:tc>
        <w:tc>
          <w:tcPr>
            <w:tcW w:type="dxa" w:w="1450"/>
            <w:tcMar>
              <w:top w:w="80" w:type="dxa"/>
              <w:start w:w="100" w:type="dxa"/>
              <w:bottom w:w="80" w:type="dxa"/>
              <w:end w:w="100" w:type="dxa"/>
            </w:tcMar>
            <w:vAlign w:val="center"/>
          </w:tcPr>
          <w:p>
            <w:pPr>
              <w:spacing w:after="0" w:line="240" w:lineRule="auto"/>
              <w:jc w:val="center"/>
            </w:pPr>
            <w:r>
              <w:rPr>
                <w:rFonts w:ascii="Times New Roman" w:hAnsi="Times New Roman"/>
                <w:b w:val="0"/>
                <w:sz w:val="14"/>
              </w:rPr>
              <w:t>0.80</w:t>
            </w:r>
          </w:p>
        </w:tc>
        <w:tc>
          <w:tcPr>
            <w:tcW w:type="dxa" w:w="1250"/>
            <w:tcMar>
              <w:top w:w="80" w:type="dxa"/>
              <w:start w:w="100" w:type="dxa"/>
              <w:bottom w:w="80" w:type="dxa"/>
              <w:end w:w="100" w:type="dxa"/>
            </w:tcMar>
            <w:vAlign w:val="center"/>
          </w:tcPr>
          <w:p>
            <w:pPr>
              <w:spacing w:after="0" w:line="240" w:lineRule="auto"/>
              <w:jc w:val="center"/>
            </w:pPr>
            <w:r>
              <w:rPr>
                <w:rFonts w:ascii="Times New Roman" w:hAnsi="Times New Roman"/>
                <w:b w:val="0"/>
                <w:sz w:val="14"/>
              </w:rPr>
              <w:t>0.819141</w:t>
            </w:r>
          </w:p>
        </w:tc>
        <w:tc>
          <w:tcPr>
            <w:tcW w:type="dxa" w:w="1550"/>
            <w:tcMar>
              <w:top w:w="80" w:type="dxa"/>
              <w:start w:w="100" w:type="dxa"/>
              <w:bottom w:w="80" w:type="dxa"/>
              <w:end w:w="100" w:type="dxa"/>
            </w:tcMar>
            <w:vAlign w:val="center"/>
          </w:tcPr>
          <w:p>
            <w:pPr>
              <w:spacing w:after="0" w:line="240" w:lineRule="auto"/>
              <w:jc w:val="center"/>
            </w:pPr>
            <w:r>
              <w:rPr>
                <w:rFonts w:ascii="Times New Roman" w:hAnsi="Times New Roman"/>
                <w:b w:val="0"/>
                <w:sz w:val="14"/>
              </w:rPr>
              <w:t>CatBoost</w:t>
            </w:r>
          </w:p>
        </w:tc>
        <w:tc>
          <w:tcPr>
            <w:tcW w:type="dxa" w:w="1450"/>
            <w:tcMar>
              <w:top w:w="80" w:type="dxa"/>
              <w:start w:w="100" w:type="dxa"/>
              <w:bottom w:w="80" w:type="dxa"/>
              <w:end w:w="100" w:type="dxa"/>
            </w:tcMar>
            <w:vAlign w:val="center"/>
          </w:tcPr>
          <w:p>
            <w:pPr>
              <w:spacing w:after="0" w:line="240" w:lineRule="auto"/>
              <w:jc w:val="center"/>
            </w:pPr>
            <w:r>
              <w:rPr>
                <w:rFonts w:ascii="Times New Roman" w:hAnsi="Times New Roman"/>
                <w:b w:val="0"/>
                <w:sz w:val="14"/>
              </w:rPr>
              <w:t>0.44</w:t>
            </w:r>
          </w:p>
        </w:tc>
        <w:tc>
          <w:tcPr>
            <w:tcW w:type="dxa" w:w="1260"/>
            <w:tcMar>
              <w:top w:w="80" w:type="dxa"/>
              <w:start w:w="100" w:type="dxa"/>
              <w:bottom w:w="80" w:type="dxa"/>
              <w:end w:w="100" w:type="dxa"/>
            </w:tcMar>
            <w:vAlign w:val="center"/>
          </w:tcPr>
          <w:p>
            <w:pPr>
              <w:spacing w:after="0" w:line="240" w:lineRule="auto"/>
              <w:jc w:val="center"/>
            </w:pPr>
            <w:r>
              <w:rPr>
                <w:rFonts w:ascii="Times New Roman" w:hAnsi="Times New Roman"/>
                <w:b w:val="0"/>
                <w:sz w:val="14"/>
              </w:rPr>
              <w:t>0.818983</w:t>
            </w:r>
          </w:p>
        </w:tc>
      </w:tr>
      <w:tr>
        <w:tc>
          <w:tcPr>
            <w:tcW w:type="dxa" w:w="850"/>
            <w:tcMar>
              <w:top w:w="80" w:type="dxa"/>
              <w:start w:w="100" w:type="dxa"/>
              <w:bottom w:w="80" w:type="dxa"/>
              <w:end w:w="100" w:type="dxa"/>
            </w:tcMar>
            <w:vAlign w:val="center"/>
          </w:tcPr>
          <w:p>
            <w:pPr>
              <w:spacing w:after="0" w:line="240" w:lineRule="auto"/>
            </w:pPr>
            <w:r>
              <w:rPr>
                <w:rFonts w:ascii="Times New Roman" w:hAnsi="Times New Roman"/>
                <w:b w:val="0"/>
                <w:sz w:val="14"/>
              </w:rPr>
              <w:t>v2</w:t>
            </w:r>
          </w:p>
        </w:tc>
        <w:tc>
          <w:tcPr>
            <w:tcW w:type="dxa" w:w="1550"/>
            <w:tcMar>
              <w:top w:w="80" w:type="dxa"/>
              <w:start w:w="100" w:type="dxa"/>
              <w:bottom w:w="80" w:type="dxa"/>
              <w:end w:w="100" w:type="dxa"/>
            </w:tcMar>
            <w:vAlign w:val="center"/>
          </w:tcPr>
          <w:p>
            <w:pPr>
              <w:spacing w:after="0" w:line="240" w:lineRule="auto"/>
              <w:jc w:val="center"/>
            </w:pPr>
            <w:r>
              <w:rPr>
                <w:rFonts w:ascii="Times New Roman" w:hAnsi="Times New Roman"/>
                <w:b w:val="0"/>
                <w:sz w:val="14"/>
              </w:rPr>
              <w:t>XGBoost</w:t>
            </w:r>
          </w:p>
        </w:tc>
        <w:tc>
          <w:tcPr>
            <w:tcW w:type="dxa" w:w="1450"/>
            <w:tcMar>
              <w:top w:w="80" w:type="dxa"/>
              <w:start w:w="100" w:type="dxa"/>
              <w:bottom w:w="80" w:type="dxa"/>
              <w:end w:w="100" w:type="dxa"/>
            </w:tcMar>
            <w:vAlign w:val="center"/>
          </w:tcPr>
          <w:p>
            <w:pPr>
              <w:spacing w:after="0" w:line="240" w:lineRule="auto"/>
              <w:jc w:val="center"/>
            </w:pPr>
            <w:r>
              <w:rPr>
                <w:rFonts w:ascii="Times New Roman" w:hAnsi="Times New Roman"/>
                <w:b w:val="0"/>
                <w:sz w:val="14"/>
              </w:rPr>
              <w:t>0.83</w:t>
            </w:r>
          </w:p>
        </w:tc>
        <w:tc>
          <w:tcPr>
            <w:tcW w:type="dxa" w:w="1250"/>
            <w:tcMar>
              <w:top w:w="80" w:type="dxa"/>
              <w:start w:w="100" w:type="dxa"/>
              <w:bottom w:w="80" w:type="dxa"/>
              <w:end w:w="100" w:type="dxa"/>
            </w:tcMar>
            <w:vAlign w:val="center"/>
          </w:tcPr>
          <w:p>
            <w:pPr>
              <w:spacing w:after="0" w:line="240" w:lineRule="auto"/>
              <w:jc w:val="center"/>
            </w:pPr>
            <w:r>
              <w:rPr>
                <w:rFonts w:ascii="Times New Roman" w:hAnsi="Times New Roman"/>
                <w:b w:val="0"/>
                <w:sz w:val="14"/>
              </w:rPr>
              <w:t>0.818759</w:t>
            </w:r>
          </w:p>
        </w:tc>
        <w:tc>
          <w:tcPr>
            <w:tcW w:type="dxa" w:w="1550"/>
            <w:tcMar>
              <w:top w:w="80" w:type="dxa"/>
              <w:start w:w="100" w:type="dxa"/>
              <w:bottom w:w="80" w:type="dxa"/>
              <w:end w:w="100" w:type="dxa"/>
            </w:tcMar>
            <w:vAlign w:val="center"/>
          </w:tcPr>
          <w:p>
            <w:pPr>
              <w:spacing w:after="0" w:line="240" w:lineRule="auto"/>
              <w:jc w:val="center"/>
            </w:pPr>
            <w:r>
              <w:rPr>
                <w:rFonts w:ascii="Times New Roman" w:hAnsi="Times New Roman"/>
                <w:b w:val="0"/>
                <w:sz w:val="14"/>
              </w:rPr>
              <w:t>XGBoost</w:t>
            </w:r>
          </w:p>
        </w:tc>
        <w:tc>
          <w:tcPr>
            <w:tcW w:type="dxa" w:w="1450"/>
            <w:tcMar>
              <w:top w:w="80" w:type="dxa"/>
              <w:start w:w="100" w:type="dxa"/>
              <w:bottom w:w="80" w:type="dxa"/>
              <w:end w:w="100" w:type="dxa"/>
            </w:tcMar>
            <w:vAlign w:val="center"/>
          </w:tcPr>
          <w:p>
            <w:pPr>
              <w:spacing w:after="0" w:line="240" w:lineRule="auto"/>
              <w:jc w:val="center"/>
            </w:pPr>
            <w:r>
              <w:rPr>
                <w:rFonts w:ascii="Times New Roman" w:hAnsi="Times New Roman"/>
                <w:b w:val="0"/>
                <w:sz w:val="14"/>
              </w:rPr>
              <w:t>0.43</w:t>
            </w:r>
          </w:p>
        </w:tc>
        <w:tc>
          <w:tcPr>
            <w:tcW w:type="dxa" w:w="1260"/>
            <w:tcMar>
              <w:top w:w="80" w:type="dxa"/>
              <w:start w:w="100" w:type="dxa"/>
              <w:bottom w:w="80" w:type="dxa"/>
              <w:end w:w="100" w:type="dxa"/>
            </w:tcMar>
            <w:vAlign w:val="center"/>
          </w:tcPr>
          <w:p>
            <w:pPr>
              <w:spacing w:after="0" w:line="240" w:lineRule="auto"/>
              <w:jc w:val="center"/>
            </w:pPr>
            <w:r>
              <w:rPr>
                <w:rFonts w:ascii="Times New Roman" w:hAnsi="Times New Roman"/>
                <w:b w:val="0"/>
                <w:sz w:val="14"/>
              </w:rPr>
              <w:t>0.818828</w:t>
            </w:r>
          </w:p>
        </w:tc>
      </w:tr>
      <w:tr>
        <w:tc>
          <w:tcPr>
            <w:tcW w:type="dxa" w:w="850"/>
            <w:tcMar>
              <w:top w:w="80" w:type="dxa"/>
              <w:start w:w="100" w:type="dxa"/>
              <w:bottom w:w="80" w:type="dxa"/>
              <w:end w:w="100" w:type="dxa"/>
            </w:tcMar>
            <w:vAlign w:val="center"/>
          </w:tcPr>
          <w:p>
            <w:pPr>
              <w:spacing w:after="0" w:line="240" w:lineRule="auto"/>
            </w:pPr>
            <w:r>
              <w:rPr>
                <w:rFonts w:ascii="Times New Roman" w:hAnsi="Times New Roman"/>
                <w:b w:val="0"/>
                <w:sz w:val="14"/>
              </w:rPr>
              <w:t>v3</w:t>
            </w:r>
          </w:p>
        </w:tc>
        <w:tc>
          <w:tcPr>
            <w:tcW w:type="dxa" w:w="1550"/>
            <w:tcMar>
              <w:top w:w="80" w:type="dxa"/>
              <w:start w:w="100" w:type="dxa"/>
              <w:bottom w:w="80" w:type="dxa"/>
              <w:end w:w="100" w:type="dxa"/>
            </w:tcMar>
            <w:vAlign w:val="center"/>
          </w:tcPr>
          <w:p>
            <w:pPr>
              <w:spacing w:after="0" w:line="240" w:lineRule="auto"/>
              <w:jc w:val="center"/>
            </w:pPr>
            <w:r>
              <w:rPr>
                <w:rFonts w:ascii="Times New Roman" w:hAnsi="Times New Roman"/>
                <w:b w:val="0"/>
                <w:sz w:val="14"/>
              </w:rPr>
              <w:t>XGBoost</w:t>
            </w:r>
          </w:p>
        </w:tc>
        <w:tc>
          <w:tcPr>
            <w:tcW w:type="dxa" w:w="1450"/>
            <w:tcMar>
              <w:top w:w="80" w:type="dxa"/>
              <w:start w:w="100" w:type="dxa"/>
              <w:bottom w:w="80" w:type="dxa"/>
              <w:end w:w="100" w:type="dxa"/>
            </w:tcMar>
            <w:vAlign w:val="center"/>
          </w:tcPr>
          <w:p>
            <w:pPr>
              <w:spacing w:after="0" w:line="240" w:lineRule="auto"/>
              <w:jc w:val="center"/>
            </w:pPr>
            <w:r>
              <w:rPr>
                <w:rFonts w:ascii="Times New Roman" w:hAnsi="Times New Roman"/>
                <w:b w:val="0"/>
                <w:sz w:val="14"/>
              </w:rPr>
              <w:t>0.82</w:t>
            </w:r>
          </w:p>
        </w:tc>
        <w:tc>
          <w:tcPr>
            <w:tcW w:type="dxa" w:w="1250"/>
            <w:tcMar>
              <w:top w:w="80" w:type="dxa"/>
              <w:start w:w="100" w:type="dxa"/>
              <w:bottom w:w="80" w:type="dxa"/>
              <w:end w:w="100" w:type="dxa"/>
            </w:tcMar>
            <w:vAlign w:val="center"/>
          </w:tcPr>
          <w:p>
            <w:pPr>
              <w:spacing w:after="0" w:line="240" w:lineRule="auto"/>
              <w:jc w:val="center"/>
            </w:pPr>
            <w:r>
              <w:rPr>
                <w:rFonts w:ascii="Times New Roman" w:hAnsi="Times New Roman"/>
                <w:b w:val="0"/>
                <w:sz w:val="14"/>
              </w:rPr>
              <w:t>0.861660</w:t>
            </w:r>
          </w:p>
        </w:tc>
        <w:tc>
          <w:tcPr>
            <w:tcW w:type="dxa" w:w="1550"/>
            <w:tcMar>
              <w:top w:w="80" w:type="dxa"/>
              <w:start w:w="100" w:type="dxa"/>
              <w:bottom w:w="80" w:type="dxa"/>
              <w:end w:w="100" w:type="dxa"/>
            </w:tcMar>
            <w:vAlign w:val="center"/>
          </w:tcPr>
          <w:p>
            <w:pPr>
              <w:spacing w:after="0" w:line="240" w:lineRule="auto"/>
              <w:jc w:val="center"/>
            </w:pPr>
            <w:r>
              <w:rPr>
                <w:rFonts w:ascii="Times New Roman" w:hAnsi="Times New Roman"/>
                <w:b w:val="0"/>
                <w:sz w:val="14"/>
              </w:rPr>
              <w:t>XGBoost</w:t>
            </w:r>
          </w:p>
        </w:tc>
        <w:tc>
          <w:tcPr>
            <w:tcW w:type="dxa" w:w="1450"/>
            <w:tcMar>
              <w:top w:w="80" w:type="dxa"/>
              <w:start w:w="100" w:type="dxa"/>
              <w:bottom w:w="80" w:type="dxa"/>
              <w:end w:w="100" w:type="dxa"/>
            </w:tcMar>
            <w:vAlign w:val="center"/>
          </w:tcPr>
          <w:p>
            <w:pPr>
              <w:spacing w:after="0" w:line="240" w:lineRule="auto"/>
              <w:jc w:val="center"/>
            </w:pPr>
            <w:r>
              <w:rPr>
                <w:rFonts w:ascii="Times New Roman" w:hAnsi="Times New Roman"/>
                <w:b w:val="0"/>
                <w:sz w:val="14"/>
              </w:rPr>
              <w:t>0.51</w:t>
            </w:r>
          </w:p>
        </w:tc>
        <w:tc>
          <w:tcPr>
            <w:tcW w:type="dxa" w:w="1260"/>
            <w:tcMar>
              <w:top w:w="80" w:type="dxa"/>
              <w:start w:w="100" w:type="dxa"/>
              <w:bottom w:w="80" w:type="dxa"/>
              <w:end w:w="100" w:type="dxa"/>
            </w:tcMar>
            <w:vAlign w:val="center"/>
          </w:tcPr>
          <w:p>
            <w:pPr>
              <w:spacing w:after="0" w:line="240" w:lineRule="auto"/>
              <w:jc w:val="center"/>
            </w:pPr>
            <w:r>
              <w:rPr>
                <w:rFonts w:ascii="Times New Roman" w:hAnsi="Times New Roman"/>
                <w:b w:val="0"/>
                <w:sz w:val="14"/>
              </w:rPr>
              <w:t>0.861611</w:t>
            </w:r>
          </w:p>
        </w:tc>
      </w:tr>
      <w:tr>
        <w:tc>
          <w:tcPr>
            <w:tcW w:type="dxa" w:w="850"/>
            <w:tcMar>
              <w:top w:w="80" w:type="dxa"/>
              <w:start w:w="100" w:type="dxa"/>
              <w:bottom w:w="80" w:type="dxa"/>
              <w:end w:w="100" w:type="dxa"/>
            </w:tcMar>
            <w:vAlign w:val="center"/>
          </w:tcPr>
          <w:p>
            <w:pPr>
              <w:spacing w:after="0" w:line="240" w:lineRule="auto"/>
            </w:pPr>
            <w:r>
              <w:rPr>
                <w:rFonts w:ascii="Times New Roman" w:hAnsi="Times New Roman"/>
                <w:b w:val="0"/>
                <w:sz w:val="14"/>
              </w:rPr>
              <w:t>v4</w:t>
            </w:r>
          </w:p>
        </w:tc>
        <w:tc>
          <w:tcPr>
            <w:tcW w:type="dxa" w:w="1550"/>
            <w:tcMar>
              <w:top w:w="80" w:type="dxa"/>
              <w:start w:w="100" w:type="dxa"/>
              <w:bottom w:w="80" w:type="dxa"/>
              <w:end w:w="100" w:type="dxa"/>
            </w:tcMar>
            <w:vAlign w:val="center"/>
          </w:tcPr>
          <w:p>
            <w:pPr>
              <w:spacing w:after="0" w:line="240" w:lineRule="auto"/>
              <w:jc w:val="center"/>
            </w:pPr>
            <w:r>
              <w:rPr>
                <w:rFonts w:ascii="Times New Roman" w:hAnsi="Times New Roman"/>
                <w:b w:val="0"/>
                <w:sz w:val="14"/>
              </w:rPr>
              <w:t>DecisionTree</w:t>
            </w:r>
          </w:p>
        </w:tc>
        <w:tc>
          <w:tcPr>
            <w:tcW w:type="dxa" w:w="1450"/>
            <w:tcMar>
              <w:top w:w="80" w:type="dxa"/>
              <w:start w:w="100" w:type="dxa"/>
              <w:bottom w:w="80" w:type="dxa"/>
              <w:end w:w="100" w:type="dxa"/>
            </w:tcMar>
            <w:vAlign w:val="center"/>
          </w:tcPr>
          <w:p>
            <w:pPr>
              <w:spacing w:after="0" w:line="240" w:lineRule="auto"/>
              <w:jc w:val="center"/>
            </w:pPr>
            <w:r>
              <w:rPr>
                <w:rFonts w:ascii="Times New Roman" w:hAnsi="Times New Roman"/>
                <w:b w:val="0"/>
                <w:sz w:val="14"/>
              </w:rPr>
              <w:t>0.76</w:t>
            </w:r>
          </w:p>
        </w:tc>
        <w:tc>
          <w:tcPr>
            <w:tcW w:type="dxa" w:w="1250"/>
            <w:tcMar>
              <w:top w:w="80" w:type="dxa"/>
              <w:start w:w="100" w:type="dxa"/>
              <w:bottom w:w="80" w:type="dxa"/>
              <w:end w:w="100" w:type="dxa"/>
            </w:tcMar>
            <w:vAlign w:val="center"/>
          </w:tcPr>
          <w:p>
            <w:pPr>
              <w:spacing w:after="0" w:line="240" w:lineRule="auto"/>
              <w:jc w:val="center"/>
            </w:pPr>
            <w:r>
              <w:rPr>
                <w:rFonts w:ascii="Times New Roman" w:hAnsi="Times New Roman"/>
                <w:b w:val="0"/>
                <w:sz w:val="14"/>
              </w:rPr>
              <w:t>0.861826</w:t>
            </w:r>
          </w:p>
        </w:tc>
        <w:tc>
          <w:tcPr>
            <w:tcW w:type="dxa" w:w="1550"/>
            <w:tcMar>
              <w:top w:w="80" w:type="dxa"/>
              <w:start w:w="100" w:type="dxa"/>
              <w:bottom w:w="80" w:type="dxa"/>
              <w:end w:w="100" w:type="dxa"/>
            </w:tcMar>
            <w:vAlign w:val="center"/>
          </w:tcPr>
          <w:p>
            <w:pPr>
              <w:spacing w:after="0" w:line="240" w:lineRule="auto"/>
              <w:jc w:val="center"/>
            </w:pPr>
            <w:r>
              <w:rPr>
                <w:rFonts w:ascii="Times New Roman" w:hAnsi="Times New Roman"/>
                <w:b w:val="0"/>
                <w:sz w:val="14"/>
              </w:rPr>
              <w:t>XGBoost</w:t>
            </w:r>
          </w:p>
        </w:tc>
        <w:tc>
          <w:tcPr>
            <w:tcW w:type="dxa" w:w="1450"/>
            <w:tcMar>
              <w:top w:w="80" w:type="dxa"/>
              <w:start w:w="100" w:type="dxa"/>
              <w:bottom w:w="80" w:type="dxa"/>
              <w:end w:w="100" w:type="dxa"/>
            </w:tcMar>
            <w:vAlign w:val="center"/>
          </w:tcPr>
          <w:p>
            <w:pPr>
              <w:spacing w:after="0" w:line="240" w:lineRule="auto"/>
              <w:jc w:val="center"/>
            </w:pPr>
            <w:r>
              <w:rPr>
                <w:rFonts w:ascii="Times New Roman" w:hAnsi="Times New Roman"/>
                <w:b w:val="0"/>
                <w:sz w:val="14"/>
              </w:rPr>
              <w:t>0.47</w:t>
            </w:r>
          </w:p>
        </w:tc>
        <w:tc>
          <w:tcPr>
            <w:tcW w:type="dxa" w:w="1260"/>
            <w:tcMar>
              <w:top w:w="80" w:type="dxa"/>
              <w:start w:w="100" w:type="dxa"/>
              <w:bottom w:w="80" w:type="dxa"/>
              <w:end w:w="100" w:type="dxa"/>
            </w:tcMar>
            <w:vAlign w:val="center"/>
          </w:tcPr>
          <w:p>
            <w:pPr>
              <w:spacing w:after="0" w:line="240" w:lineRule="auto"/>
              <w:jc w:val="center"/>
            </w:pPr>
            <w:r>
              <w:rPr>
                <w:rFonts w:ascii="Times New Roman" w:hAnsi="Times New Roman"/>
                <w:b w:val="0"/>
                <w:sz w:val="14"/>
              </w:rPr>
              <w:t>0.861443</w:t>
            </w:r>
          </w:p>
        </w:tc>
      </w:tr>
      <w:tr>
        <w:tc>
          <w:tcPr>
            <w:tcW w:type="dxa" w:w="850"/>
            <w:tcMar>
              <w:top w:w="80" w:type="dxa"/>
              <w:start w:w="100" w:type="dxa"/>
              <w:bottom w:w="80" w:type="dxa"/>
              <w:end w:w="100" w:type="dxa"/>
            </w:tcMar>
            <w:vAlign w:val="center"/>
          </w:tcPr>
          <w:p>
            <w:pPr>
              <w:spacing w:after="0" w:line="240" w:lineRule="auto"/>
            </w:pPr>
            <w:r>
              <w:rPr>
                <w:rFonts w:ascii="Times New Roman" w:hAnsi="Times New Roman"/>
                <w:b w:val="0"/>
                <w:sz w:val="14"/>
              </w:rPr>
              <w:t>v5</w:t>
            </w:r>
          </w:p>
        </w:tc>
        <w:tc>
          <w:tcPr>
            <w:tcW w:type="dxa" w:w="1550"/>
            <w:tcMar>
              <w:top w:w="80" w:type="dxa"/>
              <w:start w:w="100" w:type="dxa"/>
              <w:bottom w:w="80" w:type="dxa"/>
              <w:end w:w="100" w:type="dxa"/>
            </w:tcMar>
            <w:vAlign w:val="center"/>
          </w:tcPr>
          <w:p>
            <w:pPr>
              <w:spacing w:after="0" w:line="240" w:lineRule="auto"/>
              <w:jc w:val="center"/>
            </w:pPr>
            <w:r>
              <w:rPr>
                <w:rFonts w:ascii="Times New Roman" w:hAnsi="Times New Roman"/>
                <w:b w:val="0"/>
                <w:sz w:val="14"/>
              </w:rPr>
              <w:t>RandomForest</w:t>
            </w:r>
          </w:p>
        </w:tc>
        <w:tc>
          <w:tcPr>
            <w:tcW w:type="dxa" w:w="1450"/>
            <w:tcMar>
              <w:top w:w="80" w:type="dxa"/>
              <w:start w:w="100" w:type="dxa"/>
              <w:bottom w:w="80" w:type="dxa"/>
              <w:end w:w="100" w:type="dxa"/>
            </w:tcMar>
            <w:vAlign w:val="center"/>
          </w:tcPr>
          <w:p>
            <w:pPr>
              <w:spacing w:after="0" w:line="240" w:lineRule="auto"/>
              <w:jc w:val="center"/>
            </w:pPr>
            <w:r>
              <w:rPr>
                <w:rFonts w:ascii="Times New Roman" w:hAnsi="Times New Roman"/>
                <w:b w:val="0"/>
                <w:sz w:val="14"/>
              </w:rPr>
              <w:t>0.80</w:t>
            </w:r>
          </w:p>
        </w:tc>
        <w:tc>
          <w:tcPr>
            <w:tcW w:type="dxa" w:w="1250"/>
            <w:tcMar>
              <w:top w:w="80" w:type="dxa"/>
              <w:start w:w="100" w:type="dxa"/>
              <w:bottom w:w="80" w:type="dxa"/>
              <w:end w:w="100" w:type="dxa"/>
            </w:tcMar>
            <w:vAlign w:val="center"/>
          </w:tcPr>
          <w:p>
            <w:pPr>
              <w:spacing w:after="0" w:line="240" w:lineRule="auto"/>
              <w:jc w:val="center"/>
            </w:pPr>
            <w:r>
              <w:rPr>
                <w:rFonts w:ascii="Times New Roman" w:hAnsi="Times New Roman"/>
                <w:b w:val="0"/>
                <w:sz w:val="14"/>
              </w:rPr>
              <w:t>0.862030</w:t>
            </w:r>
          </w:p>
        </w:tc>
        <w:tc>
          <w:tcPr>
            <w:tcW w:type="dxa" w:w="1550"/>
            <w:tcMar>
              <w:top w:w="80" w:type="dxa"/>
              <w:start w:w="100" w:type="dxa"/>
              <w:bottom w:w="80" w:type="dxa"/>
              <w:end w:w="100" w:type="dxa"/>
            </w:tcMar>
            <w:vAlign w:val="center"/>
          </w:tcPr>
          <w:p>
            <w:pPr>
              <w:spacing w:after="0" w:line="240" w:lineRule="auto"/>
              <w:jc w:val="center"/>
            </w:pPr>
            <w:r>
              <w:rPr>
                <w:rFonts w:ascii="Times New Roman" w:hAnsi="Times New Roman"/>
                <w:b w:val="0"/>
                <w:sz w:val="14"/>
              </w:rPr>
              <w:t>XGBoost</w:t>
            </w:r>
          </w:p>
        </w:tc>
        <w:tc>
          <w:tcPr>
            <w:tcW w:type="dxa" w:w="1450"/>
            <w:tcMar>
              <w:top w:w="80" w:type="dxa"/>
              <w:start w:w="100" w:type="dxa"/>
              <w:bottom w:w="80" w:type="dxa"/>
              <w:end w:w="100" w:type="dxa"/>
            </w:tcMar>
            <w:vAlign w:val="center"/>
          </w:tcPr>
          <w:p>
            <w:pPr>
              <w:spacing w:after="0" w:line="240" w:lineRule="auto"/>
              <w:jc w:val="center"/>
            </w:pPr>
            <w:r>
              <w:rPr>
                <w:rFonts w:ascii="Times New Roman" w:hAnsi="Times New Roman"/>
                <w:b w:val="0"/>
                <w:sz w:val="14"/>
              </w:rPr>
              <w:t>0.45</w:t>
            </w:r>
          </w:p>
        </w:tc>
        <w:tc>
          <w:tcPr>
            <w:tcW w:type="dxa" w:w="1260"/>
            <w:tcMar>
              <w:top w:w="80" w:type="dxa"/>
              <w:start w:w="100" w:type="dxa"/>
              <w:bottom w:w="80" w:type="dxa"/>
              <w:end w:w="100" w:type="dxa"/>
            </w:tcMar>
            <w:vAlign w:val="center"/>
          </w:tcPr>
          <w:p>
            <w:pPr>
              <w:spacing w:after="0" w:line="240" w:lineRule="auto"/>
              <w:jc w:val="center"/>
            </w:pPr>
            <w:r>
              <w:rPr>
                <w:rFonts w:ascii="Times New Roman" w:hAnsi="Times New Roman"/>
                <w:b w:val="0"/>
                <w:sz w:val="14"/>
              </w:rPr>
              <w:t>0.861520</w:t>
            </w:r>
          </w:p>
        </w:tc>
      </w:tr>
    </w:tbl>
    <w:p>
      <w:pPr>
        <w:spacing w:after="60"/>
      </w:pPr>
    </w:p>
    <w:p>
      <w:pPr>
        <w:keepNext/>
        <w:spacing w:before="80" w:after="40"/>
        <w:jc w:val="center"/>
      </w:pPr>
      <w:r>
        <w:drawing>
          <wp:inline xmlns:a="http://schemas.openxmlformats.org/drawingml/2006/main" xmlns:pic="http://schemas.openxmlformats.org/drawingml/2006/picture">
            <wp:extent cx="5349240" cy="3404062"/>
            <wp:docPr id="8" name="Picture 8"/>
            <wp:cNvGraphicFramePr>
              <a:graphicFrameLocks noChangeAspect="1"/>
            </wp:cNvGraphicFramePr>
            <a:graphic>
              <a:graphicData uri="http://schemas.openxmlformats.org/drawingml/2006/picture">
                <pic:pic>
                  <pic:nvPicPr>
                    <pic:cNvPr id="0" name="figure8_threshold_optimization_curve.png"/>
                    <pic:cNvPicPr/>
                  </pic:nvPicPr>
                  <pic:blipFill>
                    <a:blip r:embed="rId18"/>
                    <a:stretch>
                      <a:fillRect/>
                    </a:stretch>
                  </pic:blipFill>
                  <pic:spPr>
                    <a:xfrm>
                      <a:off x="0" y="0"/>
                      <a:ext cx="5349240" cy="3404062"/>
                    </a:xfrm>
                    <a:prstGeom prst="rect"/>
                  </pic:spPr>
                </pic:pic>
              </a:graphicData>
            </a:graphic>
          </wp:inline>
        </w:drawing>
      </w:r>
    </w:p>
    <w:p>
      <w:pPr>
        <w:keepLines/>
        <w:spacing w:after="120"/>
        <w:jc w:val="center"/>
      </w:pPr>
      <w:r>
        <w:rPr>
          <w:rFonts w:ascii="Times New Roman" w:hAnsi="Times New Roman"/>
          <w:b/>
          <w:sz w:val="17"/>
        </w:rPr>
        <w:t>Fig. 8. Threshold optimization curve for the v5 No-SMOTE Random Forest model.</w:t>
      </w:r>
    </w:p>
    <w:p>
      <w:pPr>
        <w:keepNext/>
        <w:spacing w:before="80" w:after="40"/>
        <w:jc w:val="center"/>
      </w:pPr>
      <w:r>
        <w:drawing>
          <wp:inline xmlns:a="http://schemas.openxmlformats.org/drawingml/2006/main" xmlns:pic="http://schemas.openxmlformats.org/drawingml/2006/picture">
            <wp:extent cx="4800600" cy="4200525"/>
            <wp:docPr id="9" name="Picture 9"/>
            <wp:cNvGraphicFramePr>
              <a:graphicFrameLocks noChangeAspect="1"/>
            </wp:cNvGraphicFramePr>
            <a:graphic>
              <a:graphicData uri="http://schemas.openxmlformats.org/drawingml/2006/picture">
                <pic:pic>
                  <pic:nvPicPr>
                    <pic:cNvPr id="0" name="figure9_best_tuned_confusion_matrix.png"/>
                    <pic:cNvPicPr/>
                  </pic:nvPicPr>
                  <pic:blipFill>
                    <a:blip r:embed="rId19"/>
                    <a:stretch>
                      <a:fillRect/>
                    </a:stretch>
                  </pic:blipFill>
                  <pic:spPr>
                    <a:xfrm>
                      <a:off x="0" y="0"/>
                      <a:ext cx="4800600" cy="4200525"/>
                    </a:xfrm>
                    <a:prstGeom prst="rect"/>
                  </pic:spPr>
                </pic:pic>
              </a:graphicData>
            </a:graphic>
          </wp:inline>
        </w:drawing>
      </w:r>
    </w:p>
    <w:p>
      <w:pPr>
        <w:keepLines/>
        <w:spacing w:after="120"/>
        <w:jc w:val="center"/>
      </w:pPr>
      <w:r>
        <w:rPr>
          <w:rFonts w:ascii="Times New Roman" w:hAnsi="Times New Roman"/>
          <w:b/>
          <w:sz w:val="17"/>
        </w:rPr>
        <w:t>Fig. 9. Tuned test confusion matrix for the v5 No-SMOTE Random Forest model at threshold 0.80.</w:t>
      </w:r>
    </w:p>
    <w:p>
      <w:pPr>
        <w:pStyle w:val="Heading2"/>
      </w:pPr>
      <w:r>
        <w:t>F. Best Model Interpretation</w:t>
      </w:r>
    </w:p>
    <w:p>
      <w:pPr>
        <w:keepLines w:val="0"/>
      </w:pPr>
      <w:r>
        <w:rPr>
          <w:rFonts w:ascii="Times New Roman" w:hAnsi="Times New Roman"/>
          <w:b w:val="0"/>
          <w:i w:val="0"/>
          <w:sz w:val="20"/>
        </w:rPr>
        <w:t>The strongest threshold-tuned operating point is v5 No-SMOTE Random Forest at threshold 0.80, with precision 0.999156, recall 0.758000, and fraud-class F1 0.862030. This result is only marginally higher than other strong tuned settings, so the interpretation should emphasize practical similarity among v3-v5 rather than a broad ranking claim.</w:t>
      </w:r>
    </w:p>
    <w:p>
      <w:pPr>
        <w:keepNext/>
        <w:spacing w:before="80" w:after="40"/>
        <w:jc w:val="center"/>
      </w:pPr>
      <w:r>
        <w:drawing>
          <wp:inline xmlns:a="http://schemas.openxmlformats.org/drawingml/2006/main" xmlns:pic="http://schemas.openxmlformats.org/drawingml/2006/picture">
            <wp:extent cx="5166360" cy="3621568"/>
            <wp:docPr id="10" name="Picture 10"/>
            <wp:cNvGraphicFramePr>
              <a:graphicFrameLocks noChangeAspect="1"/>
            </wp:cNvGraphicFramePr>
            <a:graphic>
              <a:graphicData uri="http://schemas.openxmlformats.org/drawingml/2006/picture">
                <pic:pic>
                  <pic:nvPicPr>
                    <pic:cNvPr id="0" name="figure10_feature_importance.png"/>
                    <pic:cNvPicPr/>
                  </pic:nvPicPr>
                  <pic:blipFill>
                    <a:blip r:embed="rId20"/>
                    <a:stretch>
                      <a:fillRect/>
                    </a:stretch>
                  </pic:blipFill>
                  <pic:spPr>
                    <a:xfrm>
                      <a:off x="0" y="0"/>
                      <a:ext cx="5166360" cy="3621568"/>
                    </a:xfrm>
                    <a:prstGeom prst="rect"/>
                  </pic:spPr>
                </pic:pic>
              </a:graphicData>
            </a:graphic>
          </wp:inline>
        </w:drawing>
      </w:r>
    </w:p>
    <w:p>
      <w:pPr>
        <w:keepLines/>
        <w:spacing w:after="120"/>
        <w:jc w:val="center"/>
      </w:pPr>
      <w:r>
        <w:rPr>
          <w:rFonts w:ascii="Times New Roman" w:hAnsi="Times New Roman"/>
          <w:b/>
          <w:sz w:val="17"/>
        </w:rPr>
        <w:t>Fig. 10. Impurity-based feature importance for the selected v5 No-SMOTE Random Forest model.</w:t>
      </w:r>
    </w:p>
    <w:p>
      <w:pPr>
        <w:keepNext/>
        <w:spacing w:before="100" w:after="0"/>
        <w:jc w:val="center"/>
      </w:pPr>
      <w:r>
        <w:rPr>
          <w:rFonts w:ascii="Times New Roman" w:hAnsi="Times New Roman"/>
          <w:b/>
          <w:sz w:val="18"/>
        </w:rPr>
        <w:t>TABLE VII</w:t>
      </w:r>
    </w:p>
    <w:p>
      <w:pPr>
        <w:keepNext/>
        <w:spacing w:after="60"/>
        <w:jc w:val="center"/>
      </w:pPr>
      <w:r>
        <w:rPr>
          <w:rFonts w:ascii="Times New Roman" w:hAnsi="Times New Roman"/>
          <w:b/>
          <w:sz w:val="18"/>
        </w:rPr>
        <w:t>SUMMARY OF MAIN FINDINGS</w:t>
      </w:r>
    </w:p>
    <w:tbl>
      <w:tblPr>
        <w:tblStyle w:val="TableGrid"/>
        <w:tblW w:type="dxa" w:w="9360"/>
        <w:jc w:val="center"/>
        <w:tblLayout w:type="fixed"/>
        <w:tblLook w:firstColumn="1" w:firstRow="1" w:lastColumn="0" w:lastRow="0" w:noHBand="0" w:noVBand="1" w:val="04A0"/>
        <w:tblInd w:w="0" w:type="dxa"/>
      </w:tblPr>
      <w:tblGrid>
        <w:gridCol w:w="2200"/>
        <w:gridCol w:w="3700"/>
        <w:gridCol w:w="3460"/>
      </w:tblGrid>
      <w:tr>
        <w:trPr>
          <w:tblHeader w:val="true"/>
        </w:trPr>
        <w:tc>
          <w:tcPr>
            <w:tcW w:type="dxa" w:w="2200"/>
            <w:tcMar>
              <w:top w:w="80" w:type="dxa"/>
              <w:start w:w="100" w:type="dxa"/>
              <w:bottom w:w="80" w:type="dxa"/>
              <w:end w:w="100" w:type="dxa"/>
            </w:tcMar>
            <w:vAlign w:val="center"/>
            <w:shd w:fill="F2F2F2"/>
          </w:tcPr>
          <w:p>
            <w:pPr>
              <w:spacing w:after="0" w:line="240" w:lineRule="auto"/>
            </w:pPr>
            <w:r>
              <w:rPr>
                <w:rFonts w:ascii="Times New Roman" w:hAnsi="Times New Roman"/>
                <w:b/>
                <w:sz w:val="15"/>
              </w:rPr>
              <w:t>Finding</w:t>
            </w:r>
          </w:p>
        </w:tc>
        <w:tc>
          <w:tcPr>
            <w:tcW w:type="dxa" w:w="3700"/>
            <w:tcMar>
              <w:top w:w="80" w:type="dxa"/>
              <w:start w:w="100" w:type="dxa"/>
              <w:bottom w:w="80" w:type="dxa"/>
              <w:end w:w="100" w:type="dxa"/>
            </w:tcMar>
            <w:vAlign w:val="center"/>
            <w:shd w:fill="F2F2F2"/>
          </w:tcPr>
          <w:p>
            <w:pPr>
              <w:spacing w:after="0" w:line="240" w:lineRule="auto"/>
              <w:jc w:val="center"/>
            </w:pPr>
            <w:r>
              <w:rPr>
                <w:rFonts w:ascii="Times New Roman" w:hAnsi="Times New Roman"/>
                <w:b/>
                <w:sz w:val="15"/>
              </w:rPr>
              <w:t>Evidence</w:t>
            </w:r>
          </w:p>
        </w:tc>
        <w:tc>
          <w:tcPr>
            <w:tcW w:type="dxa" w:w="3460"/>
            <w:tcMar>
              <w:top w:w="80" w:type="dxa"/>
              <w:start w:w="100" w:type="dxa"/>
              <w:bottom w:w="80" w:type="dxa"/>
              <w:end w:w="100" w:type="dxa"/>
            </w:tcMar>
            <w:vAlign w:val="center"/>
            <w:shd w:fill="F2F2F2"/>
          </w:tcPr>
          <w:p>
            <w:pPr>
              <w:spacing w:after="0" w:line="240" w:lineRule="auto"/>
              <w:jc w:val="center"/>
            </w:pPr>
            <w:r>
              <w:rPr>
                <w:rFonts w:ascii="Times New Roman" w:hAnsi="Times New Roman"/>
                <w:b/>
                <w:sz w:val="15"/>
              </w:rPr>
              <w:t>Interpretation</w:t>
            </w:r>
          </w:p>
        </w:tc>
      </w:tr>
      <w:tr>
        <w:tc>
          <w:tcPr>
            <w:tcW w:type="dxa" w:w="2200"/>
            <w:tcMar>
              <w:top w:w="80" w:type="dxa"/>
              <w:start w:w="100" w:type="dxa"/>
              <w:bottom w:w="80" w:type="dxa"/>
              <w:end w:w="100" w:type="dxa"/>
            </w:tcMar>
            <w:vAlign w:val="center"/>
          </w:tcPr>
          <w:p>
            <w:pPr>
              <w:spacing w:after="0" w:line="240" w:lineRule="auto"/>
            </w:pPr>
            <w:r>
              <w:rPr>
                <w:rFonts w:ascii="Times New Roman" w:hAnsi="Times New Roman"/>
                <w:b w:val="0"/>
                <w:sz w:val="15"/>
              </w:rPr>
              <w:t>Progressive feature engineering improves fraud-class performance</w:t>
            </w:r>
          </w:p>
        </w:tc>
        <w:tc>
          <w:tcPr>
            <w:tcW w:type="dxa" w:w="3700"/>
            <w:tcMar>
              <w:top w:w="80" w:type="dxa"/>
              <w:start w:w="100" w:type="dxa"/>
              <w:bottom w:w="80" w:type="dxa"/>
              <w:end w:w="100" w:type="dxa"/>
            </w:tcMar>
            <w:vAlign w:val="center"/>
          </w:tcPr>
          <w:p>
            <w:pPr>
              <w:spacing w:after="0" w:line="240" w:lineRule="auto"/>
            </w:pPr>
            <w:r>
              <w:rPr>
                <w:rFonts w:ascii="Times New Roman" w:hAnsi="Times New Roman"/>
                <w:b w:val="0"/>
                <w:sz w:val="15"/>
              </w:rPr>
              <w:t>v3-v5 outperform v1-v2 in fraud-class F1</w:t>
            </w:r>
          </w:p>
        </w:tc>
        <w:tc>
          <w:tcPr>
            <w:tcW w:type="dxa" w:w="3460"/>
            <w:tcMar>
              <w:top w:w="80" w:type="dxa"/>
              <w:start w:w="100" w:type="dxa"/>
              <w:bottom w:w="80" w:type="dxa"/>
              <w:end w:w="100" w:type="dxa"/>
            </w:tcMar>
            <w:vAlign w:val="center"/>
          </w:tcPr>
          <w:p>
            <w:pPr>
              <w:spacing w:after="0" w:line="240" w:lineRule="auto"/>
            </w:pPr>
            <w:r>
              <w:rPr>
                <w:rFonts w:ascii="Times New Roman" w:hAnsi="Times New Roman"/>
                <w:b w:val="0"/>
                <w:sz w:val="15"/>
              </w:rPr>
              <w:t>Feature enrichment changes minority-class separability.</w:t>
            </w:r>
          </w:p>
        </w:tc>
      </w:tr>
      <w:tr>
        <w:tc>
          <w:tcPr>
            <w:tcW w:type="dxa" w:w="2200"/>
            <w:tcMar>
              <w:top w:w="80" w:type="dxa"/>
              <w:start w:w="100" w:type="dxa"/>
              <w:bottom w:w="80" w:type="dxa"/>
              <w:end w:w="100" w:type="dxa"/>
            </w:tcMar>
            <w:vAlign w:val="center"/>
          </w:tcPr>
          <w:p>
            <w:pPr>
              <w:spacing w:after="0" w:line="240" w:lineRule="auto"/>
            </w:pPr>
            <w:r>
              <w:rPr>
                <w:rFonts w:ascii="Times New Roman" w:hAnsi="Times New Roman"/>
                <w:b w:val="0"/>
                <w:sz w:val="15"/>
              </w:rPr>
              <w:t>SMOTE improves default-threshold fraud-class F1</w:t>
            </w:r>
          </w:p>
        </w:tc>
        <w:tc>
          <w:tcPr>
            <w:tcW w:type="dxa" w:w="3700"/>
            <w:tcMar>
              <w:top w:w="80" w:type="dxa"/>
              <w:start w:w="100" w:type="dxa"/>
              <w:bottom w:w="80" w:type="dxa"/>
              <w:end w:w="100" w:type="dxa"/>
            </w:tcMar>
            <w:vAlign w:val="center"/>
          </w:tcPr>
          <w:p>
            <w:pPr>
              <w:spacing w:after="0" w:line="240" w:lineRule="auto"/>
            </w:pPr>
            <w:r>
              <w:rPr>
                <w:rFonts w:ascii="Times New Roman" w:hAnsi="Times New Roman"/>
                <w:b w:val="0"/>
                <w:sz w:val="15"/>
              </w:rPr>
              <w:t>SMOTE selected models outperform no-SMOTE selected models in all five versions</w:t>
            </w:r>
          </w:p>
        </w:tc>
        <w:tc>
          <w:tcPr>
            <w:tcW w:type="dxa" w:w="3460"/>
            <w:tcMar>
              <w:top w:w="80" w:type="dxa"/>
              <w:start w:w="100" w:type="dxa"/>
              <w:bottom w:w="80" w:type="dxa"/>
              <w:end w:w="100" w:type="dxa"/>
            </w:tcMar>
            <w:vAlign w:val="center"/>
          </w:tcPr>
          <w:p>
            <w:pPr>
              <w:spacing w:after="0" w:line="240" w:lineRule="auto"/>
            </w:pPr>
            <w:r>
              <w:rPr>
                <w:rFonts w:ascii="Times New Roman" w:hAnsi="Times New Roman"/>
                <w:b w:val="0"/>
                <w:sz w:val="15"/>
              </w:rPr>
              <w:t>The benefit is threshold-dependent.</w:t>
            </w:r>
          </w:p>
        </w:tc>
      </w:tr>
      <w:tr>
        <w:tc>
          <w:tcPr>
            <w:tcW w:type="dxa" w:w="2200"/>
            <w:tcMar>
              <w:top w:w="80" w:type="dxa"/>
              <w:start w:w="100" w:type="dxa"/>
              <w:bottom w:w="80" w:type="dxa"/>
              <w:end w:w="100" w:type="dxa"/>
            </w:tcMar>
            <w:vAlign w:val="center"/>
          </w:tcPr>
          <w:p>
            <w:pPr>
              <w:spacing w:after="0" w:line="240" w:lineRule="auto"/>
            </w:pPr>
            <w:r>
              <w:rPr>
                <w:rFonts w:ascii="Times New Roman" w:hAnsi="Times New Roman"/>
                <w:b w:val="0"/>
                <w:sz w:val="15"/>
              </w:rPr>
              <w:t>Threshold tuning removes most practical SMOTE advantage</w:t>
            </w:r>
          </w:p>
        </w:tc>
        <w:tc>
          <w:tcPr>
            <w:tcW w:type="dxa" w:w="3700"/>
            <w:tcMar>
              <w:top w:w="80" w:type="dxa"/>
              <w:start w:w="100" w:type="dxa"/>
              <w:bottom w:w="80" w:type="dxa"/>
              <w:end w:w="100" w:type="dxa"/>
            </w:tcMar>
            <w:vAlign w:val="center"/>
          </w:tcPr>
          <w:p>
            <w:pPr>
              <w:spacing w:after="0" w:line="240" w:lineRule="auto"/>
            </w:pPr>
            <w:r>
              <w:rPr>
                <w:rFonts w:ascii="Times New Roman" w:hAnsi="Times New Roman"/>
                <w:b w:val="0"/>
                <w:sz w:val="15"/>
              </w:rPr>
              <w:t>Best tuned F1 values differ by less than 0.001 across setups</w:t>
            </w:r>
          </w:p>
        </w:tc>
        <w:tc>
          <w:tcPr>
            <w:tcW w:type="dxa" w:w="3460"/>
            <w:tcMar>
              <w:top w:w="80" w:type="dxa"/>
              <w:start w:w="100" w:type="dxa"/>
              <w:bottom w:w="80" w:type="dxa"/>
              <w:end w:w="100" w:type="dxa"/>
            </w:tcMar>
            <w:vAlign w:val="center"/>
          </w:tcPr>
          <w:p>
            <w:pPr>
              <w:spacing w:after="0" w:line="240" w:lineRule="auto"/>
            </w:pPr>
            <w:r>
              <w:rPr>
                <w:rFonts w:ascii="Times New Roman" w:hAnsi="Times New Roman"/>
                <w:b w:val="0"/>
                <w:sz w:val="15"/>
              </w:rPr>
              <w:t>Operating-point selection is central to deployment interpretation.</w:t>
            </w:r>
          </w:p>
        </w:tc>
      </w:tr>
      <w:tr>
        <w:tc>
          <w:tcPr>
            <w:tcW w:type="dxa" w:w="2200"/>
            <w:tcMar>
              <w:top w:w="80" w:type="dxa"/>
              <w:start w:w="100" w:type="dxa"/>
              <w:bottom w:w="80" w:type="dxa"/>
              <w:end w:w="100" w:type="dxa"/>
            </w:tcMar>
            <w:vAlign w:val="center"/>
          </w:tcPr>
          <w:p>
            <w:pPr>
              <w:spacing w:after="0" w:line="240" w:lineRule="auto"/>
            </w:pPr>
            <w:r>
              <w:rPr>
                <w:rFonts w:ascii="Times New Roman" w:hAnsi="Times New Roman"/>
                <w:b w:val="0"/>
                <w:sz w:val="15"/>
              </w:rPr>
              <w:t>Tree-based methods dominate</w:t>
            </w:r>
          </w:p>
        </w:tc>
        <w:tc>
          <w:tcPr>
            <w:tcW w:type="dxa" w:w="3700"/>
            <w:tcMar>
              <w:top w:w="80" w:type="dxa"/>
              <w:start w:w="100" w:type="dxa"/>
              <w:bottom w:w="80" w:type="dxa"/>
              <w:end w:w="100" w:type="dxa"/>
            </w:tcMar>
            <w:vAlign w:val="center"/>
          </w:tcPr>
          <w:p>
            <w:pPr>
              <w:spacing w:after="0" w:line="240" w:lineRule="auto"/>
            </w:pPr>
            <w:r>
              <w:rPr>
                <w:rFonts w:ascii="Times New Roman" w:hAnsi="Times New Roman"/>
                <w:b w:val="0"/>
                <w:sz w:val="15"/>
              </w:rPr>
              <w:t>Random Forest, XGBoost, CatBoost, and Decision Tree are selected in final best-model summaries</w:t>
            </w:r>
          </w:p>
        </w:tc>
        <w:tc>
          <w:tcPr>
            <w:tcW w:type="dxa" w:w="3460"/>
            <w:tcMar>
              <w:top w:w="80" w:type="dxa"/>
              <w:start w:w="100" w:type="dxa"/>
              <w:bottom w:w="80" w:type="dxa"/>
              <w:end w:w="100" w:type="dxa"/>
            </w:tcMar>
            <w:vAlign w:val="center"/>
          </w:tcPr>
          <w:p>
            <w:pPr>
              <w:spacing w:after="0" w:line="240" w:lineRule="auto"/>
            </w:pPr>
            <w:r>
              <w:rPr>
                <w:rFonts w:ascii="Times New Roman" w:hAnsi="Times New Roman"/>
                <w:b w:val="0"/>
                <w:sz w:val="15"/>
              </w:rPr>
              <w:t>Nonlinear tabular interactions are important in this dataset.</w:t>
            </w:r>
          </w:p>
        </w:tc>
      </w:tr>
      <w:tr>
        <w:tc>
          <w:tcPr>
            <w:tcW w:type="dxa" w:w="2200"/>
            <w:tcMar>
              <w:top w:w="80" w:type="dxa"/>
              <w:start w:w="100" w:type="dxa"/>
              <w:bottom w:w="80" w:type="dxa"/>
              <w:end w:w="100" w:type="dxa"/>
            </w:tcMar>
            <w:vAlign w:val="center"/>
          </w:tcPr>
          <w:p>
            <w:pPr>
              <w:spacing w:after="0" w:line="240" w:lineRule="auto"/>
            </w:pPr>
            <w:r>
              <w:rPr>
                <w:rFonts w:ascii="Times New Roman" w:hAnsi="Times New Roman"/>
                <w:b w:val="0"/>
                <w:sz w:val="15"/>
              </w:rPr>
              <w:t>Logistic Regression underperforms</w:t>
            </w:r>
          </w:p>
        </w:tc>
        <w:tc>
          <w:tcPr>
            <w:tcW w:type="dxa" w:w="3700"/>
            <w:tcMar>
              <w:top w:w="80" w:type="dxa"/>
              <w:start w:w="100" w:type="dxa"/>
              <w:bottom w:w="80" w:type="dxa"/>
              <w:end w:w="100" w:type="dxa"/>
            </w:tcMar>
            <w:vAlign w:val="center"/>
          </w:tcPr>
          <w:p>
            <w:pPr>
              <w:spacing w:after="0" w:line="240" w:lineRule="auto"/>
            </w:pPr>
            <w:r>
              <w:rPr>
                <w:rFonts w:ascii="Times New Roman" w:hAnsi="Times New Roman"/>
                <w:b w:val="0"/>
                <w:sz w:val="15"/>
              </w:rPr>
              <w:t>No final best model is Logistic Regression</w:t>
            </w:r>
          </w:p>
        </w:tc>
        <w:tc>
          <w:tcPr>
            <w:tcW w:type="dxa" w:w="3460"/>
            <w:tcMar>
              <w:top w:w="80" w:type="dxa"/>
              <w:start w:w="100" w:type="dxa"/>
              <w:bottom w:w="80" w:type="dxa"/>
              <w:end w:w="100" w:type="dxa"/>
            </w:tcMar>
            <w:vAlign w:val="center"/>
          </w:tcPr>
          <w:p>
            <w:pPr>
              <w:spacing w:after="0" w:line="240" w:lineRule="auto"/>
            </w:pPr>
            <w:r>
              <w:rPr>
                <w:rFonts w:ascii="Times New Roman" w:hAnsi="Times New Roman"/>
                <w:b w:val="0"/>
                <w:sz w:val="15"/>
              </w:rPr>
              <w:t>Linear baseline is less competitive for the engineered feature space.</w:t>
            </w:r>
          </w:p>
        </w:tc>
      </w:tr>
      <w:tr>
        <w:tc>
          <w:tcPr>
            <w:tcW w:type="dxa" w:w="2200"/>
            <w:tcMar>
              <w:top w:w="80" w:type="dxa"/>
              <w:start w:w="100" w:type="dxa"/>
              <w:bottom w:w="80" w:type="dxa"/>
              <w:end w:w="100" w:type="dxa"/>
            </w:tcMar>
            <w:vAlign w:val="center"/>
          </w:tcPr>
          <w:p>
            <w:pPr>
              <w:spacing w:after="0" w:line="240" w:lineRule="auto"/>
            </w:pPr>
            <w:r>
              <w:rPr>
                <w:rFonts w:ascii="Times New Roman" w:hAnsi="Times New Roman"/>
                <w:b w:val="0"/>
                <w:sz w:val="15"/>
              </w:rPr>
              <w:t>Strongest versions are practically close</w:t>
            </w:r>
          </w:p>
        </w:tc>
        <w:tc>
          <w:tcPr>
            <w:tcW w:type="dxa" w:w="3700"/>
            <w:tcMar>
              <w:top w:w="80" w:type="dxa"/>
              <w:start w:w="100" w:type="dxa"/>
              <w:bottom w:w="80" w:type="dxa"/>
              <w:end w:w="100" w:type="dxa"/>
            </w:tcMar>
            <w:vAlign w:val="center"/>
          </w:tcPr>
          <w:p>
            <w:pPr>
              <w:spacing w:after="0" w:line="240" w:lineRule="auto"/>
            </w:pPr>
            <w:r>
              <w:rPr>
                <w:rFonts w:ascii="Times New Roman" w:hAnsi="Times New Roman"/>
                <w:b w:val="0"/>
                <w:sz w:val="15"/>
              </w:rPr>
              <w:t>v3-v5 default and tuned results are close</w:t>
            </w:r>
          </w:p>
        </w:tc>
        <w:tc>
          <w:tcPr>
            <w:tcW w:type="dxa" w:w="3460"/>
            <w:tcMar>
              <w:top w:w="80" w:type="dxa"/>
              <w:start w:w="100" w:type="dxa"/>
              <w:bottom w:w="80" w:type="dxa"/>
              <w:end w:w="100" w:type="dxa"/>
            </w:tcMar>
            <w:vAlign w:val="center"/>
          </w:tcPr>
          <w:p>
            <w:pPr>
              <w:spacing w:after="0" w:line="240" w:lineRule="auto"/>
            </w:pPr>
            <w:r>
              <w:rPr>
                <w:rFonts w:ascii="Times New Roman" w:hAnsi="Times New Roman"/>
                <w:b w:val="0"/>
                <w:sz w:val="15"/>
              </w:rPr>
              <w:t>Do not overstate the small differences among v3-v5.</w:t>
            </w:r>
          </w:p>
        </w:tc>
      </w:tr>
      <w:tr>
        <w:tc>
          <w:tcPr>
            <w:tcW w:type="dxa" w:w="2200"/>
            <w:tcMar>
              <w:top w:w="80" w:type="dxa"/>
              <w:start w:w="100" w:type="dxa"/>
              <w:bottom w:w="80" w:type="dxa"/>
              <w:end w:w="100" w:type="dxa"/>
            </w:tcMar>
            <w:vAlign w:val="center"/>
          </w:tcPr>
          <w:p>
            <w:pPr>
              <w:spacing w:after="0" w:line="240" w:lineRule="auto"/>
            </w:pPr>
            <w:r>
              <w:rPr>
                <w:rFonts w:ascii="Times New Roman" w:hAnsi="Times New Roman"/>
                <w:b w:val="0"/>
                <w:sz w:val="15"/>
              </w:rPr>
              <w:t>External validity is limited</w:t>
            </w:r>
          </w:p>
        </w:tc>
        <w:tc>
          <w:tcPr>
            <w:tcW w:type="dxa" w:w="3700"/>
            <w:tcMar>
              <w:top w:w="80" w:type="dxa"/>
              <w:start w:w="100" w:type="dxa"/>
              <w:bottom w:w="80" w:type="dxa"/>
              <w:end w:w="100" w:type="dxa"/>
            </w:tcMar>
            <w:vAlign w:val="center"/>
          </w:tcPr>
          <w:p>
            <w:pPr>
              <w:spacing w:after="0" w:line="240" w:lineRule="auto"/>
            </w:pPr>
            <w:r>
              <w:rPr>
                <w:rFonts w:ascii="Times New Roman" w:hAnsi="Times New Roman"/>
                <w:b w:val="0"/>
                <w:sz w:val="15"/>
              </w:rPr>
              <w:t>No external validation dataset is present</w:t>
            </w:r>
          </w:p>
        </w:tc>
        <w:tc>
          <w:tcPr>
            <w:tcW w:type="dxa" w:w="3460"/>
            <w:tcMar>
              <w:top w:w="80" w:type="dxa"/>
              <w:start w:w="100" w:type="dxa"/>
              <w:bottom w:w="80" w:type="dxa"/>
              <w:end w:w="100" w:type="dxa"/>
            </w:tcMar>
            <w:vAlign w:val="center"/>
          </w:tcPr>
          <w:p>
            <w:pPr>
              <w:spacing w:after="0" w:line="240" w:lineRule="auto"/>
            </w:pPr>
            <w:r>
              <w:rPr>
                <w:rFonts w:ascii="Times New Roman" w:hAnsi="Times New Roman"/>
                <w:b w:val="0"/>
                <w:sz w:val="15"/>
              </w:rPr>
              <w:t>Results apply to the synthetic transaction dataset only.</w:t>
            </w:r>
          </w:p>
        </w:tc>
      </w:tr>
    </w:tbl>
    <w:p>
      <w:pPr>
        <w:spacing w:after="60"/>
      </w:pPr>
    </w:p>
    <w:p>
      <w:pPr>
        <w:pStyle w:val="Heading1"/>
        <w:jc w:val="center"/>
      </w:pPr>
      <w:r>
        <w:t>VI. DISCUSSION</w:t>
      </w:r>
    </w:p>
    <w:p>
      <w:pPr>
        <w:pStyle w:val="Heading2"/>
      </w:pPr>
      <w:r>
        <w:t>A. Interpretation of Findings</w:t>
      </w:r>
    </w:p>
    <w:p>
      <w:pPr>
        <w:keepLines w:val="0"/>
      </w:pPr>
      <w:r>
        <w:rPr>
          <w:rFonts w:ascii="Times New Roman" w:hAnsi="Times New Roman"/>
          <w:b w:val="0"/>
          <w:i w:val="0"/>
          <w:sz w:val="20"/>
        </w:rPr>
        <w:t>The results support a bounded claim: progressive tabular feature engineering improves fraud-class performance on the synthetic transaction dataset. The largest performance change occurs when proxy risk features are introduced in v3, suggesting that merchant- and card-level indicators carry strong predictive information in this generated population.</w:t>
      </w:r>
    </w:p>
    <w:p>
      <w:pPr>
        <w:pStyle w:val="Heading2"/>
      </w:pPr>
      <w:r>
        <w:t>B. SMOTE Versus Threshold Optimization</w:t>
      </w:r>
    </w:p>
    <w:p>
      <w:pPr>
        <w:keepLines w:val="0"/>
      </w:pPr>
      <w:r>
        <w:rPr>
          <w:rFonts w:ascii="Times New Roman" w:hAnsi="Times New Roman"/>
          <w:b w:val="0"/>
          <w:i w:val="0"/>
          <w:sz w:val="20"/>
        </w:rPr>
        <w:t>SMOTE improves default-threshold F1, mainly by changing the precision-recall tradeoff of the selected models. Once thresholds are selected on validation predictions, No-SMOTE and SMOTE operating points become practically close. This shows that threshold policy can matter as much as resampling when reporting fraud-detection performance.</w:t>
      </w:r>
    </w:p>
    <w:p>
      <w:pPr>
        <w:pStyle w:val="Heading2"/>
      </w:pPr>
      <w:r>
        <w:t>C. Practical Implications</w:t>
      </w:r>
    </w:p>
    <w:p>
      <w:pPr>
        <w:keepLines w:val="0"/>
      </w:pPr>
      <w:r>
        <w:rPr>
          <w:rFonts w:ascii="Times New Roman" w:hAnsi="Times New Roman"/>
          <w:b w:val="0"/>
          <w:i w:val="0"/>
          <w:sz w:val="20"/>
        </w:rPr>
        <w:t>The study indicates that applied fraud-analysis workflows should report minority-class metrics, explicitly document feature provenance, and evaluate threshold policies. Tree-based models likely perform well because they capture nonlinear interactions among amount, merchant, card, category, location, and time-derived variables.</w:t>
      </w:r>
    </w:p>
    <w:p>
      <w:pPr>
        <w:pStyle w:val="Heading2"/>
      </w:pPr>
      <w:r>
        <w:t>D. Reproducibility Considerations</w:t>
      </w:r>
    </w:p>
    <w:p>
      <w:pPr>
        <w:keepLines w:val="0"/>
      </w:pPr>
      <w:r>
        <w:rPr>
          <w:rFonts w:ascii="Times New Roman" w:hAnsi="Times New Roman"/>
          <w:b w:val="0"/>
          <w:i w:val="0"/>
          <w:sz w:val="20"/>
        </w:rPr>
        <w:t>The repository provides fixed dataset versions, training outputs, validation/test predictions, threshold outputs, figures, and audit reports. Future external validation should test whether the same feature groups remain useful on independently collected transaction data.</w:t>
      </w:r>
    </w:p>
    <w:p>
      <w:pPr>
        <w:pStyle w:val="Heading1"/>
        <w:jc w:val="center"/>
      </w:pPr>
      <w:r>
        <w:t>VII. THREATS TO VALIDITY</w:t>
      </w:r>
    </w:p>
    <w:p>
      <w:pPr>
        <w:pStyle w:val="Heading2"/>
      </w:pPr>
      <w:r>
        <w:t>A. Synthetic Data Limitation</w:t>
      </w:r>
    </w:p>
    <w:p>
      <w:pPr>
        <w:keepLines w:val="0"/>
      </w:pPr>
      <w:r>
        <w:rPr>
          <w:rFonts w:ascii="Times New Roman" w:hAnsi="Times New Roman"/>
          <w:b w:val="0"/>
          <w:i w:val="0"/>
          <w:sz w:val="20"/>
        </w:rPr>
        <w:t>Threat: the dataset is synthetic and researcher-generated. Impact: results may reflect the data-generation process rather than independently observed fraud behavior. Mitigation: the manuscript discloses the source type and restricts conclusions to the repository evidence; external validation remains future work.</w:t>
      </w:r>
    </w:p>
    <w:p>
      <w:pPr>
        <w:pStyle w:val="Heading2"/>
      </w:pPr>
      <w:r>
        <w:t>B. External Validation Limitation</w:t>
      </w:r>
    </w:p>
    <w:p>
      <w:pPr>
        <w:keepLines w:val="0"/>
      </w:pPr>
      <w:r>
        <w:rPr>
          <w:rFonts w:ascii="Times New Roman" w:hAnsi="Times New Roman"/>
          <w:b w:val="0"/>
          <w:i w:val="0"/>
          <w:sz w:val="20"/>
        </w:rPr>
        <w:t>Threat: no external dataset is present. Impact: generalization beyond the cleaned master population is unknown. Mitigation: the study uses stratified train-validation-test splits and untouched test reporting, but independent validation remains required.</w:t>
      </w:r>
    </w:p>
    <w:p>
      <w:pPr>
        <w:pStyle w:val="Heading2"/>
      </w:pPr>
      <w:r>
        <w:t>C. Leakage-Risk Features</w:t>
      </w:r>
    </w:p>
    <w:p>
      <w:pPr>
        <w:keepLines w:val="0"/>
      </w:pPr>
      <w:r>
        <w:rPr>
          <w:rFonts w:ascii="Times New Roman" w:hAnsi="Times New Roman"/>
          <w:b w:val="0"/>
          <w:i w:val="0"/>
          <w:sz w:val="20"/>
        </w:rPr>
        <w:t>Threat: MerchantRisk and CardRisk may encode target-proximal information. Impact: the v3-v5 gains could overestimate performance if equivalent indicators are unavailable at prediction time. Mitigation: the manuscript labels these as proxy risk indicators and interprets v3-v5 cautiously.</w:t>
      </w:r>
    </w:p>
    <w:p>
      <w:pPr>
        <w:pStyle w:val="Heading2"/>
      </w:pPr>
      <w:r>
        <w:t>D. Threshold Dependence</w:t>
      </w:r>
    </w:p>
    <w:p>
      <w:pPr>
        <w:keepLines w:val="0"/>
      </w:pPr>
      <w:r>
        <w:rPr>
          <w:rFonts w:ascii="Times New Roman" w:hAnsi="Times New Roman"/>
          <w:b w:val="0"/>
          <w:i w:val="0"/>
          <w:sz w:val="20"/>
        </w:rPr>
        <w:t>Threat: performance depends on the selected probability threshold. Impact: default-threshold conclusions may differ from threshold-tuned conclusions. Mitigation: the study reports both settings and uses validation-based threshold selection before test reporting.</w:t>
      </w:r>
    </w:p>
    <w:p>
      <w:pPr>
        <w:pStyle w:val="Heading2"/>
      </w:pPr>
      <w:r>
        <w:t>E. Absence of Statistical Uncertainty Estimates</w:t>
      </w:r>
    </w:p>
    <w:p>
      <w:pPr>
        <w:keepLines w:val="0"/>
      </w:pPr>
      <w:r>
        <w:rPr>
          <w:rFonts w:ascii="Times New Roman" w:hAnsi="Times New Roman"/>
          <w:b w:val="0"/>
          <w:i w:val="0"/>
          <w:sz w:val="20"/>
        </w:rPr>
        <w:t>Threat: the repository does not contain repeated-seed experiments, confidence intervals, bootstrap estimates, or formal significance tests. Impact: small differences among v3-v5 may be noise. Mitigation: the manuscript avoids overstating differences below 0.001 and recommends robustness analysis before submission.</w:t>
      </w:r>
    </w:p>
    <w:p>
      <w:pPr>
        <w:pStyle w:val="Heading2"/>
      </w:pPr>
      <w:r>
        <w:t>F. Documentation Drift</w:t>
      </w:r>
    </w:p>
    <w:p>
      <w:pPr>
        <w:keepLines w:val="0"/>
      </w:pPr>
      <w:r>
        <w:rPr>
          <w:rFonts w:ascii="Times New Roman" w:hAnsi="Times New Roman"/>
          <w:b w:val="0"/>
          <w:i w:val="0"/>
          <w:sz w:val="20"/>
        </w:rPr>
        <w:t>Threat: legacy scripts and stale outputs remain in the repository. Impact: readers could confuse older artifacts with the final research-clean workflow. Mitigation: the manuscript and package cite only the active datasets, scripts, and result folders listed in the audit reports.</w:t>
      </w:r>
    </w:p>
    <w:p>
      <w:pPr>
        <w:pStyle w:val="Heading1"/>
        <w:jc w:val="center"/>
      </w:pPr>
      <w:r>
        <w:t>VIII. DATA AVAILABILITY, ETHICS, FUNDING, AND COMPETING INTERESTS</w:t>
      </w:r>
    </w:p>
    <w:p>
      <w:pPr>
        <w:pStyle w:val="Heading2"/>
      </w:pPr>
      <w:r>
        <w:t>A. Data Availability</w:t>
      </w:r>
    </w:p>
    <w:p>
      <w:pPr>
        <w:keepLines w:val="0"/>
      </w:pPr>
      <w:r>
        <w:rPr>
          <w:rFonts w:ascii="Times New Roman" w:hAnsi="Times New Roman"/>
          <w:b w:val="0"/>
          <w:i w:val="0"/>
          <w:sz w:val="20"/>
        </w:rPr>
        <w:t>The datasets and code artifacts used in this study are available from the corresponding author or repository upon reasonable request, subject to repository release decisions.</w:t>
      </w:r>
    </w:p>
    <w:p>
      <w:pPr>
        <w:pStyle w:val="Heading2"/>
      </w:pPr>
      <w:r>
        <w:t>B. Ethics Statement</w:t>
      </w:r>
    </w:p>
    <w:p>
      <w:pPr>
        <w:keepLines w:val="0"/>
      </w:pPr>
      <w:r>
        <w:rPr>
          <w:rFonts w:ascii="Times New Roman" w:hAnsi="Times New Roman"/>
          <w:b w:val="0"/>
          <w:i w:val="0"/>
          <w:sz w:val="20"/>
        </w:rPr>
        <w:t>This study uses researcher-generated synthetic transaction data and does not use personally identifiable customer information or live bank records.</w:t>
      </w:r>
    </w:p>
    <w:p>
      <w:pPr>
        <w:pStyle w:val="Heading2"/>
      </w:pPr>
      <w:r>
        <w:t>C. Funding Statement</w:t>
      </w:r>
    </w:p>
    <w:p>
      <w:pPr>
        <w:keepLines w:val="0"/>
      </w:pPr>
      <w:r>
        <w:rPr>
          <w:rFonts w:ascii="Times New Roman" w:hAnsi="Times New Roman"/>
          <w:b w:val="0"/>
          <w:i w:val="0"/>
          <w:sz w:val="20"/>
        </w:rPr>
        <w:t>No external funding was reported for this study.</w:t>
      </w:r>
    </w:p>
    <w:p>
      <w:pPr>
        <w:pStyle w:val="Heading2"/>
      </w:pPr>
      <w:r>
        <w:t>D. Competing Interests</w:t>
      </w:r>
    </w:p>
    <w:p>
      <w:pPr>
        <w:keepLines w:val="0"/>
      </w:pPr>
      <w:r>
        <w:rPr>
          <w:rFonts w:ascii="Times New Roman" w:hAnsi="Times New Roman"/>
          <w:b w:val="0"/>
          <w:i w:val="0"/>
          <w:sz w:val="20"/>
        </w:rPr>
        <w:t>The authors declare no competing interests.</w:t>
      </w:r>
    </w:p>
    <w:p>
      <w:pPr>
        <w:pStyle w:val="Heading2"/>
      </w:pPr>
      <w:r>
        <w:t>E. Author Contributions</w:t>
      </w:r>
    </w:p>
    <w:p>
      <w:pPr>
        <w:keepLines w:val="0"/>
      </w:pPr>
      <w:r>
        <w:rPr>
          <w:rFonts w:ascii="Times New Roman" w:hAnsi="Times New Roman"/>
          <w:b w:val="0"/>
          <w:i w:val="0"/>
          <w:sz w:val="20"/>
        </w:rPr>
        <w:t>Author contributions will be completed before submission according to the target venue requirements.</w:t>
      </w:r>
    </w:p>
    <w:p>
      <w:pPr>
        <w:pStyle w:val="Heading1"/>
        <w:jc w:val="center"/>
      </w:pPr>
      <w:r>
        <w:t>IX. CONCLUSION AND FUTURE WORK</w:t>
      </w:r>
    </w:p>
    <w:p>
      <w:pPr>
        <w:keepLines w:val="0"/>
      </w:pPr>
      <w:r>
        <w:rPr>
          <w:rFonts w:ascii="Times New Roman" w:hAnsi="Times New Roman"/>
          <w:b w:val="0"/>
          <w:i w:val="0"/>
          <w:sz w:val="20"/>
        </w:rPr>
        <w:t>This study evaluated five progressively enriched synthetic credit-card transaction datasets using Logistic Regression, Decision Tree, Random Forest, XGBoost, and CatBoost under No-SMOTE and SMOTE settings. The strongest default-threshold result was v3 SMOTE Random Forest, with precision 0.998525, recall 0.758080, fraud-class F1 0.861846, and PR-AUC 0.855235. The strongest threshold-tuned operating point was v5 No-SMOTE Random Forest at threshold 0.80, with precision 0.999156, recall 0.758000, and fraud-class F1 0.862030.</w:t>
      </w:r>
    </w:p>
    <w:p>
      <w:pPr>
        <w:keepLines w:val="0"/>
      </w:pPr>
      <w:r>
        <w:rPr>
          <w:rFonts w:ascii="Times New Roman" w:hAnsi="Times New Roman"/>
          <w:b w:val="0"/>
          <w:i w:val="0"/>
          <w:sz w:val="20"/>
        </w:rPr>
        <w:t>The main finding is that progressive feature engineering improves fraud-class performance and that the benefit of SMOTE is threshold-dependent. The study remains limited by synthetic data, no external validation, leakage-risk proxy indicators, and missing statistical robustness analysis. Future work should add independent validation, repeated-seed experiments, uncertainty estimates, and cost-sensitive threshold selection.</w:t>
      </w:r>
    </w:p>
    <w:p>
      <w:pPr>
        <w:pStyle w:val="Heading1"/>
        <w:jc w:val="center"/>
      </w:pPr>
      <w:r>
        <w:t>REFERENCES</w:t>
      </w:r>
    </w:p>
    <w:p>
      <w:pPr>
        <w:spacing w:after="40"/>
        <w:ind w:left="360" w:hanging="360"/>
      </w:pPr>
      <w:r>
        <w:rPr>
          <w:rFonts w:ascii="Times New Roman" w:hAnsi="Times New Roman"/>
          <w:sz w:val="16"/>
        </w:rPr>
        <w:t>[1] R. J. Bolton and D. J. Hand, "Statistical fraud detection: A review," Statistical Science, vol. 17, no. 3, pp. 235-255, 2002, doi: 10.1214/ss/1042727940.</w:t>
      </w:r>
    </w:p>
    <w:p>
      <w:pPr>
        <w:spacing w:after="40"/>
        <w:ind w:left="360" w:hanging="360"/>
      </w:pPr>
      <w:r>
        <w:rPr>
          <w:rFonts w:ascii="Times New Roman" w:hAnsi="Times New Roman"/>
          <w:sz w:val="16"/>
        </w:rPr>
        <w:t>[2] E. W. T. Ngai, Y. Hu, Y. H. Wong, Y. Chen, and X. Sun, "The application of data mining techniques in financial fraud detection: A classification framework and an academic review of literature," Decision Support Systems, vol. 50, no. 3, pp. 559-569, 2011, doi: 10.1016/j.dss.2010.08.006.</w:t>
      </w:r>
    </w:p>
    <w:p>
      <w:pPr>
        <w:spacing w:after="40"/>
        <w:ind w:left="360" w:hanging="360"/>
      </w:pPr>
      <w:r>
        <w:rPr>
          <w:rFonts w:ascii="Times New Roman" w:hAnsi="Times New Roman"/>
          <w:sz w:val="16"/>
        </w:rPr>
        <w:t>[3] S. Bhattacharyya, S. Jha, K. Tharakunnel, and J. C. Westland, "Data mining for credit card fraud: A comparative study," Decision Support Systems, vol. 50, no. 3, pp. 602-613, 2011, doi: 10.1016/j.dss.2010.08.008.</w:t>
      </w:r>
    </w:p>
    <w:p>
      <w:pPr>
        <w:spacing w:after="40"/>
        <w:ind w:left="360" w:hanging="360"/>
      </w:pPr>
      <w:r>
        <w:rPr>
          <w:rFonts w:ascii="Times New Roman" w:hAnsi="Times New Roman"/>
          <w:sz w:val="16"/>
        </w:rPr>
        <w:t>[4] C. Whitrow, D. J. Hand, P. Juszczak, D. Weston, and N. M. Adams, "Transaction aggregation as a strategy for credit card fraud detection," Data Mining and Knowledge Discovery, vol. 18, no. 1, pp. 30-55, 2009, doi: 10.1007/s10618-008-0116-z.</w:t>
      </w:r>
    </w:p>
    <w:p>
      <w:pPr>
        <w:spacing w:after="40"/>
        <w:ind w:left="360" w:hanging="360"/>
      </w:pPr>
      <w:r>
        <w:rPr>
          <w:rFonts w:ascii="Times New Roman" w:hAnsi="Times New Roman"/>
          <w:sz w:val="16"/>
        </w:rPr>
        <w:t>[5] A. C. Bahnsen, D. Aouada, A. Stojanovic, and B. Ottersten, "Feature engineering strategies for credit card fraud detection," Expert Systems with Applications, vol. 51, pp. 134-142, 2016, doi: 10.1016/j.eswa.2015.12.030.</w:t>
      </w:r>
    </w:p>
    <w:p>
      <w:pPr>
        <w:spacing w:after="40"/>
        <w:ind w:left="360" w:hanging="360"/>
      </w:pPr>
      <w:r>
        <w:rPr>
          <w:rFonts w:ascii="Times New Roman" w:hAnsi="Times New Roman"/>
          <w:sz w:val="16"/>
        </w:rPr>
        <w:t>[6] A. Dal Pozzolo, O. Caelen, R. A. Johnson, and G. Bontempi, "Calibrating probability with undersampling for unbalanced classification," in Proc. IEEE Symposium Series on Computational Intelligence, 2015.</w:t>
      </w:r>
    </w:p>
    <w:p>
      <w:pPr>
        <w:spacing w:after="40"/>
        <w:ind w:left="360" w:hanging="360"/>
      </w:pPr>
      <w:r>
        <w:rPr>
          <w:rFonts w:ascii="Times New Roman" w:hAnsi="Times New Roman"/>
          <w:sz w:val="16"/>
        </w:rPr>
        <w:t>[7] J. Jurgovsky et al., "Sequence classification for credit-card fraud detection," Expert Systems with Applications, vol. 100, pp. 234-245, 2018, doi: 10.1016/j.eswa.2018.01.037.</w:t>
      </w:r>
    </w:p>
    <w:p>
      <w:pPr>
        <w:spacing w:after="40"/>
        <w:ind w:left="360" w:hanging="360"/>
      </w:pPr>
      <w:r>
        <w:rPr>
          <w:rFonts w:ascii="Times New Roman" w:hAnsi="Times New Roman"/>
          <w:sz w:val="16"/>
        </w:rPr>
        <w:t>[8] C. Phua, V. Lee, K. Smith, and R. Gayler, "A comprehensive survey of data mining-based fraud detection research," arXiv:1009.6119, 2010.</w:t>
      </w:r>
    </w:p>
    <w:p>
      <w:pPr>
        <w:spacing w:after="40"/>
        <w:ind w:left="360" w:hanging="360"/>
      </w:pPr>
      <w:r>
        <w:rPr>
          <w:rFonts w:ascii="Times New Roman" w:hAnsi="Times New Roman"/>
          <w:sz w:val="16"/>
        </w:rPr>
        <w:t>[9] N. V. Chawla, K. W. Bowyer, L. O. Hall, and W. P. Kegelmeyer, "SMOTE: Synthetic minority over-sampling technique," Journal of Artificial Intelligence Research, vol. 16, pp. 321-357, 2002, doi: 10.1613/jair.953.</w:t>
      </w:r>
    </w:p>
    <w:p>
      <w:pPr>
        <w:spacing w:after="40"/>
        <w:ind w:left="360" w:hanging="360"/>
      </w:pPr>
      <w:r>
        <w:rPr>
          <w:rFonts w:ascii="Times New Roman" w:hAnsi="Times New Roman"/>
          <w:sz w:val="16"/>
        </w:rPr>
        <w:t>[10] H. He and E. A. Garcia, "Learning from imbalanced data," IEEE Transactions on Knowledge and Data Engineering, vol. 21, no. 9, pp. 1263-1284, 2009, doi: 10.1109/TKDE.2008.239.</w:t>
      </w:r>
    </w:p>
    <w:p>
      <w:pPr>
        <w:spacing w:after="40"/>
        <w:ind w:left="360" w:hanging="360"/>
      </w:pPr>
      <w:r>
        <w:rPr>
          <w:rFonts w:ascii="Times New Roman" w:hAnsi="Times New Roman"/>
          <w:sz w:val="16"/>
        </w:rPr>
        <w:t>[11] N. Japkowicz and S. Stephen, "The class imbalance problem: A systematic study," Intelligent Data Analysis, vol. 6, no. 5, pp. 429-449, 2002.</w:t>
      </w:r>
    </w:p>
    <w:p>
      <w:pPr>
        <w:spacing w:after="40"/>
        <w:ind w:left="360" w:hanging="360"/>
      </w:pPr>
      <w:r>
        <w:rPr>
          <w:rFonts w:ascii="Times New Roman" w:hAnsi="Times New Roman"/>
          <w:sz w:val="16"/>
        </w:rPr>
        <w:t>[12] M. Galar, A. Fernandez, E. Barrenechea, H. Bustince, and F. Herrera, "A review on ensembles for the class imbalance problem: Bagging-, boosting-, and hybrid-based approaches," IEEE Transactions on Systems, Man, and Cybernetics, Part C, vol. 42, no. 4, pp. 463-484, 2012, doi: 10.1109/TSMCC.2011.2161285.</w:t>
      </w:r>
    </w:p>
    <w:p>
      <w:pPr>
        <w:spacing w:after="40"/>
        <w:ind w:left="360" w:hanging="360"/>
      </w:pPr>
      <w:r>
        <w:rPr>
          <w:rFonts w:ascii="Times New Roman" w:hAnsi="Times New Roman"/>
          <w:sz w:val="16"/>
        </w:rPr>
        <w:t>[13] P. Branco, L. Torgo, and R. P. Ribeiro, "A survey of predictive modeling on imbalanced domains," ACM Computing Surveys, vol. 49, no. 2, pp. 1-50, 2016, doi: 10.1145/2907070.</w:t>
      </w:r>
    </w:p>
    <w:p>
      <w:pPr>
        <w:spacing w:after="40"/>
        <w:ind w:left="360" w:hanging="360"/>
      </w:pPr>
      <w:r>
        <w:rPr>
          <w:rFonts w:ascii="Times New Roman" w:hAnsi="Times New Roman"/>
          <w:sz w:val="16"/>
        </w:rPr>
        <w:t>[14] C. Elkan, "The foundations of cost-sensitive learning," in Proc. International Joint Conference on Artificial Intelligence, 2001, pp. 973-978.</w:t>
      </w:r>
    </w:p>
    <w:p>
      <w:pPr>
        <w:spacing w:after="40"/>
        <w:ind w:left="360" w:hanging="360"/>
      </w:pPr>
      <w:r>
        <w:rPr>
          <w:rFonts w:ascii="Times New Roman" w:hAnsi="Times New Roman"/>
          <w:sz w:val="16"/>
        </w:rPr>
        <w:t>[15] J. Davis and M. Goadrich, "The relationship between Precision-Recall and ROC curves," in Proc. International Conference on Machine Learning, 2006, pp. 233-240, doi: 10.1145/1143844.1143874.</w:t>
      </w:r>
    </w:p>
    <w:p>
      <w:pPr>
        <w:spacing w:after="40"/>
        <w:ind w:left="360" w:hanging="360"/>
      </w:pPr>
      <w:r>
        <w:rPr>
          <w:rFonts w:ascii="Times New Roman" w:hAnsi="Times New Roman"/>
          <w:sz w:val="16"/>
        </w:rPr>
        <w:t>[16] T. Saito and M. Rehmsmeier, "The precision-recall plot is more informative than the ROC plot when evaluating binary classifiers on imbalanced datasets," PLOS ONE, vol. 10, no. 3, 2015, doi: 10.1371/journal.pone.0118432.</w:t>
      </w:r>
    </w:p>
    <w:p>
      <w:pPr>
        <w:spacing w:after="40"/>
        <w:ind w:left="360" w:hanging="360"/>
      </w:pPr>
      <w:r>
        <w:rPr>
          <w:rFonts w:ascii="Times New Roman" w:hAnsi="Times New Roman"/>
          <w:sz w:val="16"/>
        </w:rPr>
        <w:t>[17] T. Fawcett, "An introduction to ROC analysis," Pattern Recognition Letters, vol. 27, no. 8, pp. 861-874, 2006, doi: 10.1016/j.patrec.2005.10.010.</w:t>
      </w:r>
    </w:p>
    <w:p>
      <w:pPr>
        <w:spacing w:after="40"/>
        <w:ind w:left="360" w:hanging="360"/>
      </w:pPr>
      <w:r>
        <w:rPr>
          <w:rFonts w:ascii="Times New Roman" w:hAnsi="Times New Roman"/>
          <w:sz w:val="16"/>
        </w:rPr>
        <w:t>[18] L. Breiman, "Random forests," Machine Learning, vol. 45, no. 1, pp. 5-32, 2001, doi: 10.1023/A:1010933404324.</w:t>
      </w:r>
    </w:p>
    <w:p>
      <w:pPr>
        <w:spacing w:after="40"/>
        <w:ind w:left="360" w:hanging="360"/>
      </w:pPr>
      <w:r>
        <w:rPr>
          <w:rFonts w:ascii="Times New Roman" w:hAnsi="Times New Roman"/>
          <w:sz w:val="16"/>
        </w:rPr>
        <w:t>[19] J. R. Quinlan, "Induction of decision trees," Machine Learning, vol. 1, no. 1, pp. 81-106, 1986, doi: 10.1007/BF00116251.</w:t>
      </w:r>
    </w:p>
    <w:p>
      <w:pPr>
        <w:spacing w:after="40"/>
        <w:ind w:left="360" w:hanging="360"/>
      </w:pPr>
      <w:r>
        <w:rPr>
          <w:rFonts w:ascii="Times New Roman" w:hAnsi="Times New Roman"/>
          <w:sz w:val="16"/>
        </w:rPr>
        <w:t>[20] T. Chen and C. Guestrin, "XGBoost: A scalable tree boosting system," in Proc. ACM SIGKDD International Conference on Knowledge Discovery and Data Mining, 2016, pp. 785-794, doi: 10.1145/2939672.2939785.</w:t>
      </w:r>
    </w:p>
    <w:p>
      <w:pPr>
        <w:spacing w:after="40"/>
        <w:ind w:left="360" w:hanging="360"/>
      </w:pPr>
      <w:r>
        <w:rPr>
          <w:rFonts w:ascii="Times New Roman" w:hAnsi="Times New Roman"/>
          <w:sz w:val="16"/>
        </w:rPr>
        <w:t>[21] L. Prokhorenkova, G. Gusev, A. Vorobev, A. V. Dorogush, and A. Gulin, "CatBoost: Unbiased boosting with categorical features," in Advances in Neural Information Processing Systems, 2018.</w:t>
      </w:r>
    </w:p>
    <w:p>
      <w:pPr>
        <w:spacing w:after="40"/>
        <w:ind w:left="360" w:hanging="360"/>
      </w:pPr>
      <w:r>
        <w:rPr>
          <w:rFonts w:ascii="Times New Roman" w:hAnsi="Times New Roman"/>
          <w:sz w:val="16"/>
        </w:rPr>
        <w:t>[22] F. Pedregosa et al., "Scikit-learn: Machine learning in Python," Journal of Machine Learning Research, vol. 12, pp. 2825-2830, 2011.</w:t>
      </w:r>
    </w:p>
    <w:p>
      <w:pPr>
        <w:spacing w:after="40"/>
        <w:ind w:left="360" w:hanging="360"/>
      </w:pPr>
      <w:r>
        <w:rPr>
          <w:rFonts w:ascii="Times New Roman" w:hAnsi="Times New Roman"/>
          <w:sz w:val="16"/>
        </w:rPr>
        <w:t>[23] J. Bergstra and Y. Bengio, "Random search for hyper-parameter optimization," Journal of Machine Learning Research, vol. 13, pp. 281-305, 2012.</w:t>
      </w:r>
    </w:p>
    <w:p>
      <w:pPr>
        <w:spacing w:after="40"/>
        <w:ind w:left="360" w:hanging="360"/>
      </w:pPr>
      <w:r>
        <w:rPr>
          <w:rFonts w:ascii="Times New Roman" w:hAnsi="Times New Roman"/>
          <w:sz w:val="16"/>
        </w:rPr>
        <w:t>[24] R. Kohavi, "A study of cross-validation and bootstrap for accuracy estimation and model selection," in Proc. International Joint Conference on Artificial Intelligence, 1995, pp. 1137-1145.</w:t>
      </w:r>
    </w:p>
    <w:p>
      <w:pPr>
        <w:spacing w:after="40"/>
        <w:ind w:left="360" w:hanging="360"/>
      </w:pPr>
      <w:r>
        <w:rPr>
          <w:rFonts w:ascii="Times New Roman" w:hAnsi="Times New Roman"/>
          <w:sz w:val="16"/>
        </w:rPr>
        <w:t>[25] G. C. Cawley and N. L. C. Talbot, "On over-fitting in model selection and subsequent selection bias in performance evaluation," Journal of Machine Learning Research, vol. 11, pp. 2079-2107, 2010.</w:t>
      </w:r>
    </w:p>
    <w:p>
      <w:pPr>
        <w:spacing w:after="40"/>
        <w:ind w:left="360" w:hanging="360"/>
      </w:pPr>
      <w:r>
        <w:rPr>
          <w:rFonts w:ascii="Times New Roman" w:hAnsi="Times New Roman"/>
          <w:sz w:val="16"/>
        </w:rPr>
        <w:t>[26] S. Varma and R. Simon, "Bias in error estimation when using cross-validation for model selection," BMC Bioinformatics, vol. 7, article 91, 2006, doi: 10.1186/1471-2105-7-91.</w:t>
      </w:r>
    </w:p>
    <w:p>
      <w:pPr>
        <w:spacing w:after="40"/>
        <w:ind w:left="360" w:hanging="360"/>
      </w:pPr>
      <w:r>
        <w:rPr>
          <w:rFonts w:ascii="Times New Roman" w:hAnsi="Times New Roman"/>
          <w:sz w:val="16"/>
        </w:rPr>
        <w:t>[27] S. Kaufman, S. Rosset, C. Perlich, and O. Stitelman, "Leakage in data mining: Formulation, detection, and avoidance," ACM Transactions on Knowledge Discovery from Data, vol. 6, no. 4, pp. 1-21, 2012, doi: 10.1145/2382577.2382579.</w:t>
      </w:r>
    </w:p>
    <w:p>
      <w:pPr>
        <w:spacing w:after="40"/>
        <w:ind w:left="360" w:hanging="360"/>
      </w:pPr>
      <w:r>
        <w:rPr>
          <w:rFonts w:ascii="Times New Roman" w:hAnsi="Times New Roman"/>
          <w:sz w:val="16"/>
        </w:rPr>
        <w:t>[28] S. Kapoor and A. Narayanan, "Leakage and the reproducibility crisis in machine-learning-based science," Patterns, vol. 4, no. 9, 2023, doi: 10.1016/j.patter.2023.100804.</w:t>
      </w:r>
    </w:p>
    <w:p>
      <w:pPr>
        <w:spacing w:after="40"/>
        <w:ind w:left="360" w:hanging="360"/>
      </w:pPr>
      <w:r>
        <w:rPr>
          <w:rFonts w:ascii="Times New Roman" w:hAnsi="Times New Roman"/>
          <w:sz w:val="16"/>
        </w:rPr>
        <w:t>[29] I. Guyon and A. Elisseeff, "An introduction to variable and feature selection," Journal of Machine Learning Research, vol. 3, pp. 1157-1182, 2003.</w:t>
      </w:r>
    </w:p>
    <w:p>
      <w:pPr>
        <w:spacing w:after="40"/>
        <w:ind w:left="360" w:hanging="360"/>
      </w:pPr>
      <w:r>
        <w:rPr>
          <w:rFonts w:ascii="Times New Roman" w:hAnsi="Times New Roman"/>
          <w:sz w:val="16"/>
        </w:rPr>
        <w:t>[30] M. Kuhn and K. Johnson, Applied Predictive Modeling. New York, NY, USA: Springer, 2013.</w:t>
      </w:r>
    </w:p>
    <w:sectPr w:rsidR="00FC693F" w:rsidRPr="0006063C" w:rsidSect="00034616">
      <w:footerReference w:type="default" r:id="rId9"/>
      <w:pgSz w:w="12240" w:h="15840"/>
      <w:pgMar w:top="1080" w:right="1080" w:bottom="1080" w:left="108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Times New Roman" w:hAnsi="Times New Roman"/>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Times New Roman" w:hAnsi="Times New Roman"/>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email@example.com"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Progressive Feature Engineering and Imbalanced Machine Learning for Credit Card Fraud Detection</dc:title>
  <dc:subject>IEEE-style manuscript draft for synthetic credit-card fraud detection</dc:subject>
  <dc:creator>First Author Name; Second Author Name</dc:creator>
  <cp:keywords>credit card fraud detection; imbalanced classification; feature engineering; SMOTE; Random Forest; XGBoost; CatBoost; PR-AUC</cp:keywords>
  <dc:description>generated by python-docx</dc:description>
  <cp:lastModifiedBy/>
  <cp:revision>1</cp:revision>
  <dcterms:created xsi:type="dcterms:W3CDTF">2013-12-23T23:15:00Z</dcterms:created>
  <dcterms:modified xsi:type="dcterms:W3CDTF">2013-12-23T23:15:00Z</dcterms:modified>
  <cp:category/>
</cp:coreProperties>
</file>