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  <w:shd w:val="clear" w:color="auto" w:fill="0A1228"/>
      </w:pPr>
      <w:r>
        <w:rPr>
          <w:rFonts w:ascii="Calibri" w:hAnsi="Calibri"/>
          <w:b/>
          <w:color w:val="FFFFFF"/>
          <w:sz w:val="44"/>
        </w:rPr>
        <w:t xml:space="preserve">  Privacy Enhancing Technologies  </w:t>
      </w:r>
    </w:p>
    <w:p>
      <w:pPr>
        <w:jc w:val="center"/>
        <w:shd w:val="clear" w:color="auto" w:fill="0A1228"/>
      </w:pPr>
      <w:r>
        <w:rPr>
          <w:rFonts w:ascii="Calibri" w:hAnsi="Calibri"/>
          <w:b/>
          <w:color w:val="00B580"/>
          <w:sz w:val="28"/>
        </w:rPr>
        <w:t xml:space="preserve">  Interactive Simulation — Code &amp; Content Review  </w:t>
      </w:r>
    </w:p>
    <w:p>
      <w:pPr>
        <w:jc w:val="center"/>
        <w:shd w:val="clear" w:color="auto" w:fill="0A1228"/>
      </w:pPr>
      <w:r>
        <w:rPr>
          <w:rFonts w:ascii="Calibri" w:hAnsi="Calibri"/>
          <w:color w:val="88A0C8"/>
          <w:sz w:val="20"/>
        </w:rPr>
        <w:t xml:space="preserve">  Claude Code Review  ·  April 2026  </w:t>
      </w:r>
    </w:p>
    <w:p>
      <w:pPr>
        <w:spacing w:before="40" w:after="40"/>
      </w:pPr>
    </w:p>
    <w:p>
      <w:pPr>
        <w:jc w:val="center"/>
      </w:pPr>
      <w:r>
        <w:rPr>
          <w:rFonts w:ascii="Calibri" w:hAnsi="Calibri"/>
          <w:i/>
          <w:color w:val="7788AA"/>
          <w:sz w:val="18"/>
        </w:rPr>
        <w:t>Reviewed files: index.html · app.js · content.js · styles.css</w:t>
      </w:r>
    </w:p>
    <w:p>
      <w:r>
        <w:br w:type="page"/>
      </w:r>
    </w:p>
    <w:p>
      <w:pPr>
        <w:spacing w:before="360" w:after="80"/>
        <w:shd w:val="clear" w:color="auto" w:fill="0A1228"/>
      </w:pPr>
      <w:r>
        <w:rPr>
          <w:rFonts w:ascii="Calibri" w:hAnsi="Calibri"/>
          <w:b/>
          <w:color w:val="00B580"/>
          <w:sz w:val="30"/>
        </w:rPr>
        <w:t xml:space="preserve">  1  Scientific Accuracy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Analysis of whether the simulation logic accurately reflects real-world PET principles.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1.1  Differential Privacy — Global (Laplace Mechanism)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inverse-CDF Laplace sampler implementation is mathematically correct:</w:t>
      </w:r>
    </w:p>
    <w:p>
      <w:pPr>
        <w:spacing w:before="80" w:after="80"/>
        <w:ind w:left="360"/>
        <w:shd w:val="clear" w:color="auto" w:fill="EEF1F8"/>
      </w:pPr>
      <w:r>
        <w:rPr>
          <w:rFonts w:ascii="Courier New" w:hAnsi="Courier New"/>
          <w:color w:val="0A3060"/>
          <w:sz w:val="17"/>
        </w:rPr>
        <w:t>const scale = 1 / epsilon;</w:t>
        <w:br/>
        <w:t>const u = Math.random() - 0.5;</w:t>
        <w:br/>
        <w:t>const noise = -scale * Math.sign(u) * Math.log(1 - 2 * Math.abs(u));</w:t>
        <w:br/>
        <w:t>return Math.max(0, Math.round(v + noise));   // app.js:472–478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However, three inaccuracies exist: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Sensitivity is silently fixed at 1. The Laplace scale is b = sensitivity / ε, but sensitivity = 1 is assumed without explanation or UI control. For histogram queries over student counts in the hundreds, the choice of global sensitivity 1 is not self-evident and should be surfaced.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Math.max(0, …) clipping introduces positive bias. Truncating negative noisy counts to zero is a post-processing step that biases results upward for small groups — a well-known DP pitfall that is not flagged anywhere in the UI.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No privacy budget composition tracking. Each "Run Query" click draws fresh Laplace noise, but the UI never accumulates the total ε spent. Under sequential composition, running the query k times costs k × ε. A user clicking "Run" ten times at ε = 1.0 has actually spent ε = 10.0.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1.2  Differential Privacy — Local (Randomized Response)  ⚠ Bug Found</w:t>
      </w:r>
    </w:p>
    <w:p>
      <w:pPr>
        <w:spacing w:before="120" w:after="120"/>
        <w:ind w:left="432"/>
        <w:shd w:val="clear" w:color="auto" w:fill="FDEEEE"/>
      </w:pPr>
      <w:r>
        <w:rPr>
          <w:rFonts w:ascii="Calibri" w:hAnsi="Calibri"/>
          <w:b/>
          <w:color w:val="C03950"/>
          <w:sz w:val="20"/>
        </w:rPr>
        <w:t xml:space="preserve">Bug:  </w:t>
      </w:r>
      <w:r>
        <w:rPr>
          <w:rFonts w:ascii="Calibri" w:hAnsi="Calibri"/>
          <w:color w:val="444444"/>
          <w:sz w:val="20"/>
        </w:rPr>
        <w:t>The Local DP correction formula uses the wrong denominator, producing a biased corrected-rate estimate.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code at app.js:673 implements:</w:t>
      </w:r>
    </w:p>
    <w:p>
      <w:pPr>
        <w:spacing w:before="80" w:after="80"/>
        <w:ind w:left="360"/>
        <w:shd w:val="clear" w:color="auto" w:fill="EEF1F8"/>
      </w:pPr>
      <w:r>
        <w:rPr>
          <w:rFonts w:ascii="Courier New" w:hAnsi="Courier New"/>
          <w:color w:val="0A3060"/>
          <w:sz w:val="17"/>
        </w:rPr>
        <w:t>const correctedRate = (observedRate - (1 - p) / 2) / (2 * p - 1);   // INCORRECT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For the described mechanism (honest coin then random second flip), the mathematically correct derivation is:</w:t>
      </w:r>
    </w:p>
    <w:p>
      <w:pPr>
        <w:spacing w:before="80" w:after="80"/>
        <w:ind w:left="360"/>
        <w:shd w:val="clear" w:color="auto" w:fill="EEF1F8"/>
      </w:pPr>
      <w:r>
        <w:rPr>
          <w:rFonts w:ascii="Courier New" w:hAnsi="Courier New"/>
          <w:color w:val="0A3060"/>
          <w:sz w:val="17"/>
        </w:rPr>
        <w:t>P(report=1) = p × π + (1−p) × 0.5</w:t>
        <w:br/>
        <w:t>⟹  π  =  (λ − (1−p)/2) / p           // correct denominator: p</w:t>
        <w:br/>
        <w:br/>
        <w:t>// Code uses (2p−1) as denominator — wrong for this mechanism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Impact for p = 0.7 (the configured value):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928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928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 for true rate = 35%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sz w:val="18"/>
              </w:rPr>
              <w:t>Correct formula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sz w:val="18"/>
              </w:rPr>
              <w:t>denominator = p = 0.70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00B580"/>
                <w:sz w:val="18"/>
              </w:rPr>
              <w:t>≈ 35.0%  ✓</w:t>
            </w:r>
          </w:p>
        </w:tc>
      </w:tr>
      <w:tr>
        <w:tc>
          <w:tcPr>
            <w:tcW w:type="dxa" w:w="2928"/>
            <w:shd w:val="clear" w:color="auto" w:fill="FDF0F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sz w:val="18"/>
              </w:rPr>
              <w:t>Code (app.js:673)</w:t>
            </w:r>
          </w:p>
        </w:tc>
        <w:tc>
          <w:tcPr>
            <w:tcW w:type="dxa" w:w="2928"/>
            <w:shd w:val="clear" w:color="auto" w:fill="FDF0F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sz w:val="18"/>
              </w:rPr>
              <w:t>denominator = 2p−1 = 0.40</w:t>
            </w:r>
          </w:p>
        </w:tc>
        <w:tc>
          <w:tcPr>
            <w:tcW w:type="dxa" w:w="2928"/>
            <w:shd w:val="clear" w:color="auto" w:fill="FDF0F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C03950"/>
                <w:sz w:val="18"/>
              </w:rPr>
              <w:t>≈ 61.3%  ✗</w:t>
            </w:r>
          </w:p>
        </w:tc>
      </w:tr>
      <w:tr>
        <w:tc>
          <w:tcPr>
            <w:tcW w:type="dxa" w:w="2928"/>
            <w:shd w:val="clear" w:color="auto" w:fill="FDF0F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sz w:val="18"/>
              </w:rPr>
              <w:t>content.js comment</w:t>
            </w:r>
          </w:p>
        </w:tc>
        <w:tc>
          <w:tcPr>
            <w:tcW w:type="dxa" w:w="2928"/>
            <w:shd w:val="clear" w:color="auto" w:fill="FDF0F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sz w:val="18"/>
              </w:rPr>
              <w:t>denominator = p−(1−p)/2 = 0.55</w:t>
            </w:r>
          </w:p>
        </w:tc>
        <w:tc>
          <w:tcPr>
            <w:tcW w:type="dxa" w:w="2928"/>
            <w:shd w:val="clear" w:color="auto" w:fill="FDF0F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C03950"/>
                <w:sz w:val="18"/>
              </w:rPr>
              <w:t>≈ 44.5%  ✗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Additionally, content.js documents a third formula in comments that differs from both the correct formula and the implementation — three inconsistent values across two files, with only one being correct.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1.3  Secure MPC — Secret Sharing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share generation code comment reads "// Show shares (fake split values)" — the visualization is cosmetic. Share chips display plausible-looking splits (S1→P1: 20, S1→P2: 15…) but: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No additive verification is ever performed in the UI. The user cannot confirm shares reconstruct the correct sum.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Individual school scores are correctly hidden in the UI, but the protocol outcome (district average) is computed outside any simulated MPC protocol — it is just JavaScript arithmetic.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In real additive secret sharing, shares can be negative. This is not conveyed, leaving users with an incomplete mental model.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1.4  PPRL — Bloom Filter Encoding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Two accuracy gaps exist in the PPRL module:</w:t>
      </w:r>
    </w:p>
    <w:p>
      <w:pPr>
        <w:spacing w:before="80" w:after="80"/>
        <w:ind w:left="360"/>
        <w:shd w:val="clear" w:color="auto" w:fill="EEF1F8"/>
      </w:pPr>
      <w:r>
        <w:rPr>
          <w:rFonts w:ascii="Courier New" w:hAnsi="Courier New"/>
          <w:color w:val="0A3060"/>
          <w:sz w:val="17"/>
        </w:rPr>
        <w:t>// app.js:814 — matching is done by integer id comparison, NOT by hash</w:t>
        <w:br/>
        <w:t>const matchedIds = agencyA.filter(a =&gt; agencyB.some(b =&gt; b.id === a.id));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The fakeHash() function generates a deterministic hex string displayed in the UI, but actual record matching is performed by comparing integer id fields directly. The hash visual is purely cosmetic — it misleads users into believing Bloom filter comparison drives the match.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Real Bloom filter PPRL supports fuzzy/approximate matching (name typos, DOB variations). The demo implies hashes must collide exactly, losing the key educational point about approximate string matching across agency boundaries.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1.5  Homomorphic Encryption — Deterministic "Ciphertext"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fakeEnc() function generates a deterministic string from each plaintext value. Real HE schemes (BFV, CKKS, BGV) are probabilistically encrypted — the same plaintext produces a different ciphertext on every encryption call (semantic/IND-CPA security). The simulation inadvertently demonstrates semantically insecure encryption, which is the opposite of the HE property being taught.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1.6  Synthetic Data — Hardcoded Perfect Fidelity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statistical comparison panel hardcodes perfectly identical figures (Real: 3.05 · Synthetic: 3.05) for every metric. Real synthetic generation involves fidelity trade-offs that worsen for small subgroups. No parameter controls synthesis quality, so the privacy-utility tension — the central lesson — is completely absent from this module.</w:t>
      </w:r>
    </w:p>
    <w:p>
      <w:pPr>
        <w:spacing w:before="360" w:after="80"/>
        <w:shd w:val="clear" w:color="auto" w:fill="0A1228"/>
      </w:pPr>
      <w:r>
        <w:rPr>
          <w:rFonts w:ascii="Calibri" w:hAnsi="Calibri"/>
          <w:b/>
          <w:color w:val="00B580"/>
          <w:sz w:val="30"/>
        </w:rPr>
        <w:t xml:space="preserve">  2  Code Efficiency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Identified bottlenecks and structural issues in the simulation engine.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2F5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928"/>
            <w:shd w:val="clear" w:color="auto" w:fill="1E2F5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928"/>
            <w:shd w:val="clear" w:color="auto" w:fill="1E2F5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Full module innerHTML rebuild on every tab/module switch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showModule() + all render*() functions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High — discards all DOM state; no incremental update</w:t>
            </w:r>
          </w:p>
        </w:tc>
      </w:tr>
      <w:tr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Global window.* function pollution (~15 functions)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window.dpRunQuery, window.pprlLink, window.flRun…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Medium — naming collision risk; stale functions survive module switch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Full D3 bundle (~350 KB) loaded for only 2 modules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index.html:107 — d3.min.js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High — DP bar chart and FL diagram are the only D3 consumers</w:t>
            </w:r>
          </w:p>
        </w:tc>
      </w:tr>
      <w:tr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No debounce on epsilon slider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app.js:441–445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Low now — dpDrawBars fires synchronously on every pixel of drag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Async sleep() chains are not cancellable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All async simulation functions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Medium — module switch mid-animation leaves orphaned DOM mutations</w:t>
            </w:r>
          </w:p>
        </w:tc>
      </w:tr>
      <w:tr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MPC chip ID sanitization is fragile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app.js:905 — .replace(/[^a-z0-9]/gi,'')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Low — labels differing only in punctuation would collide on getElementById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Massive inline style strings throughout render functions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ourier New" w:hAnsi="Courier New"/>
                <w:color w:val="444444"/>
                <w:sz w:val="18"/>
              </w:rPr>
              <w:t>All render* functions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Medium — prevents CSS deduplication; inflates JS payload</w:t>
            </w:r>
          </w:p>
        </w:tc>
      </w:tr>
    </w:tbl>
    <w:p>
      <w:pPr>
        <w:spacing w:before="40" w:after="40"/>
      </w:pPr>
    </w:p>
    <w:p>
      <w:pPr>
        <w:spacing w:before="360" w:after="80"/>
        <w:shd w:val="clear" w:color="auto" w:fill="0A1228"/>
      </w:pPr>
      <w:r>
        <w:rPr>
          <w:rFonts w:ascii="Calibri" w:hAnsi="Calibri"/>
          <w:b/>
          <w:color w:val="00B580"/>
          <w:sz w:val="30"/>
        </w:rPr>
        <w:t xml:space="preserve">  3  Visualization &amp; UX — Privacy vs. Utility Trade-Off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3.1  What Works Well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The DP epsilon slider + side-by-side bar chart is the strongest interactive element — noise visually expands as ε drops, making the trade-off visceral and immediately understandable.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Light/dark mode toggle with localStorage persistence is polished.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The keyboard-accessible tooltip system (hover preview + click-to-pin) is well implemented.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Step-by-step animation sequencing is pedagogically clear across all modules.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3.2  Gaps and Weaknesses</w:t>
      </w:r>
    </w:p>
    <w:p>
      <w:pPr>
        <w:spacing w:before="120" w:after="120"/>
        <w:ind w:left="432"/>
        <w:shd w:val="clear" w:color="auto" w:fill="FDEEEE"/>
      </w:pPr>
      <w:r>
        <w:rPr>
          <w:rFonts w:ascii="Calibri" w:hAnsi="Calibri"/>
          <w:b/>
          <w:color w:val="C03950"/>
          <w:sz w:val="20"/>
        </w:rPr>
        <w:t xml:space="preserve">Critical:  </w:t>
      </w:r>
      <w:r>
        <w:rPr>
          <w:rFonts w:ascii="Calibri" w:hAnsi="Calibri"/>
          <w:color w:val="444444"/>
          <w:sz w:val="20"/>
        </w:rPr>
        <w:t>"Output type" shows *TBD* in every one of the 8 module tradeoff rows. This is visible in the live UI and undermines credibility with the target audience (state education agency staff).</w:t>
      </w:r>
    </w:p>
    <w:p>
      <w:pPr>
        <w:spacing w:before="40" w:after="40"/>
      </w:pPr>
    </w:p>
    <w:p>
      <w:pPr>
        <w:spacing w:before="200" w:after="40"/>
      </w:pPr>
      <w:r>
        <w:rPr>
          <w:rFonts w:ascii="Calibri" w:hAnsi="Calibri"/>
          <w:b/>
          <w:color w:val="1F62B5"/>
          <w:sz w:val="21"/>
        </w:rPr>
        <w:t>No interactive privacy-utility control outside of DP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ε slider is the only control that lets users feel the trade-off. All other modules have binary run/reset interactions. Suggested additions: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Synthetic Data: a fidelity slider (fewer synthetic records → lower privacy risk, lower utility) with live statistical drift visible in the comparison panel.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k-Anonymity: the k-slider updates badge counts but does not recalculate data utility loss (% of records suppressed or further generalized).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444444"/>
          <w:sz w:val="20"/>
        </w:rPr>
        <w:t>Federated Learning: a DP noise multiplier on gradients showing accuracy vs. ε at the model level.</w:t>
      </w:r>
    </w:p>
    <w:p>
      <w:pPr>
        <w:spacing w:before="200" w:after="40"/>
      </w:pPr>
      <w:r>
        <w:rPr>
          <w:rFonts w:ascii="Calibri" w:hAnsi="Calibri"/>
          <w:b/>
          <w:color w:val="1F62B5"/>
          <w:sz w:val="21"/>
        </w:rPr>
        <w:t>True rate visible to "collector" in Local DP demo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corrected rate is displayed side-by-side with "True rate (hidden from collector)" — which is nevertheless shown in the UI. In a real system, the true rate is never observable by the collector. Displaying it frames LDP as an approximation trick rather than a genuine privacy guarantee.</w:t>
      </w:r>
    </w:p>
    <w:p>
      <w:pPr>
        <w:spacing w:before="200" w:after="40"/>
      </w:pPr>
      <w:r>
        <w:rPr>
          <w:rFonts w:ascii="Calibri" w:hAnsi="Calibri"/>
          <w:b/>
          <w:color w:val="1F62B5"/>
          <w:sz w:val="21"/>
        </w:rPr>
        <w:t>No cumulative privacy budget meter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When a user runs the DP query multiple times, a running ε-expenditure bar (e.g., "Budget used: 3.0 / 5.0 ε") would teach sequential composition without requiring a written explanation.</w:t>
      </w:r>
    </w:p>
    <w:p>
      <w:pPr>
        <w:spacing w:before="200" w:after="40"/>
      </w:pPr>
      <w:r>
        <w:rPr>
          <w:rFonts w:ascii="Calibri" w:hAnsi="Calibri"/>
          <w:b/>
          <w:color w:val="1F62B5"/>
          <w:sz w:val="21"/>
        </w:rPr>
        <w:t>Comparison table has no interactive sorting or filtering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The Compare module is a static table. For the target audience (analysts choosing between techniques), a radar chart or parallel coordinates plot would allow direct comparison on user-prioritised dimensions — e.g., dragging "Implementation complexity" to the top axis for a resource-constrained agency.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3.3  Suggested Enhancements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2F5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4392"/>
            <w:shd w:val="clear" w:color="auto" w:fill="1E2F50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Educational Value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Replace Synthetic Data static stats with a live chart that shifts as a fidelity parameter changes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Directly demonstrates privacy-utility Pareto trade-off</w:t>
            </w:r>
          </w:p>
        </w:tc>
      </w:tr>
      <w:tr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Add a "What does an adversary see?" toggle on PPRL — switch perspective to an interceptor who only receives hash blobs</w:t>
            </w:r>
          </w:p>
        </w:tc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Teaches threat-model thinking; clarifies what "crossing the boundary" means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Add a gradient-leak panel in FL showing that Δw can approximate training data without DP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Motivates DP-on-gradients; closes a major conceptual gap</w:t>
            </w:r>
          </w:p>
        </w:tc>
      </w:tr>
      <w:tr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Add a cumulative ε budget meter to the DP module</w:t>
            </w:r>
          </w:p>
        </w:tc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Teaches composition theorem interactively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Radar / spider chart in Compare replacing the static table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Allows analysts to weight dimensions by their own priorities</w:t>
            </w:r>
          </w:p>
        </w:tc>
      </w:tr>
    </w:tbl>
    <w:p>
      <w:pPr>
        <w:spacing w:before="40" w:after="40"/>
      </w:pPr>
    </w:p>
    <w:p>
      <w:pPr>
        <w:spacing w:before="360" w:after="80"/>
        <w:shd w:val="clear" w:color="auto" w:fill="0A1228"/>
      </w:pPr>
      <w:r>
        <w:rPr>
          <w:rFonts w:ascii="Calibri" w:hAnsi="Calibri"/>
          <w:b/>
          <w:color w:val="00B580"/>
          <w:sz w:val="30"/>
        </w:rPr>
        <w:t xml:space="preserve">  4  Gap Analysis — Missing PET Concepts &amp; Attack Vectors</w:t>
      </w: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4.1  Attack Vectors Not Demonstrated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Missing Attack</w:t>
            </w:r>
          </w:p>
        </w:tc>
        <w:tc>
          <w:tcPr>
            <w:tcW w:type="dxa" w:w="2928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Relevant Module(s)</w:t>
            </w:r>
          </w:p>
        </w:tc>
        <w:tc>
          <w:tcPr>
            <w:tcW w:type="dxa" w:w="2928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Linkage / re-identification attack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PPRL, Traditional De-id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Joining two anonymized datasets can re-identify individuals (Netflix, AOL attacks). The core motivation for PETs.</w:t>
            </w:r>
          </w:p>
        </w:tc>
      </w:tr>
      <w:tr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Membership inference attack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FL, Synthetic Data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An adversary queries a model to determine whether a specific student was in the training set.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Gradient inversion / model inversion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Federated Learning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Gradients can be inverted to approximately reconstruct training records. Motivates DP-on-gradients; not mentioned anywhere in the FL module.</w:t>
            </w:r>
          </w:p>
        </w:tc>
      </w:tr>
      <w:tr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Differencing attack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DP, Perturbation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Running two overlapping queries and subtracting reveals individual records. The classic DP origin story — mentioned in limitations text but not simulated.</w:t>
            </w:r>
          </w:p>
        </w:tc>
      </w:tr>
      <w:tr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Homogeneity attack on k-anonymity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Traditional (k-Anon)</w:t>
            </w:r>
          </w:p>
        </w:tc>
        <w:tc>
          <w:tcPr>
            <w:tcW w:type="dxa" w:w="2928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When all k records share the same sensitive attribute, grouping provides zero protection. Listed in limitations but not demonstrated interactively.</w:t>
            </w:r>
          </w:p>
        </w:tc>
      </w:tr>
      <w:tr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Background knowledge attack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Traditional (k-Anon)</w:t>
            </w:r>
          </w:p>
        </w:tc>
        <w:tc>
          <w:tcPr>
            <w:tcW w:type="dxa" w:w="2928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Listed in limitations text only. An adversary with auxiliary information can narrow a k-group to a single individual.</w:t>
            </w:r>
          </w:p>
        </w:tc>
      </w:tr>
    </w:tbl>
    <w:p>
      <w:pPr>
        <w:spacing w:before="40" w:after="40"/>
      </w:pPr>
    </w:p>
    <w:p>
      <w:pPr>
        <w:spacing w:before="280" w:after="60"/>
        <w:pBdr>
          <w:bottom w:val="single" w:sz="6" w:space="4" w:color="1E2F50"/>
        </w:pBdr>
      </w:pPr>
      <w:r>
        <w:rPr>
          <w:rFonts w:ascii="Calibri" w:hAnsi="Calibri"/>
          <w:b/>
          <w:color w:val="0A1228"/>
          <w:sz w:val="24"/>
        </w:rPr>
        <w:t>4.2  PET Concepts Not Covered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Missing Concept</w:t>
            </w:r>
          </w:p>
        </w:tc>
        <w:tc>
          <w:tcPr>
            <w:tcW w:type="dxa" w:w="4392"/>
            <w:shd w:val="clear" w:color="auto" w:fill="0A122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Gap Description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Privacy budget composition (sequential &amp; parallel)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Running DP queries multiple times depletes the budget multiplicatively. Not shown or tracked in the UI. Critical for any real deployment.</w:t>
            </w:r>
          </w:p>
        </w:tc>
      </w:tr>
      <w:tr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Approximate DP — the (ε, δ) parameter</w:t>
            </w:r>
          </w:p>
        </w:tc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The δ parameter (probability of a catastrophic privacy failure) is entirely absent. All examples show pure ε-DP only.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Secure Aggregation (in FL)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Used to prevent the coordinator from seeing individual institution gradients. Separate from MPC but closely related; not mentioned in the FL module.</w:t>
            </w:r>
          </w:p>
        </w:tc>
      </w:tr>
      <w:tr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l-diversity and t-closeness</w:t>
            </w:r>
          </w:p>
        </w:tc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Extensions to k-anonymity that address homogeneity and distribution attacks. Mentioned once in the k-anonymity description but not simulated.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Synthetic data memorization risk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A poorly trained generative model can memorize outlier records. The simulation shows synthetic data as perfectly safe, which is not accurate for all generation methods.</w:t>
            </w:r>
          </w:p>
        </w:tc>
      </w:tr>
      <w:tr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Zero-Knowledge Proofs (ZKPs)</w:t>
            </w:r>
          </w:p>
        </w:tc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Increasingly used in credential, audit, and regulatory contexts. Not mentioned as a PET category.</w:t>
            </w:r>
          </w:p>
        </w:tc>
      </w:tr>
      <w:tr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Privacy-Utility Pareto frontier</w:t>
            </w:r>
          </w:p>
        </w:tc>
        <w:tc>
          <w:tcPr>
            <w:tcW w:type="dxa" w:w="4392"/>
            <w:shd w:val="clear" w:color="auto" w:fill="F2F4F8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No cross-module visualization showing which technique is optimal for a given utility requirement and threat model.</w:t>
            </w:r>
          </w:p>
        </w:tc>
      </w:tr>
      <w:tr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Output type column — all 8 modules show *TBD*</w:t>
            </w:r>
          </w:p>
        </w:tc>
        <w:tc>
          <w:tcPr>
            <w:tcW w:type="dxa" w:w="4392"/>
            <w:shd w:val="clear" w:color="auto" w:fill="EBF0FA"/>
            <w:tcBorders>
              <w:top w:val="single" w:sz="4" w:space="0" w:color="8EA8C3"/>
              <w:left w:val="single" w:sz="4" w:space="0" w:color="8EA8C3"/>
              <w:bottom w:val="single" w:sz="4" w:space="0" w:color="8EA8C3"/>
              <w:right w:val="single" w:sz="4" w:space="0" w:color="8EA8C3"/>
            </w:tcBorders>
          </w:tcPr>
          <w:p>
            <w:r>
              <w:rPr>
                <w:rFonts w:ascii="Calibri" w:hAnsi="Calibri"/>
                <w:color w:val="444444"/>
                <w:sz w:val="18"/>
              </w:rPr>
              <w:t>Whether output is aggregate-only vs. individual-record-level is a critical FERPA consideration. The column is promised in every tradeoff row but never filled in.</w:t>
            </w:r>
          </w:p>
        </w:tc>
      </w:tr>
    </w:tbl>
    <w:p>
      <w:pPr>
        <w:spacing w:before="40" w:after="40"/>
      </w:pPr>
    </w:p>
    <w:p>
      <w:pPr>
        <w:spacing w:before="360" w:after="80"/>
        <w:shd w:val="clear" w:color="auto" w:fill="0A1228"/>
      </w:pPr>
      <w:r>
        <w:rPr>
          <w:rFonts w:ascii="Calibri" w:hAnsi="Calibri"/>
          <w:b/>
          <w:color w:val="00B580"/>
          <w:sz w:val="30"/>
        </w:rPr>
        <w:t xml:space="preserve">  5  Priority Remediation List</w:t>
      </w:r>
    </w:p>
    <w:p>
      <w:pPr>
        <w:spacing w:before="40" w:after="80"/>
      </w:pPr>
      <w:r>
        <w:rPr>
          <w:rFonts w:ascii="Calibri" w:hAnsi="Calibri"/>
          <w:color w:val="444444"/>
          <w:sz w:val="20"/>
        </w:rPr>
        <w:t>Ordered by impact. No code changes have been made; this list is for planning purposes.</w:t>
      </w:r>
    </w:p>
    <w:p>
      <w:pPr>
        <w:spacing w:before="120" w:after="40"/>
      </w:pPr>
      <w:r>
        <w:rPr>
          <w:rFonts w:ascii="Calibri" w:hAnsi="Calibri"/>
          <w:b/>
          <w:color w:val="C03950"/>
          <w:sz w:val="21"/>
        </w:rPr>
        <w:t>P1 — Fix the LDP correction formula</w:t>
      </w:r>
    </w:p>
    <w:p>
      <w:pPr>
        <w:spacing w:before="0" w:after="20"/>
        <w:ind w:left="288"/>
      </w:pPr>
      <w:r>
        <w:rPr>
          <w:rFonts w:ascii="Courier New" w:hAnsi="Courier New"/>
          <w:color w:val="556688"/>
          <w:sz w:val="18"/>
        </w:rPr>
        <w:t>File: app.js:673</w:t>
      </w:r>
    </w:p>
    <w:p>
      <w:pPr>
        <w:spacing w:before="40" w:after="80"/>
        <w:ind w:left="360"/>
      </w:pPr>
      <w:r>
        <w:rPr>
          <w:rFonts w:ascii="Calibri" w:hAnsi="Calibri"/>
          <w:color w:val="444444"/>
          <w:sz w:val="20"/>
        </w:rPr>
        <w:t>Change the denominator from (2 * p - 1) to p. Also reconcile the formula comment in content.js:309. This is an outright bug affecting scientific accuracy.</w:t>
      </w:r>
    </w:p>
    <w:p>
      <w:pPr>
        <w:spacing w:before="120" w:after="40"/>
      </w:pPr>
      <w:r>
        <w:rPr>
          <w:rFonts w:ascii="Calibri" w:hAnsi="Calibri"/>
          <w:b/>
          <w:color w:val="B88A00"/>
          <w:sz w:val="21"/>
        </w:rPr>
        <w:t>P2 — Fill in the *TBD* Output Type rows</w:t>
      </w:r>
    </w:p>
    <w:p>
      <w:pPr>
        <w:spacing w:before="0" w:after="20"/>
        <w:ind w:left="288"/>
      </w:pPr>
      <w:r>
        <w:rPr>
          <w:rFonts w:ascii="Courier New" w:hAnsi="Courier New"/>
          <w:color w:val="556688"/>
          <w:sz w:val="18"/>
        </w:rPr>
        <w:t>File: content.js — all 8 module tradeoff arrays</w:t>
      </w:r>
    </w:p>
    <w:p>
      <w:pPr>
        <w:spacing w:before="40" w:after="80"/>
        <w:ind w:left="360"/>
      </w:pPr>
      <w:r>
        <w:rPr>
          <w:rFonts w:ascii="Calibri" w:hAnsi="Calibri"/>
          <w:color w:val="444444"/>
          <w:sz w:val="20"/>
        </w:rPr>
        <w:t>Every module shows ['Output type', '*TBD*', 'val-med']. This visible placeholder undermines credibility with the target audience.</w:t>
      </w:r>
    </w:p>
    <w:p>
      <w:pPr>
        <w:spacing w:before="120" w:after="40"/>
      </w:pPr>
      <w:r>
        <w:rPr>
          <w:rFonts w:ascii="Calibri" w:hAnsi="Calibri"/>
          <w:b/>
          <w:color w:val="1F62B5"/>
          <w:sz w:val="21"/>
        </w:rPr>
        <w:t>P3 — Add a differencing attack demo to the DP module</w:t>
      </w:r>
    </w:p>
    <w:p>
      <w:pPr>
        <w:spacing w:before="0" w:after="20"/>
        <w:ind w:left="288"/>
      </w:pPr>
      <w:r>
        <w:rPr>
          <w:rFonts w:ascii="Courier New" w:hAnsi="Courier New"/>
          <w:color w:val="556688"/>
          <w:sz w:val="18"/>
        </w:rPr>
        <w:t>File: app.js — renderDP() / renderGlobalTab()</w:t>
      </w:r>
    </w:p>
    <w:p>
      <w:pPr>
        <w:spacing w:before="40" w:after="80"/>
        <w:ind w:left="360"/>
      </w:pPr>
      <w:r>
        <w:rPr>
          <w:rFonts w:ascii="Calibri" w:hAnsi="Calibri"/>
          <w:color w:val="444444"/>
          <w:sz w:val="20"/>
        </w:rPr>
        <w:t>Show two overlapping queries whose difference reveals an individual count. This is the canonical DP motivation and the highest-value educational addition.</w:t>
      </w:r>
    </w:p>
    <w:p>
      <w:pPr>
        <w:spacing w:before="120" w:after="40"/>
      </w:pPr>
      <w:r>
        <w:rPr>
          <w:rFonts w:ascii="Calibri" w:hAnsi="Calibri"/>
          <w:b/>
          <w:color w:val="1F62B5"/>
          <w:sz w:val="21"/>
        </w:rPr>
        <w:t>P4 — Add a cumulative ε budget meter to the DP module</w:t>
      </w:r>
    </w:p>
    <w:p>
      <w:pPr>
        <w:spacing w:before="0" w:after="20"/>
        <w:ind w:left="288"/>
      </w:pPr>
      <w:r>
        <w:rPr>
          <w:rFonts w:ascii="Courier New" w:hAnsi="Courier New"/>
          <w:color w:val="556688"/>
          <w:sz w:val="18"/>
        </w:rPr>
        <w:t>File: app.js — renderGlobalTab(), dpRunQuery()</w:t>
      </w:r>
    </w:p>
    <w:p>
      <w:pPr>
        <w:spacing w:before="40" w:after="80"/>
        <w:ind w:left="360"/>
      </w:pPr>
      <w:r>
        <w:rPr>
          <w:rFonts w:ascii="Calibri" w:hAnsi="Calibri"/>
          <w:color w:val="444444"/>
          <w:sz w:val="20"/>
        </w:rPr>
        <w:t>Track total ε spent across query runs. Display a budget bar (e.g., "Spent: 3.0 / 5.0 ε"). Teaches sequential composition.</w:t>
      </w:r>
    </w:p>
    <w:p>
      <w:pPr>
        <w:spacing w:before="120" w:after="40"/>
      </w:pPr>
      <w:r>
        <w:rPr>
          <w:rFonts w:ascii="Calibri" w:hAnsi="Calibri"/>
          <w:b/>
          <w:color w:val="1F62B5"/>
          <w:sz w:val="21"/>
        </w:rPr>
        <w:t>P5 — Fix the PPRL matching to use hashes</w:t>
      </w:r>
    </w:p>
    <w:p>
      <w:pPr>
        <w:spacing w:before="0" w:after="20"/>
        <w:ind w:left="288"/>
      </w:pPr>
      <w:r>
        <w:rPr>
          <w:rFonts w:ascii="Courier New" w:hAnsi="Courier New"/>
          <w:color w:val="556688"/>
          <w:sz w:val="18"/>
        </w:rPr>
        <w:t>File: app.js:814 — pprlLink()</w:t>
      </w:r>
    </w:p>
    <w:p>
      <w:pPr>
        <w:spacing w:before="40" w:after="80"/>
        <w:ind w:left="360"/>
      </w:pPr>
      <w:r>
        <w:rPr>
          <w:rFonts w:ascii="Calibri" w:hAnsi="Calibri"/>
          <w:color w:val="444444"/>
          <w:sz w:val="20"/>
        </w:rPr>
        <w:t>Replace the id-shortcut match with hash-based comparison. Add one deliberate false positive to demonstrate Bloom filter probabilistic matching.</w:t>
      </w:r>
    </w:p>
    <w:p>
      <w:pPr>
        <w:spacing w:before="120" w:after="40"/>
      </w:pPr>
      <w:r>
        <w:rPr>
          <w:rFonts w:ascii="Calibri" w:hAnsi="Calibri"/>
          <w:b/>
          <w:color w:val="444444"/>
          <w:sz w:val="21"/>
        </w:rPr>
        <w:t>P6 — Remove or hide "True rate" from Local DP results view</w:t>
      </w:r>
    </w:p>
    <w:p>
      <w:pPr>
        <w:spacing w:before="0" w:after="20"/>
        <w:ind w:left="288"/>
      </w:pPr>
      <w:r>
        <w:rPr>
          <w:rFonts w:ascii="Courier New" w:hAnsi="Courier New"/>
          <w:color w:val="556688"/>
          <w:sz w:val="18"/>
        </w:rPr>
        <w:t>File: app.js:688 — ldpRunSurvey()</w:t>
      </w:r>
    </w:p>
    <w:p>
      <w:pPr>
        <w:spacing w:before="40" w:after="80"/>
        <w:ind w:left="360"/>
      </w:pPr>
      <w:r>
        <w:rPr>
          <w:rFonts w:ascii="Calibri" w:hAnsi="Calibri"/>
          <w:color w:val="444444"/>
          <w:sz w:val="20"/>
        </w:rPr>
        <w:t>The true rate should not be visible to the "collector" side of the simulation. Move it to an analyst/researcher view or remove it entirely.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