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02" w:rsidRDefault="00C25902" w:rsidP="00C259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ECUACIONES SIMULTÁNEAS</w:t>
      </w:r>
    </w:p>
    <w:p w:rsidR="00C25902" w:rsidRPr="006E05B0" w:rsidRDefault="00C25902" w:rsidP="00C25902">
      <w:pPr>
        <w:jc w:val="both"/>
        <w:rPr>
          <w:rFonts w:ascii="Arial" w:hAnsi="Arial" w:cs="Arial"/>
          <w:sz w:val="28"/>
        </w:rPr>
      </w:pPr>
      <w:r w:rsidRPr="006E05B0">
        <w:rPr>
          <w:rFonts w:ascii="Arial" w:hAnsi="Arial" w:cs="Arial"/>
          <w:sz w:val="28"/>
        </w:rPr>
        <w:t>Se llama sistema de ecuaciones todo conjunto de ecuaciones distintas que tiene una o más soluciones comunes.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Resolver un sistema de ecuaciones simultáneas es hallar el conjunto de valores que satisfacen simultáneamente cada una de sus ecuaciones.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Un sistema es consistente si tiene por lo menos una solución. Un sistema con un número infinito de soluciones es dependiente y consistente. Un sistema es inconsistente si carece de solución.</w:t>
      </w:r>
    </w:p>
    <w:p w:rsidR="00C25902" w:rsidRPr="0008511F" w:rsidRDefault="00C25902" w:rsidP="00C25902">
      <w:pPr>
        <w:pStyle w:val="Ttulo1"/>
      </w:pPr>
      <w:bookmarkStart w:id="0" w:name="_Toc513620114"/>
      <w:r w:rsidRPr="0008511F">
        <w:t>GAUSS SEIDEL</w:t>
      </w:r>
      <w:bookmarkEnd w:id="0"/>
    </w:p>
    <w:p w:rsidR="00C25902" w:rsidRPr="0008511F" w:rsidRDefault="00C25902" w:rsidP="00C25902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Es un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método iterativo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utilizado para resolver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sistemas de ecuaciones lineales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. El método se llama así en honor a los matemáticos alemanes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Carl Friedrich Gauss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y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8511F">
        <w:rPr>
          <w:rFonts w:ascii="Arial" w:hAnsi="Arial" w:cs="Arial"/>
          <w:sz w:val="28"/>
          <w:szCs w:val="28"/>
          <w:shd w:val="clear" w:color="auto" w:fill="FFFFFF"/>
        </w:rPr>
        <w:t>Philipp</w:t>
      </w:r>
      <w:proofErr w:type="spellEnd"/>
      <w:r w:rsidRPr="0008511F">
        <w:rPr>
          <w:rFonts w:ascii="Arial" w:hAnsi="Arial" w:cs="Arial"/>
          <w:sz w:val="28"/>
          <w:szCs w:val="28"/>
          <w:shd w:val="clear" w:color="auto" w:fill="FFFFFF"/>
        </w:rPr>
        <w:t xml:space="preserve"> Ludwig von </w:t>
      </w:r>
      <w:proofErr w:type="spellStart"/>
      <w:r w:rsidRPr="0008511F">
        <w:rPr>
          <w:rFonts w:ascii="Arial" w:hAnsi="Arial" w:cs="Arial"/>
          <w:sz w:val="28"/>
          <w:szCs w:val="28"/>
          <w:shd w:val="clear" w:color="auto" w:fill="FFFFFF"/>
        </w:rPr>
        <w:t>Seidel</w:t>
      </w:r>
      <w:proofErr w:type="spellEnd"/>
      <w:r w:rsidRPr="0008511F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Algoritmo: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1.- El sistema debe tener una diagonal fuerte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25902" w:rsidRPr="0008511F" w:rsidTr="006D4601">
        <w:tc>
          <w:tcPr>
            <w:tcW w:w="1765" w:type="dxa"/>
          </w:tcPr>
          <w:p w:rsidR="00C25902" w:rsidRPr="0008511F" w:rsidRDefault="00C25902" w:rsidP="006D460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  <w:tr w:rsidR="00C25902" w:rsidRPr="0008511F" w:rsidTr="006D4601">
        <w:tc>
          <w:tcPr>
            <w:tcW w:w="1765" w:type="dxa"/>
          </w:tcPr>
          <w:p w:rsidR="00C25902" w:rsidRPr="0008511F" w:rsidRDefault="00C25902" w:rsidP="006D460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  <w:tr w:rsidR="00C25902" w:rsidRPr="0008511F" w:rsidTr="006D4601">
        <w:tc>
          <w:tcPr>
            <w:tcW w:w="1765" w:type="dxa"/>
          </w:tcPr>
          <w:p w:rsidR="00C25902" w:rsidRPr="0008511F" w:rsidRDefault="00C25902" w:rsidP="006D460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C25902" w:rsidRPr="0008511F" w:rsidRDefault="00C25902" w:rsidP="006D4601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</w:tbl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Ejemplo: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732"/>
        <w:gridCol w:w="827"/>
        <w:gridCol w:w="850"/>
        <w:gridCol w:w="993"/>
      </w:tblGrid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=27</m:t>
                </m:r>
              </m:oMath>
            </m:oMathPara>
          </w:p>
        </w:tc>
      </w:tr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=85</m:t>
                </m:r>
              </m:oMath>
            </m:oMathPara>
          </w:p>
        </w:tc>
      </w:tr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=109</m:t>
                </m:r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421"/>
        <w:gridCol w:w="732"/>
        <w:gridCol w:w="827"/>
        <w:gridCol w:w="850"/>
        <w:gridCol w:w="993"/>
      </w:tblGrid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=27</m:t>
                </m:r>
              </m:oMath>
            </m:oMathPara>
          </w:p>
        </w:tc>
      </w:tr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=85</m:t>
                </m:r>
              </m:oMath>
            </m:oMathPara>
          </w:p>
        </w:tc>
      </w:tr>
      <w:tr w:rsidR="00C25902" w:rsidRPr="0008511F" w:rsidTr="006D4601">
        <w:tc>
          <w:tcPr>
            <w:tcW w:w="421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732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C25902" w:rsidRPr="0008511F" w:rsidRDefault="00C25902" w:rsidP="006D4601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 xml:space="preserve">  =109</m:t>
                </m:r>
              </m:oMath>
            </m:oMathPara>
          </w:p>
        </w:tc>
      </w:tr>
    </w:tbl>
    <w:p w:rsidR="00C25902" w:rsidRPr="0008511F" w:rsidRDefault="00C25902" w:rsidP="00C25902">
      <w:pPr>
        <w:rPr>
          <w:rFonts w:ascii="Arial" w:hAnsi="Arial" w:cs="Arial"/>
          <w:szCs w:val="28"/>
        </w:rPr>
      </w:pPr>
      <w:r w:rsidRPr="0008511F">
        <w:rPr>
          <w:rFonts w:ascii="Arial" w:hAnsi="Arial" w:cs="Arial"/>
          <w:szCs w:val="28"/>
        </w:rPr>
        <w:t xml:space="preserve">     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3D074" wp14:editId="3C60CF0D">
                <wp:simplePos x="0" y="0"/>
                <wp:positionH relativeFrom="column">
                  <wp:posOffset>3103913</wp:posOffset>
                </wp:positionH>
                <wp:positionV relativeFrom="paragraph">
                  <wp:posOffset>43180</wp:posOffset>
                </wp:positionV>
                <wp:extent cx="342900" cy="0"/>
                <wp:effectExtent l="0" t="9525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8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44.4pt;margin-top:3.4pt;width:2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 w:rsidRPr="0008511F">
        <w:rPr>
          <w:rFonts w:ascii="Arial" w:hAnsi="Arial" w:cs="Arial"/>
          <w:sz w:val="28"/>
          <w:szCs w:val="28"/>
        </w:rPr>
        <w:br w:type="textWrapping" w:clear="all"/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2.- Despejar variables.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3.- Todas las variables tienen valor inicial igual a cero.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Fórmula para calcular el error</w:t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d>
        </m:oMath>
      </m:oMathPara>
    </w:p>
    <w:p w:rsidR="00C25902" w:rsidRDefault="00C25902" w:rsidP="00C25902">
      <w:pPr>
        <w:rPr>
          <w:rFonts w:ascii="Arial" w:hAnsi="Arial" w:cs="Arial"/>
          <w:sz w:val="28"/>
          <w:szCs w:val="28"/>
        </w:rPr>
      </w:pPr>
    </w:p>
    <w:p w:rsidR="00C25902" w:rsidRDefault="00C25902" w:rsidP="00C25902">
      <w:pPr>
        <w:rPr>
          <w:rFonts w:ascii="Arial" w:hAnsi="Arial" w:cs="Arial"/>
          <w:sz w:val="28"/>
          <w:szCs w:val="28"/>
        </w:rPr>
      </w:pPr>
    </w:p>
    <w:p w:rsidR="00C25902" w:rsidRDefault="00C25902" w:rsidP="00C25902">
      <w:pPr>
        <w:rPr>
          <w:rFonts w:ascii="Arial" w:hAnsi="Arial" w:cs="Arial"/>
          <w:sz w:val="28"/>
          <w:szCs w:val="28"/>
        </w:rPr>
      </w:pPr>
    </w:p>
    <w:p w:rsidR="00C25902" w:rsidRDefault="00C25902" w:rsidP="00C25902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lastRenderedPageBreak/>
        <w:t>Ejemplo de uso:</w:t>
      </w:r>
    </w:p>
    <w:p w:rsidR="00C25902" w:rsidRDefault="00C25902" w:rsidP="00C25902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8F4088D" wp14:editId="74F8F976">
            <wp:extent cx="5612130" cy="33445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02" w:rsidRPr="0008511F" w:rsidRDefault="00C25902" w:rsidP="00C259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Solución: </w:t>
      </w:r>
    </w:p>
    <w:p w:rsidR="00C25902" w:rsidRDefault="00C25902" w:rsidP="00C25902">
      <w:r>
        <w:rPr>
          <w:noProof/>
          <w:lang w:eastAsia="es-MX"/>
        </w:rPr>
        <w:drawing>
          <wp:inline distT="0" distB="0" distL="0" distR="0" wp14:anchorId="0E8727D2" wp14:editId="720F51D1">
            <wp:extent cx="5612130" cy="33445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02" w:rsidRDefault="00C25902" w:rsidP="00C25902"/>
    <w:p w:rsidR="00BC7D28" w:rsidRDefault="00C25902">
      <w:bookmarkStart w:id="1" w:name="_GoBack"/>
      <w:bookmarkEnd w:id="1"/>
    </w:p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02"/>
    <w:rsid w:val="001E758B"/>
    <w:rsid w:val="00485B40"/>
    <w:rsid w:val="00C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C45B8-1802-4406-A859-AEE3AF13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02"/>
  </w:style>
  <w:style w:type="paragraph" w:styleId="Ttulo1">
    <w:name w:val="heading 1"/>
    <w:basedOn w:val="Normal"/>
    <w:next w:val="Normal"/>
    <w:link w:val="Ttulo1Car"/>
    <w:uiPriority w:val="9"/>
    <w:qFormat/>
    <w:rsid w:val="00C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C25902"/>
  </w:style>
  <w:style w:type="table" w:styleId="Tablaconcuadrcula">
    <w:name w:val="Table Grid"/>
    <w:basedOn w:val="Tablanormal"/>
    <w:uiPriority w:val="39"/>
    <w:rsid w:val="00C2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2018-05-09T14:35:00Z</dcterms:created>
  <dcterms:modified xsi:type="dcterms:W3CDTF">2018-05-09T14:35:00Z</dcterms:modified>
</cp:coreProperties>
</file>