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 w:line="264" w:lineRule="auto"/>
        <w:jc w:val="left"/>
      </w:pPr>
      <w:r>
        <w:rPr>
          <w:rFonts w:ascii="Times New Roman" w:hAnsi="Times New Roman"/>
          <w:b/>
          <w:sz w:val="40"/>
        </w:rPr>
        <w:t>BitGuard-BNN: An Ultra-Low-Cost Stateful Binarized Neural Security Processor for Real-Time IoT Botnet Defense</w:t>
      </w:r>
    </w:p>
    <w:p>
      <w:pPr>
        <w:spacing w:before="80" w:after="160" w:line="240" w:lineRule="auto"/>
        <w:jc w:val="both"/>
      </w:pPr>
      <w:r>
        <w:rPr>
          <w:rFonts w:ascii="Times New Roman" w:hAnsi="Times New Roman"/>
          <w:b/>
          <w:sz w:val="20"/>
        </w:rPr>
        <w:t>(Abstract) Resource-constrained Internet of Things (IoT) edge devices are increasingly vulnerable to large-scale botnet attacks such as Mirai and Gafgyt. However, conventional deep learning-based intrusion detection systems (IDS) impose excessive computational burdens and suffer from high false alarm rates due to stateless per-packet evaluations. In this paper, we propose BitGuard-BNN, an ultra-low-cost, stateful binarized neural network (BNN) security processor tailored for real-time edge IoT botnet detection and defense. BitGuard-BNN integrates: (1) a lightweight payload-free streaming metadata engine extracting a unified 24-dimensional feature schema, (2) a cost-aware gated BNN that replaces floating-point multiplications with 1-bit XNOR-popcount operations while penalizing feature acquisition costs, (3) a hierarchical cascade combining a Boolean fast-path with a Tiny-to-Main BNN for early benign exit, (4) a dual-criterion confidence-distance open-set detector for zero-day threats, and (5) a 4-bit 5-counter temporal security state machine providing monotonic Level 0–5 defense recommendations. Rigorous zero-leakage evaluations on benchmark datasets (N-BaIoT and BoT-IoT) demonstrate that BitGuard-BNN reduces model memory by 95.9% (2.8 KB) and inference operations by 96.4% via 88.3% early exits, while achieving 99.64% Macro-F1, 99.98% high-risk attack recall, and a 92.4% reduction in false alarms per device-hour.</w:t>
      </w:r>
    </w:p>
    <w:p>
      <w:pPr>
        <w:spacing w:before="120" w:after="60" w:line="240" w:lineRule="auto"/>
        <w:jc w:val="left"/>
      </w:pPr>
      <w:r>
        <w:rPr>
          <w:rFonts w:ascii="Times New Roman" w:hAnsi="Times New Roman"/>
          <w:b/>
          <w:sz w:val="22"/>
        </w:rPr>
        <w:t>1. INTRODUCTION</w:t>
      </w:r>
    </w:p>
    <w:p>
      <w:pPr>
        <w:spacing w:before="0" w:after="60" w:line="240" w:lineRule="auto"/>
        <w:jc w:val="both"/>
      </w:pPr>
      <w:r>
        <w:rPr>
          <w:rFonts w:ascii="Times New Roman" w:hAnsi="Times New Roman"/>
          <w:b w:val="0"/>
          <w:sz w:val="20"/>
        </w:rPr>
        <w:t>The proliferation of IoT devices has led to widespread botnet infections (e.g., Mirai, Gafgyt) orchestrating crippling DDoS attacks and malicious reconnaissance [1]. While deep learning-based intrusion detection systems (IDS) achieve high classification accuracy, their floating-point (FP32) arithmetic and substantial memory footprints prevent deployment on microcontrollers with sub-watt power and limited RAM [2].</w:t>
      </w:r>
    </w:p>
    <w:p>
      <w:pPr>
        <w:spacing w:before="0" w:after="60" w:line="240" w:lineRule="auto"/>
        <w:jc w:val="both"/>
      </w:pPr>
      <w:r>
        <w:rPr>
          <w:rFonts w:ascii="Times New Roman" w:hAnsi="Times New Roman"/>
          <w:b w:val="0"/>
          <w:sz w:val="20"/>
        </w:rPr>
        <w:t>Furthermore, existing approaches suffer from major limitations: (1) heavy preprocessing overhead from extracting over 100 statistical features, (2) frequent false alarms and missed low-rate stealth attacks caused by stateless single-packet inference, (3) lack of safe, closed-loop mitigation mechanisms, and (4) vulnerability to unseen zero-day attacks [3].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sz w:val="20"/>
        </w:rPr>
        <w:t>To overcome these fundamental challenges, we present BitGuard-BNN, a hardware-friendly, stateful binarized neural security processor enabling real-time on-device botnet detection and active defense on ultra-low-power IoT edge nodes.</w:t>
      </w:r>
    </w:p>
    <w:p>
      <w:pPr>
        <w:spacing w:before="120" w:after="60" w:line="240" w:lineRule="auto"/>
        <w:jc w:val="left"/>
      </w:pPr>
      <w:r>
        <w:rPr>
          <w:rFonts w:ascii="Times New Roman" w:hAnsi="Times New Roman"/>
          <w:b/>
          <w:sz w:val="22"/>
        </w:rPr>
        <w:t>2. PROPOSED METHOD AND RESULTS</w:t>
      </w:r>
    </w:p>
    <w:p>
      <w:pPr>
        <w:spacing w:before="60" w:after="40" w:line="240" w:lineRule="auto"/>
        <w:jc w:val="left"/>
      </w:pPr>
      <w:r>
        <w:rPr>
          <w:rFonts w:ascii="Times New Roman" w:hAnsi="Times New Roman"/>
          <w:b/>
          <w:sz w:val="20"/>
        </w:rPr>
        <w:t>2.1. Streaming Feature Extraction and Cost-Aware BNN</w:t>
      </w:r>
    </w:p>
    <w:p>
      <w:pPr>
        <w:spacing w:before="0" w:after="80" w:line="240" w:lineRule="auto"/>
        <w:jc w:val="both"/>
      </w:pPr>
      <w:r>
        <w:rPr>
          <w:rFonts w:ascii="Times New Roman" w:hAnsi="Times New Roman"/>
          <w:b w:val="0"/>
          <w:sz w:val="20"/>
        </w:rPr>
        <w:t>BitGuard-BNN extracts a bounded 24-dimensional feature schema directly from packet headers without payload inspection. The classifier binarizes weights and activations to ±1, replacing floating-point multiply-accumulate (MAC) units with 1-bit XNOR and popcount bitwise operations [4, 5]. Inputs are encoded using 2-bit thermometer encoding. We formulate a composite loss penalizing differentiable feature gates: L = L_Focal + λ_feat * Σ σ(α_i) * c_i + β_FN * L_FN, physically pruning unselected feature groups.</w:t>
      </w:r>
    </w:p>
    <w:p>
      <w:pPr>
        <w:spacing w:before="60" w:after="40" w:line="240" w:lineRule="auto"/>
        <w:jc w:val="left"/>
      </w:pPr>
      <w:r>
        <w:rPr>
          <w:rFonts w:ascii="Times New Roman" w:hAnsi="Times New Roman"/>
          <w:b/>
          <w:sz w:val="20"/>
        </w:rPr>
        <w:t>2.2. Risk-Aware Multi-Stage Cascade and Open-Set Detection</w:t>
      </w:r>
    </w:p>
    <w:p>
      <w:pPr>
        <w:spacing w:before="0" w:after="80" w:line="240" w:lineRule="auto"/>
        <w:jc w:val="both"/>
      </w:pPr>
      <w:r>
        <w:rPr>
          <w:rFonts w:ascii="Times New Roman" w:hAnsi="Times New Roman"/>
          <w:b w:val="0"/>
          <w:sz w:val="20"/>
        </w:rPr>
        <w:t>Leveraging the predominance of benign traffic (&gt;85%), BitGuard-BNN implements a 3-tier cascade: (1) Boolean Fast-Path: statistic threshold check dismissing trivial benign packets with zero neural operations. (2) Tiny-BNN Gate: 8-feature compact BNN for rapid benign filtering. (3) Main-BNN: multi-class classifier activated only for escalated suspicious packets. Exit scores are penalized by temporal risk to prevent adversary evasion. Unseen zero-day attacks are isolated as unknown_like using a dual posterior confidence and Mahalanobis distance metric.</w:t>
      </w:r>
    </w:p>
    <w:p>
      <w:pPr>
        <w:spacing w:before="60" w:after="40" w:line="240" w:lineRule="auto"/>
        <w:jc w:val="left"/>
      </w:pPr>
      <w:r>
        <w:rPr>
          <w:rFonts w:ascii="Times New Roman" w:hAnsi="Times New Roman"/>
          <w:b/>
          <w:sz w:val="20"/>
        </w:rPr>
        <w:t>2.3. 4-bit Stateful Security Machine and Active Defense</w:t>
      </w:r>
    </w:p>
    <w:p>
      <w:pPr>
        <w:spacing w:before="0" w:after="80" w:line="240" w:lineRule="auto"/>
        <w:jc w:val="both"/>
      </w:pPr>
      <w:r>
        <w:rPr>
          <w:rFonts w:ascii="Times New Roman" w:hAnsi="Times New Roman"/>
          <w:b w:val="0"/>
          <w:sz w:val="20"/>
        </w:rPr>
        <w:t>To eliminate transient noise and track stealthy low-rate probes, BitGuard maintains 5 saturating 4-bit counters (Scan, Flood, Beacon, Unknown, Benign, range [0, 15], 20 bits/device) with temporal exponential decay. The accumulated risk score drives a monotonic Level 0–5 mitigation engine (Allow, Log, Monitor, Rate-Limit, Isolate, Quarantine).</w:t>
      </w:r>
    </w:p>
    <w:p>
      <w:pPr>
        <w:spacing w:before="60" w:after="40" w:line="240" w:lineRule="auto"/>
        <w:jc w:val="left"/>
      </w:pPr>
      <w:r>
        <w:rPr>
          <w:rFonts w:ascii="Times New Roman" w:hAnsi="Times New Roman"/>
          <w:b/>
          <w:sz w:val="20"/>
        </w:rPr>
        <w:t>2.4. Hardware Folding and Edge Deployment</w:t>
      </w:r>
    </w:p>
    <w:p>
      <w:pPr>
        <w:spacing w:before="0" w:after="80" w:line="240" w:lineRule="auto"/>
        <w:jc w:val="both"/>
      </w:pPr>
      <w:r>
        <w:rPr>
          <w:rFonts w:ascii="Times New Roman" w:hAnsi="Times New Roman"/>
          <w:b w:val="0"/>
          <w:sz w:val="20"/>
        </w:rPr>
        <w:t>Batch normalization parameters are folded into integer dot-product thresholds (θ) and polarity bits, enabling pure bit-shift and integer comparison inference on FPU-less microcontrollers.</w:t>
      </w:r>
    </w:p>
    <w:p>
      <w:pPr>
        <w:spacing w:before="80" w:after="40" w:line="240" w:lineRule="auto"/>
        <w:jc w:val="left"/>
      </w:pPr>
      <w:r>
        <w:rPr>
          <w:rFonts w:ascii="Times New Roman" w:hAnsi="Times New Roman"/>
          <w:b/>
          <w:sz w:val="18"/>
        </w:rPr>
        <w:t>Table 1. Performance, compute reduction, and memory footprint comparison.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41"/>
        <w:gridCol w:w="2041"/>
        <w:gridCol w:w="2041"/>
        <w:gridCol w:w="2041"/>
        <w:gridCol w:w="2041"/>
      </w:tblGrid>
      <w:tr>
        <w:tc>
          <w:tcPr>
            <w:tcW w:type="dxa" w:w="2041"/>
            <w:shd w:fill="F2F2F2"/>
            <w:tcBorders>
              <w:top w:val="double" w:sz="6" w:space="0" w:color="auto"/>
              <w:left w:val="none"/>
              <w:bottom w:val="single" w:sz="4" w:space="0" w:color="auto"/>
              <w:right w:val="none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Model Architecture</w:t>
            </w:r>
          </w:p>
        </w:tc>
        <w:tc>
          <w:tcPr>
            <w:tcW w:type="dxa" w:w="2041"/>
            <w:shd w:fill="F2F2F2"/>
            <w:tcBorders>
              <w:top w:val="double" w:sz="6" w:space="0" w:color="auto"/>
              <w:left w:val="none"/>
              <w:bottom w:val="single" w:sz="4" w:space="0" w:color="auto"/>
              <w:right w:val="none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Macro-F1</w:t>
            </w:r>
          </w:p>
        </w:tc>
        <w:tc>
          <w:tcPr>
            <w:tcW w:type="dxa" w:w="2041"/>
            <w:shd w:fill="F2F2F2"/>
            <w:tcBorders>
              <w:top w:val="double" w:sz="6" w:space="0" w:color="auto"/>
              <w:left w:val="none"/>
              <w:bottom w:val="single" w:sz="4" w:space="0" w:color="auto"/>
              <w:right w:val="none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High-Risk Recall</w:t>
            </w:r>
          </w:p>
        </w:tc>
        <w:tc>
          <w:tcPr>
            <w:tcW w:type="dxa" w:w="2041"/>
            <w:shd w:fill="F2F2F2"/>
            <w:tcBorders>
              <w:top w:val="double" w:sz="6" w:space="0" w:color="auto"/>
              <w:left w:val="none"/>
              <w:bottom w:val="single" w:sz="4" w:space="0" w:color="auto"/>
              <w:right w:val="none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Memory</w:t>
            </w:r>
          </w:p>
        </w:tc>
        <w:tc>
          <w:tcPr>
            <w:tcW w:type="dxa" w:w="2041"/>
            <w:shd w:fill="F2F2F2"/>
            <w:tcBorders>
              <w:top w:val="double" w:sz="6" w:space="0" w:color="auto"/>
              <w:left w:val="none"/>
              <w:bottom w:val="single" w:sz="4" w:space="0" w:color="auto"/>
              <w:right w:val="none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Compute Savings</w:t>
            </w:r>
          </w:p>
        </w:tc>
      </w:tr>
      <w:tr>
        <w:tc>
          <w:tcPr>
            <w:tcW w:type="dxa" w:w="2041"/>
            <w:tcBorders>
              <w:top w:val="none" w:sz="4" w:space="0" w:color="auto"/>
              <w:left w:val="none"/>
              <w:bottom w:val="none" w:sz="4" w:space="0" w:color="auto"/>
              <w:right w:val="none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FP32 MLP</w:t>
            </w:r>
          </w:p>
        </w:tc>
        <w:tc>
          <w:tcPr>
            <w:tcW w:type="dxa" w:w="2041"/>
            <w:tcBorders>
              <w:top w:val="none" w:sz="4" w:space="0" w:color="auto"/>
              <w:left w:val="none"/>
              <w:bottom w:val="none" w:sz="4" w:space="0" w:color="auto"/>
              <w:right w:val="none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99.72%</w:t>
            </w:r>
          </w:p>
        </w:tc>
        <w:tc>
          <w:tcPr>
            <w:tcW w:type="dxa" w:w="2041"/>
            <w:tcBorders>
              <w:top w:val="none" w:sz="4" w:space="0" w:color="auto"/>
              <w:left w:val="none"/>
              <w:bottom w:val="none" w:sz="4" w:space="0" w:color="auto"/>
              <w:right w:val="none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99.95%</w:t>
            </w:r>
          </w:p>
        </w:tc>
        <w:tc>
          <w:tcPr>
            <w:tcW w:type="dxa" w:w="2041"/>
            <w:tcBorders>
              <w:top w:val="none" w:sz="4" w:space="0" w:color="auto"/>
              <w:left w:val="none"/>
              <w:bottom w:val="none" w:sz="4" w:space="0" w:color="auto"/>
              <w:right w:val="none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68.4 KB</w:t>
            </w:r>
          </w:p>
        </w:tc>
        <w:tc>
          <w:tcPr>
            <w:tcW w:type="dxa" w:w="2041"/>
            <w:tcBorders>
              <w:top w:val="none" w:sz="4" w:space="0" w:color="auto"/>
              <w:left w:val="none"/>
              <w:bottom w:val="none" w:sz="4" w:space="0" w:color="auto"/>
              <w:right w:val="none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0% (Baseline)</w:t>
            </w:r>
          </w:p>
        </w:tc>
      </w:tr>
      <w:tr>
        <w:tc>
          <w:tcPr>
            <w:tcW w:type="dxa" w:w="2041"/>
            <w:tcBorders>
              <w:top w:val="none" w:sz="4" w:space="0" w:color="auto"/>
              <w:left w:val="none"/>
              <w:bottom w:val="none" w:sz="4" w:space="0" w:color="auto"/>
              <w:right w:val="none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Vanilla BNN</w:t>
            </w:r>
          </w:p>
        </w:tc>
        <w:tc>
          <w:tcPr>
            <w:tcW w:type="dxa" w:w="2041"/>
            <w:tcBorders>
              <w:top w:val="none" w:sz="4" w:space="0" w:color="auto"/>
              <w:left w:val="none"/>
              <w:bottom w:val="none" w:sz="4" w:space="0" w:color="auto"/>
              <w:right w:val="none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99.15%</w:t>
            </w:r>
          </w:p>
        </w:tc>
        <w:tc>
          <w:tcPr>
            <w:tcW w:type="dxa" w:w="2041"/>
            <w:tcBorders>
              <w:top w:val="none" w:sz="4" w:space="0" w:color="auto"/>
              <w:left w:val="none"/>
              <w:bottom w:val="none" w:sz="4" w:space="0" w:color="auto"/>
              <w:right w:val="none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99.68%</w:t>
            </w:r>
          </w:p>
        </w:tc>
        <w:tc>
          <w:tcPr>
            <w:tcW w:type="dxa" w:w="2041"/>
            <w:tcBorders>
              <w:top w:val="none" w:sz="4" w:space="0" w:color="auto"/>
              <w:left w:val="none"/>
              <w:bottom w:val="none" w:sz="4" w:space="0" w:color="auto"/>
              <w:right w:val="none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3.2 KB</w:t>
            </w:r>
          </w:p>
        </w:tc>
        <w:tc>
          <w:tcPr>
            <w:tcW w:type="dxa" w:w="2041"/>
            <w:tcBorders>
              <w:top w:val="none" w:sz="4" w:space="0" w:color="auto"/>
              <w:left w:val="none"/>
              <w:bottom w:val="none" w:sz="4" w:space="0" w:color="auto"/>
              <w:right w:val="none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78.5%</w:t>
            </w:r>
          </w:p>
        </w:tc>
      </w:tr>
      <w:tr>
        <w:tc>
          <w:tcPr>
            <w:tcW w:type="dxa" w:w="2041"/>
            <w:tcBorders>
              <w:top w:val="none" w:sz="4" w:space="0" w:color="auto"/>
              <w:left w:val="none"/>
              <w:bottom w:val="double" w:sz="6" w:space="0" w:color="auto"/>
              <w:right w:val="none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BitGuard (Ours)</w:t>
            </w:r>
          </w:p>
        </w:tc>
        <w:tc>
          <w:tcPr>
            <w:tcW w:type="dxa" w:w="2041"/>
            <w:tcBorders>
              <w:top w:val="none" w:sz="4" w:space="0" w:color="auto"/>
              <w:left w:val="none"/>
              <w:bottom w:val="double" w:sz="6" w:space="0" w:color="auto"/>
              <w:right w:val="none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99.64%</w:t>
            </w:r>
          </w:p>
        </w:tc>
        <w:tc>
          <w:tcPr>
            <w:tcW w:type="dxa" w:w="2041"/>
            <w:tcBorders>
              <w:top w:val="none" w:sz="4" w:space="0" w:color="auto"/>
              <w:left w:val="none"/>
              <w:bottom w:val="double" w:sz="6" w:space="0" w:color="auto"/>
              <w:right w:val="none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99.98%</w:t>
            </w:r>
          </w:p>
        </w:tc>
        <w:tc>
          <w:tcPr>
            <w:tcW w:type="dxa" w:w="2041"/>
            <w:tcBorders>
              <w:top w:val="none" w:sz="4" w:space="0" w:color="auto"/>
              <w:left w:val="none"/>
              <w:bottom w:val="double" w:sz="6" w:space="0" w:color="auto"/>
              <w:right w:val="none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2.8 KB</w:t>
            </w:r>
          </w:p>
        </w:tc>
        <w:tc>
          <w:tcPr>
            <w:tcW w:type="dxa" w:w="2041"/>
            <w:tcBorders>
              <w:top w:val="none" w:sz="4" w:space="0" w:color="auto"/>
              <w:left w:val="none"/>
              <w:bottom w:val="double" w:sz="6" w:space="0" w:color="auto"/>
              <w:right w:val="none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96.4%</w:t>
            </w:r>
          </w:p>
        </w:tc>
      </w:tr>
    </w:tbl>
    <w:p>
      <w:pPr>
        <w:spacing w:before="80" w:after="40" w:line="240" w:lineRule="auto"/>
        <w:jc w:val="left"/>
      </w:pPr>
      <w:r>
        <w:rPr>
          <w:rFonts w:ascii="Times New Roman" w:hAnsi="Times New Roman"/>
          <w:b/>
          <w:sz w:val="20"/>
        </w:rPr>
        <w:t>2.5. Experimental Evaluation and Analysis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sz w:val="20"/>
        </w:rPr>
        <w:t>Evaluated under strict zero-leakage partitions on N-BaIoT and BoT-IoT, BitGuard-BNN achieves 99.64% Macro-F1 and 99.98% high-risk attack recall with only 2.8 KB packed weights (95.9% reduction vs. FP32). Hierarchical cascade exits 88.3% of benign traffic early, reducing total compute by 96.4%. The 4-bit state machine cuts false alarms by 92.4% while mitigating low-rate stealth scans within 1.8 seconds.</w:t>
      </w:r>
    </w:p>
    <w:p>
      <w:pPr>
        <w:spacing w:before="120" w:after="60" w:line="240" w:lineRule="auto"/>
        <w:jc w:val="left"/>
      </w:pPr>
      <w:r>
        <w:rPr>
          <w:rFonts w:ascii="Times New Roman" w:hAnsi="Times New Roman"/>
          <w:b/>
          <w:sz w:val="22"/>
        </w:rPr>
        <w:t>3. CONCLUSION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sz w:val="20"/>
        </w:rPr>
        <w:t>BitGuard-BNN provides an ultra-low-cost, stateful binarized neural security processor designed for resource-constrained IoT edge devices. By unifying streaming metadata extraction, cost-aware BNN gating, early-exit cascades, and temporal state tracking, BitGuard resolves the computational bottleneck and false alarm dilemma of edge IDS, presenting a deployable architecture for next-generation on-device IoT security.</w:t>
      </w:r>
    </w:p>
    <w:p>
      <w:pPr>
        <w:spacing w:before="120" w:after="60" w:line="240" w:lineRule="auto"/>
        <w:jc w:val="left"/>
      </w:pPr>
      <w:r>
        <w:rPr>
          <w:rFonts w:ascii="Times New Roman" w:hAnsi="Times New Roman"/>
          <w:b/>
          <w:sz w:val="22"/>
        </w:rPr>
        <w:t>References</w:t>
      </w:r>
    </w:p>
    <w:p>
      <w:pPr>
        <w:spacing w:before="0" w:after="20" w:line="240" w:lineRule="auto"/>
        <w:jc w:val="both"/>
      </w:pPr>
      <w:r>
        <w:rPr>
          <w:rFonts w:ascii="Times New Roman" w:hAnsi="Times New Roman"/>
          <w:b w:val="0"/>
          <w:sz w:val="18"/>
        </w:rPr>
        <w:t>[1] Antonakakis, M. et al. Understanding the Mirai Botnet. Proc. USENIX Security Symp. 2017, pp. 1093–1110. (2017)</w:t>
      </w:r>
    </w:p>
    <w:p>
      <w:pPr>
        <w:spacing w:before="0" w:after="20" w:line="240" w:lineRule="auto"/>
        <w:jc w:val="both"/>
      </w:pPr>
      <w:r>
        <w:rPr>
          <w:rFonts w:ascii="Times New Roman" w:hAnsi="Times New Roman"/>
          <w:b w:val="0"/>
          <w:sz w:val="18"/>
        </w:rPr>
        <w:t>[2] Meidan, Y. et al. N-BaIoT—Network-Based Detection of IoT Botnet Attacks Using Deep Autoencoders. IEEE Pervasive Comput. 17(3), pp. 12–22. (2018)</w:t>
      </w:r>
    </w:p>
    <w:p>
      <w:pPr>
        <w:spacing w:before="0" w:after="20" w:line="240" w:lineRule="auto"/>
        <w:jc w:val="both"/>
      </w:pPr>
      <w:r>
        <w:rPr>
          <w:rFonts w:ascii="Times New Roman" w:hAnsi="Times New Roman"/>
          <w:b w:val="0"/>
          <w:sz w:val="18"/>
        </w:rPr>
        <w:t>[3] Koroniotis, N. et al. Towards the Development of Realistic Botnet Dataset in the Internet of Things for Network Forensic Analytics: Bot-IoT Dataset. Future Gener. Comput. Syst. 100, pp. 779–796. (2019)</w:t>
      </w:r>
    </w:p>
    <w:p>
      <w:pPr>
        <w:spacing w:before="0" w:after="20" w:line="240" w:lineRule="auto"/>
        <w:jc w:val="both"/>
      </w:pPr>
      <w:r>
        <w:rPr>
          <w:rFonts w:ascii="Times New Roman" w:hAnsi="Times New Roman"/>
          <w:b w:val="0"/>
          <w:sz w:val="18"/>
        </w:rPr>
        <w:t>[4] Courbariaux, M. et al. Binarized Neural Networks: Training Deep Neural Networks with Weights and Activations Constrained to +1 or -1. arXiv:1602.02830. (2016)</w:t>
      </w:r>
    </w:p>
    <w:p>
      <w:pPr>
        <w:spacing w:before="0" w:after="20" w:line="240" w:lineRule="auto"/>
        <w:jc w:val="both"/>
      </w:pPr>
      <w:r>
        <w:rPr>
          <w:rFonts w:ascii="Times New Roman" w:hAnsi="Times New Roman"/>
          <w:b w:val="0"/>
          <w:sz w:val="18"/>
        </w:rPr>
        <w:t>[5] Rastegari, M. et al. XNOR-Net: ImageNet Classification Using Binary Convolutional Neural Networks. Proc. ECCV 2016, LNCS 9908, pp. 525–542. (2016)</w:t>
      </w:r>
    </w:p>
    <w:sectPr w:rsidR="00FC693F" w:rsidRPr="0006063C" w:rsidSect="00034616">
      <w:headerReference w:type="default" r:id="rId9"/>
      <w:pgSz w:w="11906" w:h="16838"/>
      <w:pgMar w:top="1701" w:right="850" w:bottom="1417" w:left="850" w:header="1134" w:footer="567" w:gutter="0"/>
      <w:cols w:space="40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/>
        <w:b/>
        <w:sz w:val="24"/>
      </w:rPr>
      <w:t>33rd Humantech Paper Awards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