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left"/>
      </w:pPr>
      <w:r>
        <w:rPr>
          <w:rFonts w:ascii="Times New Roman" w:hAnsi="Times New Roman" w:eastAsia="바탕체" w:cs="Times New Roman"/>
          <w:b/>
          <w:i w:val="0"/>
          <w:sz w:val="40"/>
        </w:rPr>
        <w:t>화재 구조 환경에서 인명 생존 시간 연장을 위한</w:t>
        <w:br/>
        <w:t>드론 기반 물리적 화염 제어 기술 연구</w:t>
      </w:r>
    </w:p>
    <w:p>
      <w:pPr>
        <w:spacing w:before="40" w:after="80" w:line="240" w:lineRule="auto"/>
        <w:jc w:val="left"/>
        <w:sectPr>
          <w:type w:val="continuous"/>
        </w:sectPr>
      </w:pPr>
      <w:r>
        <w:rPr>
          <w:rFonts w:ascii="Times New Roman" w:hAnsi="Times New Roman" w:eastAsia="바탕체" w:cs="Times New Roman"/>
          <w:b/>
          <w:i w:val="0"/>
          <w:sz w:val="20"/>
        </w:rPr>
        <w:t>(Abstract) 본 연구는 화재 현장에서 고립된 인명의 생존 시간 연장을 위해 드론 탑재형 물리적 소화 방식을 비교 검증한다. 저주파 음향과 펄스 공기 와류 링을 중심으로, 수분무·에어로졸·전도성 와류를 포함한 5가지 소화 전달 메커니즘의 수리 물리 모델을 구성하고, Newton-Euler 6자유도 드론 동역학과 결합하여 FDS 6.11.1 및 OpenFOAM v2412 기반 수치해석을 수행하였다. 적응형 제어 보정 하에서 펄스 반력 0.61 N 환경에서도 위치 오차를 0.007 m 이내로 억제하였으며, 센서 지연 250 ms 초과 시 제어 발산 임계를 규명하였다. 와류 링–에어로졸 복합 운용은 시너지 계수 1.42로 최고 상호보완성을 나타내었다.</w:t>
      </w:r>
    </w:p>
    <w:p>
      <w:pPr>
        <w:sectPr>
          <w:headerReference w:type="default" r:id="rId9"/>
          <w:pgSz w:w="11906" w:h="16838"/>
          <w:pgMar w:top="1701" w:right="850" w:bottom="1417" w:left="850" w:header="1134" w:footer="567" w:gutter="0"/>
          <w:cols w:space="720"/>
          <w:docGrid w:linePitch="360"/>
        </w:sectPr>
      </w:pPr>
    </w:p>
    <w:p>
      <w:pPr>
        <w:spacing w:before="80" w:after="40" w:line="240" w:lineRule="auto"/>
        <w:jc w:val="left"/>
      </w:pPr>
      <w:r>
        <w:rPr>
          <w:rFonts w:ascii="Times New Roman" w:hAnsi="Times New Roman" w:eastAsia="바탕체" w:cs="Times New Roman"/>
          <w:b/>
          <w:i w:val="0"/>
          <w:sz w:val="22"/>
        </w:rPr>
        <w:t>1. 서론</w:t>
      </w:r>
    </w:p>
    <w:p>
      <w:pPr>
        <w:spacing w:before="0" w:after="0" w:line="240" w:lineRule="auto"/>
        <w:jc w:val="both"/>
      </w:pPr>
      <w:r>
        <w:rPr>
          <w:rFonts w:ascii="Times New Roman" w:hAnsi="Times New Roman" w:eastAsia="바탕체" w:cs="Times New Roman"/>
          <w:b w:val="0"/>
          <w:i w:val="0"/>
          <w:sz w:val="20"/>
        </w:rPr>
        <w:t>화재 현장에서 고립된 구조 대상자를 보호하려면 화염 진압뿐 아니라 구조대 도달 이전까지 열·연기 노출을 저감하는 접근이 필요하다. 드론은 위험구역에 원격 접근이 가능한 플랫폼이나, 제한된 탑재중량과 전력, 프로펠러 후류 때문에 지상 소화장치의 성능을 그대로 적용하기 어렵다[1,2].</w:t>
      </w:r>
    </w:p>
    <w:p>
      <w:pPr>
        <w:spacing w:before="0" w:after="0" w:line="240" w:lineRule="auto"/>
        <w:jc w:val="both"/>
      </w:pPr>
      <w:r>
        <w:rPr>
          <w:rFonts w:ascii="Times New Roman" w:hAnsi="Times New Roman" w:eastAsia="바탕체" w:cs="Times New Roman"/>
          <w:b w:val="0"/>
          <w:i w:val="0"/>
          <w:sz w:val="20"/>
        </w:rPr>
        <w:t>선행연구에서는 저주파 음향 및 와류 링에 의한 소규모 화염 소화가 보고되었으나, 효과는 음향장과 유동 조건에 의존한다. 또한 음향에 동반되는 유동이 소화에 기여할 수 있으므로[3], 두 방식을 결합했을 때의 이점과 드론 후류의 영향은 별도의 비교 검증이 필요하다. 본 연구는 음향·와류 링을 포함한 5가지 물리적 소화 방식의 수치 모델을 구성하고, 드론 탑재 환경에서의 소화 성능과 비행 안정성을 정량 비교한다.</w:t>
      </w:r>
    </w:p>
    <w:p>
      <w:pPr>
        <w:spacing w:before="80" w:after="40" w:line="240" w:lineRule="auto"/>
        <w:jc w:val="left"/>
      </w:pPr>
      <w:r>
        <w:rPr>
          <w:rFonts w:ascii="Times New Roman" w:hAnsi="Times New Roman" w:eastAsia="바탕체" w:cs="Times New Roman"/>
          <w:b/>
          <w:i w:val="0"/>
          <w:sz w:val="22"/>
        </w:rPr>
        <w:t>2. 이론 및 수치 모델</w:t>
      </w:r>
    </w:p>
    <w:p>
      <w:pPr>
        <w:spacing w:before="80" w:after="40" w:line="240" w:lineRule="auto"/>
        <w:jc w:val="left"/>
      </w:pPr>
      <w:r>
        <w:rPr>
          <w:rFonts w:ascii="Times New Roman" w:hAnsi="Times New Roman" w:eastAsia="바탕체" w:cs="Times New Roman"/>
          <w:b/>
          <w:i w:val="0"/>
          <w:sz w:val="22"/>
        </w:rPr>
        <w:t>2.1. 소화 전달 메커니즘</w:t>
      </w:r>
    </w:p>
    <w:p>
      <w:pPr>
        <w:spacing w:before="0" w:after="0" w:line="240" w:lineRule="auto"/>
        <w:jc w:val="both"/>
      </w:pPr>
      <w:r>
        <w:rPr>
          <w:rFonts w:ascii="Times New Roman" w:hAnsi="Times New Roman" w:eastAsia="바탕체" w:cs="Times New Roman"/>
          <w:b w:val="0"/>
          <w:i w:val="0"/>
          <w:sz w:val="20"/>
        </w:rPr>
        <w:t>음향 소화(M1)는 개구 면적 A, 주파수 f의 피스톤 음원이 화염 근방에 유도 기류를 형성하는 원리에 기반한다. 에너지 보존에 따라 유효 음향 출력은 P_acoustic = min(ρ₀cu²A, P_device)로 장치 전력 이하로 제한하고, 표적 위치 r에서의 입자 속도는 Rayleigh 구면파 전이 모델 u_rms(r) = u₀√{A/(A+2πr²)}로 산출한다. 반력은 F_rad = P_acoustic/2c이다.</w:t>
      </w:r>
    </w:p>
    <w:p>
      <w:pPr>
        <w:spacing w:before="0" w:after="0" w:line="240" w:lineRule="auto"/>
        <w:jc w:val="both"/>
      </w:pPr>
      <w:r>
        <w:rPr>
          <w:rFonts w:ascii="Times New Roman" w:hAnsi="Times New Roman" w:eastAsia="바탕체" w:cs="Times New Roman"/>
          <w:b w:val="0"/>
          <w:i w:val="0"/>
          <w:sz w:val="20"/>
        </w:rPr>
        <w:t>와류 링(M2)은 슬러그 순환 Γ = η·UL/2 (η = 0.35)에서 Saffman 점성 코어 모델의 병진 속도 U_ring = Γ/(4πR)[ln(8R/a)−0.558]을 적분하여 궤적을 산출한다[4]. 링 운동에너지가 슬러그 에너지를 초과하지 않도록 순환 상한을 적용한다. 피크 반력은 F = ρAU²이다.</w:t>
      </w:r>
    </w:p>
    <w:p>
      <w:pPr>
        <w:spacing w:before="0" w:after="0" w:line="240" w:lineRule="auto"/>
        <w:jc w:val="both"/>
      </w:pPr>
      <w:r>
        <w:rPr>
          <w:rFonts w:ascii="Times New Roman" w:hAnsi="Times New Roman" w:eastAsia="바탕체" w:cs="Times New Roman"/>
          <w:b w:val="0"/>
          <w:i w:val="0"/>
          <w:sz w:val="20"/>
        </w:rPr>
        <w:t>수분무(M3)·에어로졸(M4) 입자는 Schiller-Naumann 항력[5]의 Lagrangian 추적으로 수송하며, 시간 전진은 Stokes 해석적 지수 완화 적분기 v(t+Δt) = v_∞ + [v−v_∞]exp(−Δt/τ_p)를 사용한다. 수분무 증발은 Maxwell d² 법칙[6]으로 모사하고, 잠열 수요를 에너지 장부에 포함한다. 입자 질량 보존 잔차는 10⁻¹⁶ kg 이하이다.</w:t>
      </w:r>
    </w:p>
    <w:p>
      <w:pPr>
        <w:spacing w:before="0" w:after="0" w:line="240" w:lineRule="auto"/>
        <w:jc w:val="both"/>
      </w:pPr>
      <w:r>
        <w:rPr>
          <w:rFonts w:ascii="Times New Roman" w:hAnsi="Times New Roman" w:eastAsia="바탕체" w:cs="Times New Roman"/>
          <w:b w:val="0"/>
          <w:i w:val="0"/>
          <w:sz w:val="20"/>
        </w:rPr>
        <w:t>전도성 와류(M5)는 1D Poisson 정전기식 ∇²φ = −q/ε과 Coulomb 체적력 f_e = qE를 와류 링 수송에 결합하여 전기장 가속 효과를 반영한다.</w:t>
      </w:r>
    </w:p>
    <w:p>
      <w:pPr>
        <w:spacing w:before="80" w:after="40" w:line="240" w:lineRule="auto"/>
        <w:jc w:val="left"/>
      </w:pPr>
      <w:r>
        <w:rPr>
          <w:rFonts w:ascii="Times New Roman" w:hAnsi="Times New Roman" w:eastAsia="바탕체" w:cs="Times New Roman"/>
          <w:b/>
          <w:i w:val="0"/>
          <w:sz w:val="22"/>
        </w:rPr>
        <w:t>2.2. 드론 6자유도 동역학</w:t>
      </w:r>
    </w:p>
    <w:p>
      <w:pPr>
        <w:spacing w:before="0" w:after="0" w:line="240" w:lineRule="auto"/>
        <w:jc w:val="both"/>
      </w:pPr>
      <w:r>
        <w:rPr>
          <w:rFonts w:ascii="Times New Roman" w:hAnsi="Times New Roman" w:eastAsia="바탕체" w:cs="Times New Roman"/>
          <w:b w:val="0"/>
          <w:i w:val="0"/>
          <w:sz w:val="20"/>
        </w:rPr>
        <w:t>기체 병진 운동은 m(t)p̈ = TR(q)e₃ + F_reaction + F_drag − mge₃로 기술하고, 항력은 F_drag = −½ρC_DA_D‖v_rel‖v_rel (C_DA_D = 0.05 m²)이다. 로터 추진 동력은 Actuator Disk 이론 P = T^(3/2)/√(2ρA), 호버링 효율 η = 0.60을 적용한다. 자세 동역학은 Euler 강체 방정식과 쿼터니언 적분으로 구성하며, 반력 외란 토크 τ = r_arm × F (지레팔 0.1 m)에 대해 비례-미분 제어기(토크 상한 2.5 Nm)로 응답한다[7].</w:t>
      </w:r>
    </w:p>
    <w:p>
      <w:pPr>
        <w:spacing w:before="80" w:after="40" w:line="240" w:lineRule="auto"/>
        <w:jc w:val="left"/>
      </w:pPr>
      <w:r>
        <w:rPr>
          <w:rFonts w:ascii="Times New Roman" w:hAnsi="Times New Roman" w:eastAsia="바탕체" w:cs="Times New Roman"/>
          <w:b/>
          <w:i w:val="0"/>
          <w:sz w:val="22"/>
        </w:rPr>
        <w:t>2.3. 수치해석 환경 및 검증</w:t>
      </w:r>
    </w:p>
    <w:p>
      <w:pPr>
        <w:spacing w:before="0" w:after="0" w:line="240" w:lineRule="auto"/>
        <w:jc w:val="both"/>
      </w:pPr>
      <w:r>
        <w:rPr>
          <w:rFonts w:ascii="Times New Roman" w:hAnsi="Times New Roman" w:eastAsia="바탕체" w:cs="Times New Roman"/>
          <w:b w:val="0"/>
          <w:i w:val="0"/>
          <w:sz w:val="20"/>
        </w:rPr>
        <w:t>화재 유동장은 FDS 6.11.1 (5 cm 격자, 프로판 버너 16.5 kW)로 해석하였다[8]. 와류 격자 수렴성은 OpenFOAM v2412의 Taylor-Green 와류에 대해 20×20~80×80 격자를 비교하여 80×80에서 L₂ 오차 0.046%를 달성하였다. 음향 FDTD는 64셀(CFL = 0.50)에서 L₂ 오차 0.189%, EHD Poisson은 128셀에서 수렴 차수 1.995의 2차 정확도를 확인하였다.</w:t>
      </w:r>
    </w:p>
    <w:p>
      <w:pPr>
        <w:spacing w:before="80" w:after="40" w:line="240" w:lineRule="auto"/>
        <w:jc w:val="left"/>
      </w:pPr>
      <w:r>
        <w:rPr>
          <w:rFonts w:ascii="Times New Roman" w:hAnsi="Times New Roman" w:eastAsia="바탕체" w:cs="Times New Roman"/>
          <w:b/>
          <w:i w:val="0"/>
          <w:sz w:val="22"/>
        </w:rPr>
        <w:t>3. 결과 및 고찰</w:t>
      </w:r>
    </w:p>
    <w:p>
      <w:pPr>
        <w:spacing w:before="80" w:after="40" w:line="240" w:lineRule="auto"/>
        <w:jc w:val="left"/>
      </w:pPr>
      <w:r>
        <w:rPr>
          <w:rFonts w:ascii="Times New Roman" w:hAnsi="Times New Roman" w:eastAsia="바탕체" w:cs="Times New Roman"/>
          <w:b/>
          <w:i w:val="0"/>
          <w:sz w:val="22"/>
        </w:rPr>
        <w:t>3.1. 소화 전달 특성</w:t>
      </w:r>
    </w:p>
    <w:p>
      <w:pPr>
        <w:spacing w:before="0" w:after="0" w:line="240" w:lineRule="auto"/>
        <w:jc w:val="both"/>
      </w:pPr>
      <w:r>
        <w:rPr>
          <w:rFonts w:ascii="Times New Roman" w:hAnsi="Times New Roman" w:eastAsia="바탕체" w:cs="Times New Roman"/>
          <w:b w:val="0"/>
          <w:i w:val="0"/>
          <w:sz w:val="20"/>
        </w:rPr>
        <w:t>음향(M1)은 반력 0.0017 N으로 최저이나 유도 속도 감쇠가 빠르다. 와류 링(M2)은 표적 도달 속도 2.01 m/s로 침투력이 최고이나 피크 반력 0.605 N이 자세 외란을 유발한다. 수분무(M3)는 4초간 방출량 0.020 kg 중 42%가 증발하여 잠열 흡수 20,571 J의 냉각 효과를 제공한다. 에어로졸(M4)은 0.004 kg 방출로 최소 탑재 부담을 달성한다.</w:t>
      </w:r>
    </w:p>
    <w:p>
      <w:pPr>
        <w:spacing w:before="80" w:after="40" w:line="240" w:lineRule="auto"/>
        <w:jc w:val="left"/>
      </w:pPr>
      <w:r>
        <w:rPr>
          <w:rFonts w:ascii="Times New Roman" w:hAnsi="Times New Roman" w:eastAsia="바탕체" w:cs="Times New Roman"/>
          <w:b/>
          <w:i w:val="0"/>
          <w:sz w:val="22"/>
        </w:rPr>
        <w:t>3.2. 비행 제어 안정성</w:t>
      </w:r>
    </w:p>
    <w:p>
      <w:pPr>
        <w:spacing w:before="0" w:after="0" w:line="240" w:lineRule="auto"/>
        <w:jc w:val="both"/>
      </w:pPr>
      <w:r>
        <w:rPr>
          <w:rFonts w:ascii="Times New Roman" w:hAnsi="Times New Roman" w:eastAsia="바탕체" w:cs="Times New Roman"/>
          <w:b w:val="0"/>
          <w:i w:val="0"/>
          <w:sz w:val="20"/>
        </w:rPr>
        <w:t>34초 전주기 시뮬레이션(접근 15초→방출 4초→복귀 15초, 이격거리 1.0 m, 횡풍 0.2 m/s) 결과, 적응형 제어 보정(D4) 시 모든 방식에서 위치 오차를 0.007 m 이하로 억제하였다. M2·M5의 펄스 반력 0.61 N 발생 시 자세각이 0.55° 변동하였으나 0.5초 이내 복원되었다. 무보정(D3) 시 M3의 오차는 0.957 m까지 증가하여 연속 반력에 대한 보상이 필수적임을 확인하였다.</w:t>
      </w:r>
    </w:p>
    <w:p>
      <w:pPr>
        <w:spacing w:before="0" w:after="0" w:line="240" w:lineRule="auto"/>
        <w:jc w:val="both"/>
      </w:pPr>
      <w:r>
        <w:rPr>
          <w:rFonts w:ascii="Times New Roman" w:hAnsi="Times New Roman" w:eastAsia="바탕체" w:cs="Times New Roman"/>
          <w:b w:val="0"/>
          <w:i w:val="0"/>
          <w:sz w:val="20"/>
        </w:rPr>
        <w:t>센서 지연 민감도 분석에서 τ ≤ 0.20 s 구간은 횡풍 5.0 m/s 하에서도 오차 0.37 m 이내를 유지하였으나, τ ≥ 0.25 s에서 위상 지연에 의한 발산이 발생하여 τ = 0.50 s에서 13.14 m 이상으로 증가하였다. 따라서 온보드 센서의 피드백 루프가 200 ms 이하를 만족해야 안정 호버링이 가능하다.</w:t>
      </w:r>
    </w:p>
    <w:p>
      <w:pPr>
        <w:spacing w:before="80" w:after="40" w:line="240" w:lineRule="auto"/>
        <w:jc w:val="left"/>
      </w:pPr>
      <w:r>
        <w:rPr>
          <w:rFonts w:ascii="Times New Roman" w:hAnsi="Times New Roman" w:eastAsia="바탕체" w:cs="Times New Roman"/>
          <w:b/>
          <w:i w:val="0"/>
          <w:sz w:val="22"/>
        </w:rPr>
        <w:t>3.3. 화재 진압 및 노출 저감</w:t>
      </w:r>
    </w:p>
    <w:p>
      <w:pPr>
        <w:spacing w:before="0" w:after="0" w:line="240" w:lineRule="auto"/>
        <w:jc w:val="both"/>
      </w:pPr>
      <w:r>
        <w:rPr>
          <w:rFonts w:ascii="Times New Roman" w:hAnsi="Times New Roman" w:eastAsia="바탕체" w:cs="Times New Roman"/>
          <w:b w:val="0"/>
          <w:i w:val="0"/>
          <w:sz w:val="20"/>
        </w:rPr>
        <w:t>FDS 해석에서 기저 화재 C0는 16초간 HRR 16.5 kW를 유지하였다. M3 분사 시 액적 기화 열흡수율 −3.06 kW, 수증기 발생률 1.20×10⁻³ kg/s로 복사열유속을 1.5에서 0.05 kW/m² 미만으로 저감하였다. 기체 온도 상승은 q'' = 5,000 W/m²에서 0.40 K에 불과하여 이격거리 1.0 m 이상에서 열적 안전성이 확보된다.</w:t>
      </w:r>
    </w:p>
    <w:p>
      <w:pPr>
        <w:spacing w:before="80" w:after="40" w:line="240" w:lineRule="auto"/>
        <w:jc w:val="left"/>
      </w:pPr>
      <w:r>
        <w:rPr>
          <w:rFonts w:ascii="Times New Roman" w:hAnsi="Times New Roman" w:eastAsia="바탕체" w:cs="Times New Roman"/>
          <w:b/>
          <w:i w:val="0"/>
          <w:sz w:val="22"/>
        </w:rPr>
        <w:t>3.4. 복합 운용 시너지</w:t>
      </w:r>
    </w:p>
    <w:p>
      <w:pPr>
        <w:spacing w:before="0" w:after="0" w:line="240" w:lineRule="auto"/>
        <w:jc w:val="both"/>
      </w:pPr>
      <w:r>
        <w:rPr>
          <w:rFonts w:ascii="Times New Roman" w:hAnsi="Times New Roman" w:eastAsia="바탕체" w:cs="Times New Roman"/>
          <w:b w:val="0"/>
          <w:i w:val="0"/>
          <w:sz w:val="20"/>
        </w:rPr>
        <w:t>단독·복합 시너지 매트릭스에서 M2–M4 조합이 시너지 계수 S = 1.42로 최고치를 기록하였다. 와류 링이 유도 기류를 형성하여 에어로졸 미립자를 화염 심부까지 수송하는 캐리어 역할을 수행하기 때문이다. 최적 운용 영역은 풍속 1.0~2.0 m/s, 이격거리 1.5~2.2 m로 규명되었다.</w:t>
      </w:r>
    </w:p>
    <w:p>
      <w:pPr>
        <w:spacing w:before="80" w:after="40" w:line="240" w:lineRule="auto"/>
        <w:jc w:val="left"/>
      </w:pPr>
      <w:r>
        <w:rPr>
          <w:rFonts w:ascii="Times New Roman" w:hAnsi="Times New Roman" w:eastAsia="바탕체" w:cs="Times New Roman"/>
          <w:b/>
          <w:i w:val="0"/>
          <w:sz w:val="22"/>
        </w:rPr>
        <w:t>4. 결론</w:t>
      </w:r>
    </w:p>
    <w:p>
      <w:pPr>
        <w:spacing w:before="0" w:after="0" w:line="240" w:lineRule="auto"/>
        <w:jc w:val="both"/>
      </w:pPr>
      <w:r>
        <w:rPr>
          <w:rFonts w:ascii="Times New Roman" w:hAnsi="Times New Roman" w:eastAsia="바탕체" w:cs="Times New Roman"/>
          <w:b w:val="0"/>
          <w:i w:val="0"/>
          <w:sz w:val="20"/>
        </w:rPr>
        <w:t>본 연구는 드론 탑재형 5가지 물리적 소화 방식의 수리 모델을 구성하고, 6자유도 비행 동역학과 결합한 수치해석으로 소화 전달·비행 안정성·복합 시너지를 정량 비교하였다. 적응형 제어 하에서 반력 0.61 N 환경에서도 위치 오차 0.007 m 이내를 유지하였으며, 센서 지연 250 ms 초과 시의 제어 발산 임계를 규명하였다. M2–M4 복합 운용의 시너지 계수 1.42는 드론 기반 다중 소화 전략의 가능성을 제시한다. 후속 연구에서는 반응성 FDS 해석의 격자 정밀도 확장과 실제 비행 환경에서의 실험 검증을 수행할 예정이다.</w:t>
      </w:r>
    </w:p>
    <w:p>
      <w:pPr>
        <w:spacing w:before="80" w:after="40" w:line="240" w:lineRule="auto"/>
        <w:jc w:val="left"/>
      </w:pPr>
      <w:r>
        <w:rPr>
          <w:rFonts w:ascii="Times New Roman" w:hAnsi="Times New Roman" w:eastAsia="바탕체" w:cs="Times New Roman"/>
          <w:b/>
          <w:i w:val="0"/>
          <w:sz w:val="22"/>
        </w:rPr>
        <w:t>참고문헌</w:t>
      </w:r>
    </w:p>
    <w:p>
      <w:pPr>
        <w:spacing w:before="0" w:after="0" w:line="240" w:lineRule="auto"/>
        <w:jc w:val="both"/>
      </w:pPr>
      <w:r>
        <w:rPr>
          <w:rFonts w:ascii="Times New Roman" w:hAnsi="Times New Roman" w:eastAsia="바탕체" w:cs="Times New Roman"/>
          <w:b w:val="0"/>
          <w:i w:val="0"/>
          <w:sz w:val="18"/>
        </w:rPr>
        <w:t>[1] Loboichenko, V. et al. Application of low-frequency acoustic waves to extinguish flames. Applied Sciences 14, 8872 (2024).</w:t>
      </w:r>
    </w:p>
    <w:p>
      <w:pPr>
        <w:spacing w:before="0" w:after="0" w:line="240" w:lineRule="auto"/>
        <w:jc w:val="both"/>
      </w:pPr>
      <w:r>
        <w:rPr>
          <w:rFonts w:ascii="Times New Roman" w:hAnsi="Times New Roman" w:eastAsia="바탕체" w:cs="Times New Roman"/>
          <w:b w:val="0"/>
          <w:i w:val="0"/>
          <w:sz w:val="18"/>
        </w:rPr>
        <w:t>[2] Xiong, C. et al. Blow-off of diffusion flame by moving air vortex ring. Experimental Thermal and Fluid Science 151, 111059 (2024).</w:t>
      </w:r>
    </w:p>
    <w:p>
      <w:pPr>
        <w:spacing w:before="0" w:after="0" w:line="240" w:lineRule="auto"/>
        <w:jc w:val="both"/>
      </w:pPr>
      <w:r>
        <w:rPr>
          <w:rFonts w:ascii="Times New Roman" w:hAnsi="Times New Roman" w:eastAsia="바탕체" w:cs="Times New Roman"/>
          <w:b w:val="0"/>
          <w:i w:val="0"/>
          <w:sz w:val="18"/>
        </w:rPr>
        <w:t>[3] Cliftmann, J. M. et al. Remotely extinguishing flames through transient acoustic streaming. Scientific Reports 14, 30049 (2024).</w:t>
      </w:r>
    </w:p>
    <w:p>
      <w:pPr>
        <w:spacing w:before="0" w:after="0" w:line="240" w:lineRule="auto"/>
        <w:jc w:val="both"/>
      </w:pPr>
      <w:r>
        <w:rPr>
          <w:rFonts w:ascii="Times New Roman" w:hAnsi="Times New Roman" w:eastAsia="바탕체" w:cs="Times New Roman"/>
          <w:b w:val="0"/>
          <w:i w:val="0"/>
          <w:sz w:val="18"/>
        </w:rPr>
        <w:t>[4] Saffman, P. G. The velocity of viscous vortex rings. Studies in Applied Mathematics 49, 371–380 (1970).</w:t>
      </w:r>
    </w:p>
    <w:p>
      <w:pPr>
        <w:spacing w:before="0" w:after="0" w:line="240" w:lineRule="auto"/>
        <w:jc w:val="both"/>
      </w:pPr>
      <w:r>
        <w:rPr>
          <w:rFonts w:ascii="Times New Roman" w:hAnsi="Times New Roman" w:eastAsia="바탕체" w:cs="Times New Roman"/>
          <w:b w:val="0"/>
          <w:i w:val="0"/>
          <w:sz w:val="18"/>
        </w:rPr>
        <w:t>[5] Schiller, L. et al. A drag coefficient correlation. Zeitschrift des VDI 77, 318–320 (1933).</w:t>
      </w:r>
    </w:p>
    <w:p>
      <w:pPr>
        <w:spacing w:before="0" w:after="0" w:line="240" w:lineRule="auto"/>
        <w:jc w:val="both"/>
      </w:pPr>
      <w:r>
        <w:rPr>
          <w:rFonts w:ascii="Times New Roman" w:hAnsi="Times New Roman" w:eastAsia="바탕체" w:cs="Times New Roman"/>
          <w:b w:val="0"/>
          <w:i w:val="0"/>
          <w:sz w:val="18"/>
        </w:rPr>
        <w:t>[6] Spalding, D. B. The combustion of liquid fuels. 4th Symposium on Combustion, 847–864 (1953).</w:t>
      </w:r>
    </w:p>
    <w:p>
      <w:pPr>
        <w:spacing w:before="0" w:after="0" w:line="240" w:lineRule="auto"/>
        <w:jc w:val="both"/>
      </w:pPr>
      <w:r>
        <w:rPr>
          <w:rFonts w:ascii="Times New Roman" w:hAnsi="Times New Roman" w:eastAsia="바탕체" w:cs="Times New Roman"/>
          <w:b w:val="0"/>
          <w:i w:val="0"/>
          <w:sz w:val="18"/>
        </w:rPr>
        <w:t>[7] Mellinger, D. et al. Minimum snap trajectory generation and control for quadrotors. ICRA, 2520–2525 (2011).</w:t>
      </w:r>
    </w:p>
    <w:p>
      <w:pPr>
        <w:spacing w:before="0" w:after="0" w:line="240" w:lineRule="auto"/>
        <w:jc w:val="both"/>
      </w:pPr>
      <w:r>
        <w:rPr>
          <w:rFonts w:ascii="Times New Roman" w:hAnsi="Times New Roman" w:eastAsia="바탕체" w:cs="Times New Roman"/>
          <w:b w:val="0"/>
          <w:i w:val="0"/>
          <w:sz w:val="18"/>
        </w:rPr>
        <w:t>[8] McGrattan, K. et al. Fire Dynamics Simulator User's Guide. NIST Special Publication 1019, 6th ed. (2024).</w:t>
      </w:r>
    </w:p>
    <w:sectPr w:rsidR="00FC693F" w:rsidRPr="0006063C" w:rsidSect="00034616" w:type="continuous">
      <w:headerReference w:type="default" r:id="rId10"/>
      <w:pgSz w:w="11906" w:h="16838"/>
      <w:pgMar w:top="1701" w:right="850" w:bottom="1417" w:left="850" w:header="1134" w:footer="567" w:gutter="0"/>
      <w:docGrid w:linePitch="360"/>
      <w:cols w:num="2" w:space="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바탕체" w:cs="Times New Roman"/>
        <w:b/>
        <w:i w:val="0"/>
        <w:sz w:val="24"/>
      </w:rPr>
      <w:t>33rd Humantech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바탕체" w:cs="Times New Roman"/>
        <w:b w:val="0"/>
        <w:i w:val="0"/>
        <w:sz w:val="18"/>
      </w:rPr>
      <w:t>33rd Humantech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바탕체"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