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Side Letter Agreement</w:t>
      </w:r>
    </w:p>
    <w:p>
      <w:pPr>
        <w:pStyle w:val="Subtitle"/>
      </w:pPr>
      <w:r>
        <w:t xml:space="preserve">Blackstone Credit Partners VI, LP - CalSTRS</w:t>
      </w:r>
    </w:p>
    <w:p>
      <w:pPr>
        <w:pStyle w:val="Date"/>
      </w:pPr>
      <w:r>
        <w:t xml:space="preserve">November 15, 2024</w:t>
      </w:r>
    </w:p>
    <w:bookmarkStart w:id="23" w:name="side-letter-agreement"/>
    <w:p>
      <w:pPr>
        <w:pStyle w:val="Heading1"/>
      </w:pPr>
      <w:r>
        <w:t xml:space="preserve">SIDE LETTER AGREEMENT</w:t>
      </w:r>
    </w:p>
    <w:p>
      <w:r>
        <w:pict>
          <v:rect style="width:0;height:1.5pt" o:hralign="center" o:hrstd="t" o:hr="t"/>
        </w:pict>
      </w:r>
    </w:p>
    <w:p>
      <w:pPr>
        <w:pStyle w:val="FirstParagraph"/>
      </w:pPr>
      <w:r>
        <w:t xml:space="preserve">This Side Letter Agreement (this</w:t>
      </w:r>
      <w:r>
        <w:t xml:space="preserve"> </w:t>
      </w:r>
      <w:r>
        <w:t xml:space="preserve">“Side Letter”</w:t>
      </w:r>
      <w:r>
        <w:t xml:space="preserve">) is entered into as of November 15, 2024, by and between:</w:t>
      </w:r>
    </w:p>
    <w:p>
      <w:pPr>
        <w:pStyle w:val="BodyText"/>
      </w:pPr>
      <w:r>
        <w:rPr>
          <w:b/>
          <w:bCs/>
        </w:rPr>
        <w:t xml:space="preserve">BLACKSTONE CREDIT GP VI LLC</w:t>
      </w:r>
      <w:r>
        <w:t xml:space="preserve">, a Delaware limited liability company, as general partner (the</w:t>
      </w:r>
      <w:r>
        <w:t xml:space="preserve"> </w:t>
      </w:r>
      <w:r>
        <w:t xml:space="preserve">“General Partner”</w:t>
      </w:r>
      <w:r>
        <w:t xml:space="preserve">) of Blackstone Credit Partners VI, LP, a Delaware limited partnership (the</w:t>
      </w:r>
      <w:r>
        <w:t xml:space="preserve"> </w:t>
      </w:r>
      <w:r>
        <w:t xml:space="preserve">“Partnership”</w:t>
      </w:r>
      <w:r>
        <w:t xml:space="preserve">);</w:t>
      </w:r>
    </w:p>
    <w:p>
      <w:pPr>
        <w:pStyle w:val="BodyText"/>
      </w:pPr>
      <w:r>
        <w:t xml:space="preserve">and</w:t>
      </w:r>
    </w:p>
    <w:p>
      <w:pPr>
        <w:pStyle w:val="BodyText"/>
      </w:pPr>
      <w:r>
        <w:rPr>
          <w:b/>
          <w:bCs/>
        </w:rPr>
        <w:t xml:space="preserve">CALIFORNIA STATE TEACHERS’ RETIREMENT SYSTEM</w:t>
      </w:r>
      <w:r>
        <w:t xml:space="preserve">, a public pension fund organized under the laws of the State of California (the</w:t>
      </w:r>
      <w:r>
        <w:t xml:space="preserve"> </w:t>
      </w:r>
      <w:r>
        <w:t xml:space="preserve">“Investor”</w:t>
      </w:r>
      <w:r>
        <w:t xml:space="preserve">).</w:t>
      </w:r>
    </w:p>
    <w:p>
      <w:r>
        <w:pict>
          <v:rect style="width:0;height:1.5pt" o:hralign="center" o:hrstd="t" o:hr="t"/>
        </w:pict>
      </w:r>
    </w:p>
    <w:bookmarkStart w:id="9" w:name="recitals"/>
    <w:p>
      <w:pPr>
        <w:pStyle w:val="Heading2"/>
      </w:pPr>
      <w:r>
        <w:t xml:space="preserve">RECITALS</w:t>
      </w:r>
    </w:p>
    <w:p>
      <w:pPr>
        <w:pStyle w:val="FirstParagraph"/>
      </w:pPr>
      <w:r>
        <w:rPr>
          <w:b/>
          <w:bCs/>
        </w:rPr>
        <w:t xml:space="preserve">WHEREAS</w:t>
      </w:r>
      <w:r>
        <w:t xml:space="preserve">, the Investor has executed a Subscription Agreement dated November 15, 2024 (the</w:t>
      </w:r>
      <w:r>
        <w:t xml:space="preserve"> </w:t>
      </w:r>
      <w:r>
        <w:t xml:space="preserve">“Subscription Agreement”</w:t>
      </w:r>
      <w:r>
        <w:t xml:space="preserve">), pursuant to which the Investor has subscribed for a limited partnership interest in the Partnership with a Capital Commitment of $50,000,000;</w:t>
      </w:r>
    </w:p>
    <w:p>
      <w:pPr>
        <w:pStyle w:val="BodyText"/>
      </w:pPr>
      <w:r>
        <w:rPr>
          <w:b/>
          <w:bCs/>
        </w:rPr>
        <w:t xml:space="preserve">WHEREAS</w:t>
      </w:r>
      <w:r>
        <w:t xml:space="preserve">, the Investor’s investment in the Partnership is governed by the Amended and Restated Agreement of Limited Partnership of the Partnership dated November 1, 2024 (the</w:t>
      </w:r>
      <w:r>
        <w:t xml:space="preserve"> </w:t>
      </w:r>
      <w:r>
        <w:t xml:space="preserve">“LPA”</w:t>
      </w:r>
      <w:r>
        <w:t xml:space="preserve">); and</w:t>
      </w:r>
    </w:p>
    <w:p>
      <w:pPr>
        <w:pStyle w:val="BodyText"/>
      </w:pPr>
      <w:r>
        <w:rPr>
          <w:b/>
          <w:bCs/>
        </w:rPr>
        <w:t xml:space="preserve">WHEREAS</w:t>
      </w:r>
      <w:r>
        <w:t xml:space="preserve">, the parties desire to set forth certain additional terms applicable to the Investor’s investment in the Partnership.</w:t>
      </w:r>
    </w:p>
    <w:p>
      <w:pPr>
        <w:pStyle w:val="BodyText"/>
      </w:pPr>
      <w:r>
        <w:rPr>
          <w:b/>
          <w:bCs/>
        </w:rPr>
        <w:t xml:space="preserve">NOW, THEREFORE</w:t>
      </w:r>
      <w:r>
        <w:t xml:space="preserve">, in consideration of the mutual covenants and agreements set forth herein, and for other good and valuable consideration, the receipt and sufficiency of which are hereby acknowledged, the parties agree as follows:</w:t>
      </w:r>
    </w:p>
    <w:p>
      <w:r>
        <w:pict>
          <v:rect style="width:0;height:1.5pt" o:hralign="center" o:hrstd="t" o:hr="t"/>
        </w:pict>
      </w:r>
    </w:p>
    <w:bookmarkEnd w:id="9"/>
    <w:bookmarkStart w:id="10" w:name="section-1---definitions"/>
    <w:p>
      <w:pPr>
        <w:pStyle w:val="Heading2"/>
      </w:pPr>
      <w:r>
        <w:t xml:space="preserve">SECTION 1 - DEFINITIONS</w:t>
      </w:r>
    </w:p>
    <w:p>
      <w:pPr>
        <w:pStyle w:val="FirstParagraph"/>
      </w:pPr>
      <w:r>
        <w:t xml:space="preserve">Capitalized terms used but not defined herein shall have the meanings given to them in the LPA.</w:t>
      </w:r>
    </w:p>
    <w:p>
      <w:r>
        <w:pict>
          <v:rect style="width:0;height:1.5pt" o:hralign="center" o:hrstd="t" o:hr="t"/>
        </w:pict>
      </w:r>
    </w:p>
    <w:bookmarkEnd w:id="10"/>
    <w:bookmarkStart w:id="11" w:name="section-2---most-favored-nation"/>
    <w:p>
      <w:pPr>
        <w:pStyle w:val="Heading2"/>
      </w:pPr>
      <w:r>
        <w:t xml:space="preserve">SECTION 2 - MOST FAVORED NATION</w:t>
      </w:r>
    </w:p>
    <w:p>
      <w:pPr>
        <w:pStyle w:val="FirstParagraph"/>
      </w:pPr>
      <w:r>
        <w:rPr>
          <w:b/>
          <w:bCs/>
        </w:rPr>
        <w:t xml:space="preserve">2.1 MFN Rights.</w:t>
      </w:r>
      <w:r>
        <w:t xml:space="preserve"> </w:t>
      </w:r>
      <w:r>
        <w:t xml:space="preserve">If the General Partner grants to any other Limited Partner rights or terms more favorable than those set forth in the LPA, the Subscription Agreement, or this Side Letter with respect to:</w:t>
      </w:r>
    </w:p>
    <w:p>
      <w:pPr>
        <w:pStyle w:val="Compact"/>
        <w:numPr>
          <w:ilvl w:val="0"/>
          <w:numId w:val="1001"/>
        </w:numPr>
      </w:pPr>
      <w:r>
        <w:t xml:space="preserve">Management fees or fee offsets;</w:t>
      </w:r>
    </w:p>
    <w:p>
      <w:pPr>
        <w:pStyle w:val="Compact"/>
        <w:numPr>
          <w:ilvl w:val="0"/>
          <w:numId w:val="1001"/>
        </w:numPr>
      </w:pPr>
      <w:r>
        <w:t xml:space="preserve">Carried interest or preferred return;</w:t>
      </w:r>
    </w:p>
    <w:p>
      <w:pPr>
        <w:pStyle w:val="Compact"/>
        <w:numPr>
          <w:ilvl w:val="0"/>
          <w:numId w:val="1001"/>
        </w:numPr>
      </w:pPr>
      <w:r>
        <w:t xml:space="preserve">Co-investment rights;</w:t>
      </w:r>
    </w:p>
    <w:p>
      <w:pPr>
        <w:pStyle w:val="Compact"/>
        <w:numPr>
          <w:ilvl w:val="0"/>
          <w:numId w:val="1001"/>
        </w:numPr>
      </w:pPr>
      <w:r>
        <w:t xml:space="preserve">Transfer rights;</w:t>
      </w:r>
    </w:p>
    <w:p>
      <w:pPr>
        <w:pStyle w:val="Compact"/>
        <w:numPr>
          <w:ilvl w:val="0"/>
          <w:numId w:val="1001"/>
        </w:numPr>
      </w:pPr>
      <w:r>
        <w:t xml:space="preserve">Reporting and transparency; or</w:t>
      </w:r>
    </w:p>
    <w:p>
      <w:pPr>
        <w:pStyle w:val="Compact"/>
        <w:numPr>
          <w:ilvl w:val="0"/>
          <w:numId w:val="1001"/>
        </w:numPr>
      </w:pPr>
      <w:r>
        <w:t xml:space="preserve">Advisory Committee membership,</w:t>
      </w:r>
    </w:p>
    <w:p>
      <w:pPr>
        <w:pStyle w:val="FirstParagraph"/>
      </w:pPr>
      <w:r>
        <w:t xml:space="preserve">the General Partner shall promptly notify the Investor and, upon the Investor’s written request, shall extend such more favorable rights or terms to the Investor, subject to regulatory and tax considerations.</w:t>
      </w:r>
    </w:p>
    <w:p>
      <w:pPr>
        <w:pStyle w:val="BodyText"/>
      </w:pPr>
      <w:r>
        <w:rPr>
          <w:b/>
          <w:bCs/>
        </w:rPr>
        <w:t xml:space="preserve">2.2 Exceptions.</w:t>
      </w:r>
      <w:r>
        <w:t xml:space="preserve"> </w:t>
      </w:r>
      <w:r>
        <w:t xml:space="preserve">The MFN rights set forth in Section 2.1 shall not apply to:</w:t>
      </w:r>
    </w:p>
    <w:p>
      <w:pPr>
        <w:pStyle w:val="Compact"/>
        <w:numPr>
          <w:ilvl w:val="0"/>
          <w:numId w:val="1002"/>
        </w:numPr>
      </w:pPr>
      <w:r>
        <w:t xml:space="preserve">Terms granted to employees or affiliates of the General Partner or Investment Manager;</w:t>
      </w:r>
    </w:p>
    <w:p>
      <w:pPr>
        <w:pStyle w:val="Compact"/>
        <w:numPr>
          <w:ilvl w:val="0"/>
          <w:numId w:val="1002"/>
        </w:numPr>
      </w:pPr>
      <w:r>
        <w:t xml:space="preserve">Terms necessary to comply with applicable law or regulation;</w:t>
      </w:r>
    </w:p>
    <w:p>
      <w:pPr>
        <w:pStyle w:val="Compact"/>
        <w:numPr>
          <w:ilvl w:val="0"/>
          <w:numId w:val="1002"/>
        </w:numPr>
      </w:pPr>
      <w:r>
        <w:t xml:space="preserve">Terms granted to investors with Capital Commitments of $100,000,000 or more; or</w:t>
      </w:r>
    </w:p>
    <w:p>
      <w:pPr>
        <w:pStyle w:val="Compact"/>
        <w:numPr>
          <w:ilvl w:val="0"/>
          <w:numId w:val="1002"/>
        </w:numPr>
      </w:pPr>
      <w:r>
        <w:t xml:space="preserve">Operational or administrative terms that do not materially affect economic interests.</w:t>
      </w:r>
    </w:p>
    <w:p>
      <w:r>
        <w:pict>
          <v:rect style="width:0;height:1.5pt" o:hralign="center" o:hrstd="t" o:hr="t"/>
        </w:pict>
      </w:r>
    </w:p>
    <w:bookmarkEnd w:id="11"/>
    <w:bookmarkStart w:id="12" w:name="section-3---co-investment-rights"/>
    <w:p>
      <w:pPr>
        <w:pStyle w:val="Heading2"/>
      </w:pPr>
      <w:r>
        <w:t xml:space="preserve">SECTION 3 - CO-INVESTMENT RIGHTS</w:t>
      </w:r>
    </w:p>
    <w:p>
      <w:pPr>
        <w:pStyle w:val="FirstParagraph"/>
      </w:pPr>
      <w:r>
        <w:rPr>
          <w:b/>
          <w:bCs/>
        </w:rPr>
        <w:t xml:space="preserve">3.1 Co-Investment Opportunity.</w:t>
      </w:r>
      <w:r>
        <w:t xml:space="preserve"> </w:t>
      </w:r>
      <w:r>
        <w:t xml:space="preserve">The General Partner shall offer the Investor the opportunity to participate in co-investment opportunities alongside the Partnership on a no-fee, no-carry basis, subject to the following:</w:t>
      </w:r>
    </w:p>
    <w:p>
      <w:pPr>
        <w:numPr>
          <w:ilvl w:val="0"/>
          <w:numId w:val="1003"/>
        </w:numPr>
      </w:pPr>
      <w:r>
        <w:t xml:space="preserve">The Investor shall have the right to participate in co-investments up to an amount equal to 50% of its Capital Commitment;</w:t>
      </w:r>
    </w:p>
    <w:p>
      <w:pPr>
        <w:numPr>
          <w:ilvl w:val="0"/>
          <w:numId w:val="1003"/>
        </w:numPr>
      </w:pPr>
      <w:r>
        <w:t xml:space="preserve">Co-investment opportunities shall be offered on terms substantially similar to those offered to other investors receiving co-investment allocations;</w:t>
      </w:r>
    </w:p>
    <w:p>
      <w:pPr>
        <w:numPr>
          <w:ilvl w:val="0"/>
          <w:numId w:val="1003"/>
        </w:numPr>
      </w:pPr>
      <w:r>
        <w:t xml:space="preserve">The Investor shall have ten (10) business days from receipt of notice to accept or decline a co-investment opportunity; and</w:t>
      </w:r>
    </w:p>
    <w:p>
      <w:pPr>
        <w:numPr>
          <w:ilvl w:val="0"/>
          <w:numId w:val="1003"/>
        </w:numPr>
      </w:pPr>
      <w:r>
        <w:t xml:space="preserve">Allocation of co-investment opportunities shall be at the General Partner’s discretion, taking into account the Investor’s expressed interest, operational considerations, and the interests of the Partnership.</w:t>
      </w:r>
    </w:p>
    <w:p>
      <w:pPr>
        <w:pStyle w:val="FirstParagraph"/>
      </w:pPr>
      <w:r>
        <w:rPr>
          <w:b/>
          <w:bCs/>
        </w:rPr>
        <w:t xml:space="preserve">3.2 Co-Investment Reporting.</w:t>
      </w:r>
      <w:r>
        <w:t xml:space="preserve"> </w:t>
      </w:r>
      <w:r>
        <w:t xml:space="preserve">The General Partner shall provide the Investor with quarterly reports summarizing co-investment opportunities offered, accepted, and allocated.</w:t>
      </w:r>
    </w:p>
    <w:p>
      <w:r>
        <w:pict>
          <v:rect style="width:0;height:1.5pt" o:hralign="center" o:hrstd="t" o:hr="t"/>
        </w:pict>
      </w:r>
    </w:p>
    <w:bookmarkEnd w:id="12"/>
    <w:bookmarkStart w:id="13" w:name="section-4---reporting-and-transparency"/>
    <w:p>
      <w:pPr>
        <w:pStyle w:val="Heading2"/>
      </w:pPr>
      <w:r>
        <w:t xml:space="preserve">SECTION 4 - REPORTING AND TRANSPARENCY</w:t>
      </w:r>
    </w:p>
    <w:p>
      <w:pPr>
        <w:pStyle w:val="FirstParagraph"/>
      </w:pPr>
      <w:r>
        <w:rPr>
          <w:b/>
          <w:bCs/>
        </w:rPr>
        <w:t xml:space="preserve">4.1 Enhanced Reporting.</w:t>
      </w:r>
      <w:r>
        <w:t xml:space="preserve"> </w:t>
      </w:r>
      <w:r>
        <w:t xml:space="preserve">In addition to the reports required under the LPA, the General Partner shall provide the Investor with:</w:t>
      </w:r>
    </w:p>
    <w:p>
      <w:pPr>
        <w:pStyle w:val="Compact"/>
        <w:numPr>
          <w:ilvl w:val="0"/>
          <w:numId w:val="1004"/>
        </w:numPr>
      </w:pPr>
      <w:r>
        <w:rPr>
          <w:b/>
          <w:bCs/>
        </w:rPr>
        <w:t xml:space="preserve">Quarterly Reports</w:t>
      </w:r>
      <w:r>
        <w:t xml:space="preserve"> </w:t>
      </w:r>
      <w:r>
        <w:t xml:space="preserve">(within 60 days of quarter-end):</w:t>
      </w:r>
    </w:p>
    <w:p>
      <w:pPr>
        <w:pStyle w:val="Compact"/>
        <w:numPr>
          <w:ilvl w:val="1"/>
          <w:numId w:val="1005"/>
        </w:numPr>
      </w:pPr>
      <w:r>
        <w:t xml:space="preserve">Portfolio summary including investment name, cost basis, fair value, and IRR</w:t>
      </w:r>
    </w:p>
    <w:p>
      <w:pPr>
        <w:pStyle w:val="Compact"/>
        <w:numPr>
          <w:ilvl w:val="1"/>
          <w:numId w:val="1005"/>
        </w:numPr>
      </w:pPr>
      <w:r>
        <w:t xml:space="preserve">Detailed cash flow statement</w:t>
      </w:r>
    </w:p>
    <w:p>
      <w:pPr>
        <w:pStyle w:val="Compact"/>
        <w:numPr>
          <w:ilvl w:val="1"/>
          <w:numId w:val="1005"/>
        </w:numPr>
      </w:pPr>
      <w:r>
        <w:t xml:space="preserve">Capital account statement</w:t>
      </w:r>
    </w:p>
    <w:p>
      <w:pPr>
        <w:pStyle w:val="Compact"/>
        <w:numPr>
          <w:ilvl w:val="1"/>
          <w:numId w:val="1005"/>
        </w:numPr>
      </w:pPr>
      <w:r>
        <w:t xml:space="preserve">Leverage and exposure analysis</w:t>
      </w:r>
    </w:p>
    <w:p>
      <w:pPr>
        <w:pStyle w:val="Compact"/>
        <w:numPr>
          <w:ilvl w:val="1"/>
          <w:numId w:val="1005"/>
        </w:numPr>
      </w:pPr>
      <w:r>
        <w:t xml:space="preserve">ESG reporting on portfolio companies</w:t>
      </w:r>
    </w:p>
    <w:p>
      <w:pPr>
        <w:pStyle w:val="Compact"/>
        <w:numPr>
          <w:ilvl w:val="0"/>
          <w:numId w:val="1004"/>
        </w:numPr>
      </w:pPr>
      <w:r>
        <w:rPr>
          <w:b/>
          <w:bCs/>
        </w:rPr>
        <w:t xml:space="preserve">Annual Reports</w:t>
      </w:r>
      <w:r>
        <w:t xml:space="preserve"> </w:t>
      </w:r>
      <w:r>
        <w:t xml:space="preserve">(within 120 days of year-end):</w:t>
      </w:r>
    </w:p>
    <w:p>
      <w:pPr>
        <w:pStyle w:val="Compact"/>
        <w:numPr>
          <w:ilvl w:val="1"/>
          <w:numId w:val="1006"/>
        </w:numPr>
      </w:pPr>
      <w:r>
        <w:t xml:space="preserve">Audited financial statements</w:t>
      </w:r>
    </w:p>
    <w:p>
      <w:pPr>
        <w:pStyle w:val="Compact"/>
        <w:numPr>
          <w:ilvl w:val="1"/>
          <w:numId w:val="1006"/>
        </w:numPr>
      </w:pPr>
      <w:r>
        <w:t xml:space="preserve">Annual investment letter from the Investment Manager</w:t>
      </w:r>
    </w:p>
    <w:p>
      <w:pPr>
        <w:pStyle w:val="Compact"/>
        <w:numPr>
          <w:ilvl w:val="1"/>
          <w:numId w:val="1006"/>
        </w:numPr>
      </w:pPr>
      <w:r>
        <w:t xml:space="preserve">Detailed fee and expense disclosure</w:t>
      </w:r>
    </w:p>
    <w:p>
      <w:pPr>
        <w:pStyle w:val="Compact"/>
        <w:numPr>
          <w:ilvl w:val="1"/>
          <w:numId w:val="1006"/>
        </w:numPr>
      </w:pPr>
      <w:r>
        <w:t xml:space="preserve">Compliance certification</w:t>
      </w:r>
    </w:p>
    <w:p>
      <w:pPr>
        <w:pStyle w:val="Compact"/>
        <w:numPr>
          <w:ilvl w:val="0"/>
          <w:numId w:val="1004"/>
        </w:numPr>
      </w:pPr>
      <w:r>
        <w:rPr>
          <w:b/>
          <w:bCs/>
        </w:rPr>
        <w:t xml:space="preserve">Ad Hoc Reports</w:t>
      </w:r>
      <w:r>
        <w:t xml:space="preserve"> </w:t>
      </w:r>
      <w:r>
        <w:t xml:space="preserve">(upon reasonable request):</w:t>
      </w:r>
    </w:p>
    <w:p>
      <w:pPr>
        <w:pStyle w:val="Compact"/>
        <w:numPr>
          <w:ilvl w:val="1"/>
          <w:numId w:val="1007"/>
        </w:numPr>
      </w:pPr>
      <w:r>
        <w:t xml:space="preserve">Investment-specific due diligence materials</w:t>
      </w:r>
    </w:p>
    <w:p>
      <w:pPr>
        <w:pStyle w:val="Compact"/>
        <w:numPr>
          <w:ilvl w:val="1"/>
          <w:numId w:val="1007"/>
        </w:numPr>
      </w:pPr>
      <w:r>
        <w:t xml:space="preserve">Risk exposure analysis</w:t>
      </w:r>
    </w:p>
    <w:p>
      <w:pPr>
        <w:pStyle w:val="Compact"/>
        <w:numPr>
          <w:ilvl w:val="1"/>
          <w:numId w:val="1007"/>
        </w:numPr>
      </w:pPr>
      <w:r>
        <w:t xml:space="preserve">Comparable fund performance benchmarking</w:t>
      </w:r>
    </w:p>
    <w:p>
      <w:pPr>
        <w:pStyle w:val="FirstParagraph"/>
      </w:pPr>
      <w:r>
        <w:rPr>
          <w:b/>
          <w:bCs/>
        </w:rPr>
        <w:t xml:space="preserve">4.2 Electronic Access.</w:t>
      </w:r>
      <w:r>
        <w:t xml:space="preserve"> </w:t>
      </w:r>
      <w:r>
        <w:t xml:space="preserve">The General Partner shall provide the Investor with electronic access to:</w:t>
      </w:r>
    </w:p>
    <w:p>
      <w:pPr>
        <w:pStyle w:val="Compact"/>
        <w:numPr>
          <w:ilvl w:val="0"/>
          <w:numId w:val="1008"/>
        </w:numPr>
      </w:pPr>
      <w:r>
        <w:t xml:space="preserve">The Partnership’s investor portal for real-time account information;</w:t>
      </w:r>
    </w:p>
    <w:p>
      <w:pPr>
        <w:pStyle w:val="Compact"/>
        <w:numPr>
          <w:ilvl w:val="0"/>
          <w:numId w:val="1008"/>
        </w:numPr>
      </w:pPr>
      <w:r>
        <w:t xml:space="preserve">Historical financial statements and reports; and</w:t>
      </w:r>
    </w:p>
    <w:p>
      <w:pPr>
        <w:pStyle w:val="Compact"/>
        <w:numPr>
          <w:ilvl w:val="0"/>
          <w:numId w:val="1008"/>
        </w:numPr>
      </w:pPr>
      <w:r>
        <w:t xml:space="preserve">Capital call and distribution notices.</w:t>
      </w:r>
    </w:p>
    <w:p>
      <w:pPr>
        <w:pStyle w:val="FirstParagraph"/>
      </w:pPr>
      <w:r>
        <w:rPr>
          <w:b/>
          <w:bCs/>
        </w:rPr>
        <w:t xml:space="preserve">4.3 Data Room Access.</w:t>
      </w:r>
      <w:r>
        <w:t xml:space="preserve"> </w:t>
      </w:r>
      <w:r>
        <w:t xml:space="preserve">The General Partner shall maintain a virtual data room containing current Partnership documents and shall provide the Investor with ongoing access.</w:t>
      </w:r>
    </w:p>
    <w:p>
      <w:r>
        <w:pict>
          <v:rect style="width:0;height:1.5pt" o:hralign="center" o:hrstd="t" o:hr="t"/>
        </w:pict>
      </w:r>
    </w:p>
    <w:bookmarkEnd w:id="13"/>
    <w:bookmarkStart w:id="14" w:name="section-5---advisory-committee"/>
    <w:p>
      <w:pPr>
        <w:pStyle w:val="Heading2"/>
      </w:pPr>
      <w:r>
        <w:t xml:space="preserve">SECTION 5 - ADVISORY COMMITTEE</w:t>
      </w:r>
    </w:p>
    <w:p>
      <w:pPr>
        <w:pStyle w:val="FirstParagraph"/>
      </w:pPr>
      <w:r>
        <w:rPr>
          <w:b/>
          <w:bCs/>
        </w:rPr>
        <w:t xml:space="preserve">5.1 Membership.</w:t>
      </w:r>
      <w:r>
        <w:t xml:space="preserve"> </w:t>
      </w:r>
      <w:r>
        <w:t xml:space="preserve">The Investor shall have the right to appoint one representative to the Advisory Committee established pursuant to the LPA.</w:t>
      </w:r>
    </w:p>
    <w:p>
      <w:pPr>
        <w:pStyle w:val="BodyText"/>
      </w:pPr>
      <w:r>
        <w:rPr>
          <w:b/>
          <w:bCs/>
        </w:rPr>
        <w:t xml:space="preserve">5.2 Observer Rights.</w:t>
      </w:r>
      <w:r>
        <w:t xml:space="preserve"> </w:t>
      </w:r>
      <w:r>
        <w:t xml:space="preserve">If the Investor declines Advisory Committee membership, the Investor shall have the right to designate one observer to attend Advisory Committee meetings.</w:t>
      </w:r>
    </w:p>
    <w:p>
      <w:r>
        <w:pict>
          <v:rect style="width:0;height:1.5pt" o:hralign="center" o:hrstd="t" o:hr="t"/>
        </w:pict>
      </w:r>
    </w:p>
    <w:bookmarkEnd w:id="14"/>
    <w:bookmarkStart w:id="15" w:name="section-6---fee-arrangements"/>
    <w:p>
      <w:pPr>
        <w:pStyle w:val="Heading2"/>
      </w:pPr>
      <w:r>
        <w:t xml:space="preserve">SECTION 6 - FEE ARRANGEMENTS</w:t>
      </w:r>
    </w:p>
    <w:p>
      <w:pPr>
        <w:pStyle w:val="FirstParagraph"/>
      </w:pPr>
      <w:r>
        <w:rPr>
          <w:b/>
          <w:bCs/>
        </w:rPr>
        <w:t xml:space="preserve">6.1 Management Fee.</w:t>
      </w:r>
      <w:r>
        <w:t xml:space="preserve"> </w:t>
      </w:r>
      <w:r>
        <w:t xml:space="preserve">The Management Fee payable by the Investor shall be calculated in accordance with the LPA; provided, however, that the Investor shall receive a Management Fee offset equal to 0.10% per annum (10 basis points) of its Capital Commitment during the Investment Period and 0.10% per annum of invested capital thereafter.</w:t>
      </w:r>
    </w:p>
    <w:p>
      <w:pPr>
        <w:pStyle w:val="BodyText"/>
      </w:pPr>
      <w:r>
        <w:rPr>
          <w:b/>
          <w:bCs/>
        </w:rPr>
        <w:t xml:space="preserve">6.2 Fee Offset.</w:t>
      </w:r>
      <w:r>
        <w:t xml:space="preserve"> </w:t>
      </w:r>
      <w:r>
        <w:t xml:space="preserve">The Investor shall receive the benefit of any portfolio company fee offsets in accordance with the LPA.</w:t>
      </w:r>
    </w:p>
    <w:p>
      <w:pPr>
        <w:pStyle w:val="BodyText"/>
      </w:pPr>
      <w:r>
        <w:rPr>
          <w:b/>
          <w:bCs/>
        </w:rPr>
        <w:t xml:space="preserve">6.3 Organizational Expenses.</w:t>
      </w:r>
      <w:r>
        <w:t xml:space="preserve"> </w:t>
      </w:r>
      <w:r>
        <w:t xml:space="preserve">The Investor’s share of organizational expenses shall not exceed 0.15% of the Investor’s Capital Commitment.</w:t>
      </w:r>
    </w:p>
    <w:p>
      <w:r>
        <w:pict>
          <v:rect style="width:0;height:1.5pt" o:hralign="center" o:hrstd="t" o:hr="t"/>
        </w:pict>
      </w:r>
    </w:p>
    <w:bookmarkEnd w:id="15"/>
    <w:bookmarkStart w:id="16" w:name="section-7---transfer-rights"/>
    <w:p>
      <w:pPr>
        <w:pStyle w:val="Heading2"/>
      </w:pPr>
      <w:r>
        <w:t xml:space="preserve">SECTION 7 - TRANSFER RIGHTS</w:t>
      </w:r>
    </w:p>
    <w:p>
      <w:pPr>
        <w:pStyle w:val="FirstParagraph"/>
      </w:pPr>
      <w:r>
        <w:rPr>
          <w:b/>
          <w:bCs/>
        </w:rPr>
        <w:t xml:space="preserve">7.1 Secondary Transfers.</w:t>
      </w:r>
      <w:r>
        <w:t xml:space="preserve"> </w:t>
      </w:r>
      <w:r>
        <w:t xml:space="preserve">Notwithstanding the transfer restrictions in the LPA, the Investor may transfer all or a portion of its Interest to a qualified institutional buyer without the General Partner’s consent, provided that:</w:t>
      </w:r>
    </w:p>
    <w:p>
      <w:pPr>
        <w:pStyle w:val="Compact"/>
        <w:numPr>
          <w:ilvl w:val="0"/>
          <w:numId w:val="1009"/>
        </w:numPr>
      </w:pPr>
      <w:r>
        <w:t xml:space="preserve">The transfer complies with applicable securities laws;</w:t>
      </w:r>
    </w:p>
    <w:p>
      <w:pPr>
        <w:pStyle w:val="Compact"/>
        <w:numPr>
          <w:ilvl w:val="0"/>
          <w:numId w:val="1009"/>
        </w:numPr>
      </w:pPr>
      <w:r>
        <w:t xml:space="preserve">The transferee agrees to be bound by the LPA and this Side Letter;</w:t>
      </w:r>
    </w:p>
    <w:p>
      <w:pPr>
        <w:pStyle w:val="Compact"/>
        <w:numPr>
          <w:ilvl w:val="0"/>
          <w:numId w:val="1009"/>
        </w:numPr>
      </w:pPr>
      <w:r>
        <w:t xml:space="preserve">The Investor provides at least 30 days’ prior written notice to the General Partner; and</w:t>
      </w:r>
    </w:p>
    <w:p>
      <w:pPr>
        <w:pStyle w:val="Compact"/>
        <w:numPr>
          <w:ilvl w:val="0"/>
          <w:numId w:val="1009"/>
        </w:numPr>
      </w:pPr>
      <w:r>
        <w:t xml:space="preserve">The Investor pays any reasonable costs incurred by the Partnership in connection with the transfer.</w:t>
      </w:r>
    </w:p>
    <w:p>
      <w:r>
        <w:pict>
          <v:rect style="width:0;height:1.5pt" o:hralign="center" o:hrstd="t" o:hr="t"/>
        </w:pict>
      </w:r>
    </w:p>
    <w:bookmarkEnd w:id="16"/>
    <w:bookmarkStart w:id="17" w:name="section-8---excuse-and-exclusion-rights"/>
    <w:p>
      <w:pPr>
        <w:pStyle w:val="Heading2"/>
      </w:pPr>
      <w:r>
        <w:t xml:space="preserve">SECTION 8 - EXCUSE AND EXCLUSION RIGHTS</w:t>
      </w:r>
    </w:p>
    <w:p>
      <w:pPr>
        <w:pStyle w:val="FirstParagraph"/>
      </w:pPr>
      <w:r>
        <w:rPr>
          <w:b/>
          <w:bCs/>
        </w:rPr>
        <w:t xml:space="preserve">8.1 Excuse Rights.</w:t>
      </w:r>
      <w:r>
        <w:t xml:space="preserve"> </w:t>
      </w:r>
      <w:r>
        <w:t xml:space="preserve">The Investor may request to be excused from participating in any Investment that would:</w:t>
      </w:r>
    </w:p>
    <w:p>
      <w:pPr>
        <w:numPr>
          <w:ilvl w:val="0"/>
          <w:numId w:val="1010"/>
        </w:numPr>
      </w:pPr>
      <w:r>
        <w:t xml:space="preserve">Cause the Investor to violate any applicable law, regulation, or binding policy, including the CalSTRS Investment Policy;</w:t>
      </w:r>
    </w:p>
    <w:p>
      <w:pPr>
        <w:numPr>
          <w:ilvl w:val="0"/>
          <w:numId w:val="1010"/>
        </w:numPr>
      </w:pPr>
      <w:r>
        <w:t xml:space="preserve">Constitute a</w:t>
      </w:r>
      <w:r>
        <w:t xml:space="preserve"> </w:t>
      </w:r>
      <w:r>
        <w:t xml:space="preserve">“prohibited transaction”</w:t>
      </w:r>
      <w:r>
        <w:t xml:space="preserve"> </w:t>
      </w:r>
      <w:r>
        <w:t xml:space="preserve">under ERISA (if applicable);</w:t>
      </w:r>
    </w:p>
    <w:p>
      <w:pPr>
        <w:numPr>
          <w:ilvl w:val="0"/>
          <w:numId w:val="1010"/>
        </w:numPr>
      </w:pPr>
      <w:r>
        <w:t xml:space="preserve">Generate unrelated business taxable income (</w:t>
      </w:r>
      <w:r>
        <w:t xml:space="preserve">“UBTI”</w:t>
      </w:r>
      <w:r>
        <w:t xml:space="preserve">) in excess of $100,000 per fiscal year; or</w:t>
      </w:r>
    </w:p>
    <w:p>
      <w:pPr>
        <w:numPr>
          <w:ilvl w:val="0"/>
          <w:numId w:val="1010"/>
        </w:numPr>
      </w:pPr>
      <w:r>
        <w:t xml:space="preserve">Result in investment in Excluded Industries (as defined below).</w:t>
      </w:r>
    </w:p>
    <w:p>
      <w:pPr>
        <w:pStyle w:val="FirstParagraph"/>
      </w:pPr>
      <w:r>
        <w:rPr>
          <w:b/>
          <w:bCs/>
        </w:rPr>
        <w:t xml:space="preserve">8.2 Excluded Industries.</w:t>
      </w:r>
      <w:r>
        <w:t xml:space="preserve"> </w:t>
      </w:r>
      <w:r>
        <w:t xml:space="preserve">For purposes of this Side Letter,</w:t>
      </w:r>
      <w:r>
        <w:t xml:space="preserve"> </w:t>
      </w:r>
      <w:r>
        <w:t xml:space="preserve">“Excluded Industries”</w:t>
      </w:r>
      <w:r>
        <w:t xml:space="preserve"> </w:t>
      </w:r>
      <w:r>
        <w:t xml:space="preserve">means:</w:t>
      </w:r>
    </w:p>
    <w:p>
      <w:pPr>
        <w:pStyle w:val="Compact"/>
        <w:numPr>
          <w:ilvl w:val="0"/>
          <w:numId w:val="1011"/>
        </w:numPr>
      </w:pPr>
      <w:r>
        <w:t xml:space="preserve">Tobacco manufacturing;</w:t>
      </w:r>
    </w:p>
    <w:p>
      <w:pPr>
        <w:pStyle w:val="Compact"/>
        <w:numPr>
          <w:ilvl w:val="0"/>
          <w:numId w:val="1011"/>
        </w:numPr>
      </w:pPr>
      <w:r>
        <w:t xml:space="preserve">Thermal coal mining;</w:t>
      </w:r>
    </w:p>
    <w:p>
      <w:pPr>
        <w:pStyle w:val="Compact"/>
        <w:numPr>
          <w:ilvl w:val="0"/>
          <w:numId w:val="1011"/>
        </w:numPr>
      </w:pPr>
      <w:r>
        <w:t xml:space="preserve">Civilian firearms manufacturing; and</w:t>
      </w:r>
    </w:p>
    <w:p>
      <w:pPr>
        <w:pStyle w:val="Compact"/>
        <w:numPr>
          <w:ilvl w:val="0"/>
          <w:numId w:val="1011"/>
        </w:numPr>
      </w:pPr>
      <w:r>
        <w:t xml:space="preserve">Private prisons.</w:t>
      </w:r>
    </w:p>
    <w:p>
      <w:pPr>
        <w:pStyle w:val="FirstParagraph"/>
      </w:pPr>
      <w:r>
        <w:rPr>
          <w:b/>
          <w:bCs/>
        </w:rPr>
        <w:t xml:space="preserve">8.3 Procedure.</w:t>
      </w:r>
      <w:r>
        <w:t xml:space="preserve"> </w:t>
      </w:r>
      <w:r>
        <w:t xml:space="preserve">The Investor shall notify the General Partner in writing of any request to be excused, together with a reasonably detailed explanation. The General Partner shall accommodate such request to the extent practicable.</w:t>
      </w:r>
    </w:p>
    <w:p>
      <w:r>
        <w:pict>
          <v:rect style="width:0;height:1.5pt" o:hralign="center" o:hrstd="t" o:hr="t"/>
        </w:pict>
      </w:r>
    </w:p>
    <w:bookmarkEnd w:id="17"/>
    <w:bookmarkStart w:id="18" w:name="X4eb14be9f9d833379ad912f1059b8a590f6bbc4"/>
    <w:p>
      <w:pPr>
        <w:pStyle w:val="Heading2"/>
      </w:pPr>
      <w:r>
        <w:t xml:space="preserve">SECTION 9 - ESG AND RESPONSIBLE INVESTING</w:t>
      </w:r>
    </w:p>
    <w:p>
      <w:pPr>
        <w:pStyle w:val="FirstParagraph"/>
      </w:pPr>
      <w:r>
        <w:rPr>
          <w:b/>
          <w:bCs/>
        </w:rPr>
        <w:t xml:space="preserve">9.1 ESG Reporting.</w:t>
      </w:r>
      <w:r>
        <w:t xml:space="preserve"> </w:t>
      </w:r>
      <w:r>
        <w:t xml:space="preserve">The General Partner shall provide the Investor with annual ESG reporting on the Partnership’s portfolio, including:</w:t>
      </w:r>
    </w:p>
    <w:p>
      <w:pPr>
        <w:pStyle w:val="Compact"/>
        <w:numPr>
          <w:ilvl w:val="0"/>
          <w:numId w:val="1012"/>
        </w:numPr>
      </w:pPr>
      <w:r>
        <w:t xml:space="preserve">Material ESG risks and opportunities;</w:t>
      </w:r>
    </w:p>
    <w:p>
      <w:pPr>
        <w:pStyle w:val="Compact"/>
        <w:numPr>
          <w:ilvl w:val="0"/>
          <w:numId w:val="1012"/>
        </w:numPr>
      </w:pPr>
      <w:r>
        <w:t xml:space="preserve">Carbon footprint and climate-related metrics;</w:t>
      </w:r>
    </w:p>
    <w:p>
      <w:pPr>
        <w:pStyle w:val="Compact"/>
        <w:numPr>
          <w:ilvl w:val="0"/>
          <w:numId w:val="1012"/>
        </w:numPr>
      </w:pPr>
      <w:r>
        <w:t xml:space="preserve">Diversity and inclusion metrics; and</w:t>
      </w:r>
    </w:p>
    <w:p>
      <w:pPr>
        <w:pStyle w:val="Compact"/>
        <w:numPr>
          <w:ilvl w:val="0"/>
          <w:numId w:val="1012"/>
        </w:numPr>
      </w:pPr>
      <w:r>
        <w:t xml:space="preserve">Governance practices.</w:t>
      </w:r>
    </w:p>
    <w:p>
      <w:pPr>
        <w:pStyle w:val="FirstParagraph"/>
      </w:pPr>
      <w:r>
        <w:rPr>
          <w:b/>
          <w:bCs/>
        </w:rPr>
        <w:t xml:space="preserve">9.2 UN PRI.</w:t>
      </w:r>
      <w:r>
        <w:t xml:space="preserve"> </w:t>
      </w:r>
      <w:r>
        <w:t xml:space="preserve">The General Partner confirms that Blackstone is a signatory to the United Nations Principles for Responsible Investment (UN PRI).</w:t>
      </w:r>
    </w:p>
    <w:p>
      <w:r>
        <w:pict>
          <v:rect style="width:0;height:1.5pt" o:hralign="center" o:hrstd="t" o:hr="t"/>
        </w:pict>
      </w:r>
    </w:p>
    <w:bookmarkEnd w:id="18"/>
    <w:bookmarkStart w:id="19" w:name="Xd6892b12c0fa58d06f791ac3d51b6f04bd088e8"/>
    <w:p>
      <w:pPr>
        <w:pStyle w:val="Heading2"/>
      </w:pPr>
      <w:r>
        <w:t xml:space="preserve">SECTION 10 - PUBLIC RECORDS AND CONFIDENTIALITY</w:t>
      </w:r>
    </w:p>
    <w:p>
      <w:pPr>
        <w:pStyle w:val="FirstParagraph"/>
      </w:pPr>
      <w:r>
        <w:rPr>
          <w:b/>
          <w:bCs/>
        </w:rPr>
        <w:t xml:space="preserve">10.1 Public Records Act.</w:t>
      </w:r>
      <w:r>
        <w:t xml:space="preserve"> </w:t>
      </w:r>
      <w:r>
        <w:t xml:space="preserve">The parties acknowledge that the Investor is subject to the California Public Records Act and similar disclosure requirements. The General Partner agrees to:</w:t>
      </w:r>
    </w:p>
    <w:p>
      <w:pPr>
        <w:pStyle w:val="Compact"/>
        <w:numPr>
          <w:ilvl w:val="0"/>
          <w:numId w:val="1013"/>
        </w:numPr>
      </w:pPr>
      <w:r>
        <w:t xml:space="preserve">Mark confidential information as</w:t>
      </w:r>
      <w:r>
        <w:t xml:space="preserve"> </w:t>
      </w:r>
      <w:r>
        <w:t xml:space="preserve">“Confidential”</w:t>
      </w:r>
      <w:r>
        <w:t xml:space="preserve"> </w:t>
      </w:r>
      <w:r>
        <w:t xml:space="preserve">or</w:t>
      </w:r>
      <w:r>
        <w:t xml:space="preserve"> </w:t>
      </w:r>
      <w:r>
        <w:t xml:space="preserve">“Trade Secret”</w:t>
      </w:r>
      <w:r>
        <w:t xml:space="preserve"> </w:t>
      </w:r>
      <w:r>
        <w:t xml:space="preserve">as appropriate;</w:t>
      </w:r>
    </w:p>
    <w:p>
      <w:pPr>
        <w:pStyle w:val="Compact"/>
        <w:numPr>
          <w:ilvl w:val="0"/>
          <w:numId w:val="1013"/>
        </w:numPr>
      </w:pPr>
      <w:r>
        <w:t xml:space="preserve">Reasonably cooperate with the Investor in responding to public records requests; and</w:t>
      </w:r>
    </w:p>
    <w:p>
      <w:pPr>
        <w:pStyle w:val="Compact"/>
        <w:numPr>
          <w:ilvl w:val="0"/>
          <w:numId w:val="1013"/>
        </w:numPr>
      </w:pPr>
      <w:r>
        <w:t xml:space="preserve">Not unreasonably withhold consent to disclosure of aggregate performance data.</w:t>
      </w:r>
    </w:p>
    <w:p>
      <w:pPr>
        <w:pStyle w:val="FirstParagraph"/>
      </w:pPr>
      <w:r>
        <w:rPr>
          <w:b/>
          <w:bCs/>
        </w:rPr>
        <w:t xml:space="preserve">10.2 Required Disclosure.</w:t>
      </w:r>
      <w:r>
        <w:t xml:space="preserve"> </w:t>
      </w:r>
      <w:r>
        <w:t xml:space="preserve">Notwithstanding any confidentiality provisions in the LPA, the Investor may disclose:</w:t>
      </w:r>
    </w:p>
    <w:p>
      <w:pPr>
        <w:pStyle w:val="Compact"/>
        <w:numPr>
          <w:ilvl w:val="0"/>
          <w:numId w:val="1014"/>
        </w:numPr>
      </w:pPr>
      <w:r>
        <w:t xml:space="preserve">The existence and general terms of its investment in the Partnership;</w:t>
      </w:r>
    </w:p>
    <w:p>
      <w:pPr>
        <w:pStyle w:val="Compact"/>
        <w:numPr>
          <w:ilvl w:val="0"/>
          <w:numId w:val="1014"/>
        </w:numPr>
      </w:pPr>
      <w:r>
        <w:t xml:space="preserve">Aggregate performance data and returns; and</w:t>
      </w:r>
    </w:p>
    <w:p>
      <w:pPr>
        <w:pStyle w:val="Compact"/>
        <w:numPr>
          <w:ilvl w:val="0"/>
          <w:numId w:val="1014"/>
        </w:numPr>
      </w:pPr>
      <w:r>
        <w:t xml:space="preserve">Information required by applicable law, regulation, or court order.</w:t>
      </w:r>
    </w:p>
    <w:p>
      <w:r>
        <w:pict>
          <v:rect style="width:0;height:1.5pt" o:hralign="center" o:hrstd="t" o:hr="t"/>
        </w:pict>
      </w:r>
    </w:p>
    <w:bookmarkEnd w:id="19"/>
    <w:bookmarkStart w:id="20" w:name="section-11---regulatory-compliance"/>
    <w:p>
      <w:pPr>
        <w:pStyle w:val="Heading2"/>
      </w:pPr>
      <w:r>
        <w:t xml:space="preserve">SECTION 11 - REGULATORY COMPLIANCE</w:t>
      </w:r>
    </w:p>
    <w:p>
      <w:pPr>
        <w:pStyle w:val="FirstParagraph"/>
      </w:pPr>
      <w:r>
        <w:rPr>
          <w:b/>
          <w:bCs/>
        </w:rPr>
        <w:t xml:space="preserve">11.1 FOIA Representation.</w:t>
      </w:r>
      <w:r>
        <w:t xml:space="preserve"> </w:t>
      </w:r>
      <w:r>
        <w:t xml:space="preserve">The General Partner represents that the Partnership is not subject to the Freedom of Information Act or any state public records law.</w:t>
      </w:r>
    </w:p>
    <w:p>
      <w:pPr>
        <w:pStyle w:val="BodyText"/>
      </w:pPr>
      <w:r>
        <w:rPr>
          <w:b/>
          <w:bCs/>
        </w:rPr>
        <w:t xml:space="preserve">11.2 Regulatory Cooperation.</w:t>
      </w:r>
      <w:r>
        <w:t xml:space="preserve"> </w:t>
      </w:r>
      <w:r>
        <w:t xml:space="preserve">The General Partner shall reasonably cooperate with the Investor in connection with any regulatory examination, inquiry, or audit.</w:t>
      </w:r>
    </w:p>
    <w:p>
      <w:r>
        <w:pict>
          <v:rect style="width:0;height:1.5pt" o:hralign="center" o:hrstd="t" o:hr="t"/>
        </w:pict>
      </w:r>
    </w:p>
    <w:bookmarkEnd w:id="20"/>
    <w:bookmarkStart w:id="21" w:name="section-12---miscellaneous"/>
    <w:p>
      <w:pPr>
        <w:pStyle w:val="Heading2"/>
      </w:pPr>
      <w:r>
        <w:t xml:space="preserve">SECTION 12 - MISCELLANEOUS</w:t>
      </w:r>
    </w:p>
    <w:p>
      <w:pPr>
        <w:pStyle w:val="FirstParagraph"/>
      </w:pPr>
      <w:r>
        <w:rPr>
          <w:b/>
          <w:bCs/>
        </w:rPr>
        <w:t xml:space="preserve">12.1 Conflict with LPA.</w:t>
      </w:r>
      <w:r>
        <w:t xml:space="preserve"> </w:t>
      </w:r>
      <w:r>
        <w:t xml:space="preserve">In the event of any conflict between this Side Letter and the LPA, this Side Letter shall control as between the parties hereto.</w:t>
      </w:r>
    </w:p>
    <w:p>
      <w:pPr>
        <w:pStyle w:val="BodyText"/>
      </w:pPr>
      <w:r>
        <w:rPr>
          <w:b/>
          <w:bCs/>
        </w:rPr>
        <w:t xml:space="preserve">12.2 Successors.</w:t>
      </w:r>
      <w:r>
        <w:t xml:space="preserve"> </w:t>
      </w:r>
      <w:r>
        <w:t xml:space="preserve">This Side Letter shall be binding upon and inure to the benefit of the parties and their respective successors and permitted assigns.</w:t>
      </w:r>
    </w:p>
    <w:p>
      <w:pPr>
        <w:pStyle w:val="BodyText"/>
      </w:pPr>
      <w:r>
        <w:rPr>
          <w:b/>
          <w:bCs/>
        </w:rPr>
        <w:t xml:space="preserve">12.3 Amendments.</w:t>
      </w:r>
      <w:r>
        <w:t xml:space="preserve"> </w:t>
      </w:r>
      <w:r>
        <w:t xml:space="preserve">This Side Letter may be amended only by written agreement signed by both parties.</w:t>
      </w:r>
    </w:p>
    <w:p>
      <w:pPr>
        <w:pStyle w:val="BodyText"/>
      </w:pPr>
      <w:r>
        <w:rPr>
          <w:b/>
          <w:bCs/>
        </w:rPr>
        <w:t xml:space="preserve">12.4 Governing Law.</w:t>
      </w:r>
      <w:r>
        <w:t xml:space="preserve"> </w:t>
      </w:r>
      <w:r>
        <w:t xml:space="preserve">This Side Letter shall be governed by the laws of the State of Delaware.</w:t>
      </w:r>
    </w:p>
    <w:p>
      <w:pPr>
        <w:pStyle w:val="BodyText"/>
      </w:pPr>
      <w:r>
        <w:rPr>
          <w:b/>
          <w:bCs/>
        </w:rPr>
        <w:t xml:space="preserve">12.5 Counterparts.</w:t>
      </w:r>
      <w:r>
        <w:t xml:space="preserve"> </w:t>
      </w:r>
      <w:r>
        <w:t xml:space="preserve">This Side Letter may be executed in counterparts.</w:t>
      </w:r>
    </w:p>
    <w:p>
      <w:pPr>
        <w:pStyle w:val="BodyText"/>
      </w:pPr>
      <w:r>
        <w:rPr>
          <w:b/>
          <w:bCs/>
        </w:rPr>
        <w:t xml:space="preserve">12.6 Confidentiality.</w:t>
      </w:r>
      <w:r>
        <w:t xml:space="preserve"> </w:t>
      </w:r>
      <w:r>
        <w:t xml:space="preserve">Except as otherwise required by law, the parties agree to maintain the confidentiality of the terms of this Side Letter.</w:t>
      </w:r>
    </w:p>
    <w:p>
      <w:r>
        <w:pict>
          <v:rect style="width:0;height:1.5pt" o:hralign="center" o:hrstd="t" o:hr="t"/>
        </w:pict>
      </w:r>
    </w:p>
    <w:bookmarkEnd w:id="21"/>
    <w:bookmarkStart w:id="22" w:name="signatures"/>
    <w:p>
      <w:pPr>
        <w:pStyle w:val="Heading2"/>
      </w:pPr>
      <w:r>
        <w:t xml:space="preserve">SIGNATURES</w:t>
      </w:r>
    </w:p>
    <w:p>
      <w:pPr>
        <w:pStyle w:val="FirstParagraph"/>
      </w:pPr>
      <w:r>
        <w:rPr>
          <w:b/>
          <w:bCs/>
        </w:rPr>
        <w:t xml:space="preserve">IN WITNESS WHEREOF</w:t>
      </w:r>
      <w:r>
        <w:t xml:space="preserve">, the parties have executed this Side Letter as of the date first above written.</w:t>
      </w:r>
    </w:p>
    <w:p>
      <w:pPr>
        <w:pStyle w:val="BodyText"/>
      </w:pPr>
      <w:r>
        <w:rPr>
          <w:b/>
          <w:bCs/>
        </w:rPr>
        <w:t xml:space="preserve">GENERAL PARTNER:</w:t>
      </w:r>
    </w:p>
    <w:p>
      <w:pPr>
        <w:pStyle w:val="BodyText"/>
      </w:pPr>
      <w:r>
        <w:t xml:space="preserve">BLACKSTONE CREDIT GP VI LLC</w:t>
      </w:r>
    </w:p>
    <w:p>
      <w:pPr>
        <w:pStyle w:val="BodyText"/>
      </w:pPr>
      <w:r>
        <w:br/>
      </w:r>
      <w:r>
        <w:br/>
      </w:r>
      <w:r>
        <w:t xml:space="preserve">By: _________________________________</w:t>
      </w:r>
      <w:r>
        <w:t xml:space="preserve"> </w:t>
      </w:r>
      <w:r>
        <w:t xml:space="preserve">Name: Richard A. Thornton</w:t>
      </w:r>
      <w:r>
        <w:t xml:space="preserve"> </w:t>
      </w:r>
      <w:r>
        <w:t xml:space="preserve">Title: Senior Managing Director</w:t>
      </w:r>
    </w:p>
    <w:p>
      <w:pPr>
        <w:pStyle w:val="BodyText"/>
      </w:pPr>
      <w:r>
        <w:t xml:space="preserve">Date: November 15, 2024</w:t>
      </w:r>
    </w:p>
    <w:p>
      <w:r>
        <w:pict>
          <v:rect style="width:0;height:1.5pt" o:hralign="center" o:hrstd="t" o:hr="t"/>
        </w:pict>
      </w:r>
    </w:p>
    <w:p>
      <w:pPr>
        <w:pStyle w:val="FirstParagraph"/>
      </w:pPr>
      <w:r>
        <w:rPr>
          <w:b/>
          <w:bCs/>
        </w:rPr>
        <w:t xml:space="preserve">INVESTOR:</w:t>
      </w:r>
    </w:p>
    <w:p>
      <w:pPr>
        <w:pStyle w:val="BodyText"/>
      </w:pPr>
      <w:r>
        <w:t xml:space="preserve">CALIFORNIA STATE TEACHERS’ RETIREMENT SYSTEM</w:t>
      </w:r>
    </w:p>
    <w:p>
      <w:pPr>
        <w:pStyle w:val="BodyText"/>
      </w:pPr>
      <w:r>
        <w:br/>
      </w:r>
      <w:r>
        <w:br/>
      </w:r>
      <w:r>
        <w:t xml:space="preserve">By: _________________________________</w:t>
      </w:r>
      <w:r>
        <w:t xml:space="preserve"> </w:t>
      </w:r>
      <w:r>
        <w:t xml:space="preserve">Name: Michael R. Patterson</w:t>
      </w:r>
      <w:r>
        <w:t xml:space="preserve"> </w:t>
      </w:r>
      <w:r>
        <w:t xml:space="preserve">Title: Director of Private Markets</w:t>
      </w:r>
    </w:p>
    <w:p>
      <w:pPr>
        <w:pStyle w:val="BodyText"/>
      </w:pPr>
      <w:r>
        <w:t xml:space="preserve">Date: November 15, 2024</w:t>
      </w:r>
    </w:p>
    <w:p>
      <w:pPr>
        <w:pStyle w:val="BodyText"/>
      </w:pPr>
      <w:r>
        <w:br/>
      </w:r>
      <w:r>
        <w:br/>
      </w:r>
      <w:r>
        <w:t xml:space="preserve">By: _________________________________</w:t>
      </w:r>
      <w:r>
        <w:t xml:space="preserve"> </w:t>
      </w:r>
      <w:r>
        <w:t xml:space="preserve">Name: Christopher J. Ailman</w:t>
      </w:r>
      <w:r>
        <w:t xml:space="preserve"> </w:t>
      </w:r>
      <w:r>
        <w:t xml:space="preserve">Title: Chief Investment Officer</w:t>
      </w:r>
    </w:p>
    <w:p>
      <w:pPr>
        <w:pStyle w:val="BodyText"/>
      </w:pPr>
      <w:r>
        <w:t xml:space="preserve">Date: November 15, 2024</w:t>
      </w:r>
    </w:p>
    <w:p>
      <w:r>
        <w:pict>
          <v:rect style="width:0;height:1.5pt" o:hralign="center" o:hrstd="t" o:hr="t"/>
        </w:pict>
      </w:r>
    </w:p>
    <w:p>
      <w:pPr>
        <w:pStyle w:val="FirstParagraph"/>
      </w:pPr>
      <w:r>
        <w:rPr>
          <w:i/>
          <w:iCs/>
        </w:rPr>
        <w:t xml:space="preserve">Document ID: SL-BCP6-2024-CALSTRS-001</w:t>
      </w:r>
      <w:r>
        <w:t xml:space="preserve"> </w:t>
      </w:r>
      <w:r>
        <w:rPr>
          <w:i/>
          <w:iCs/>
        </w:rPr>
        <w:t xml:space="preserve">Related Documents:</w:t>
      </w:r>
      <w:r>
        <w:t xml:space="preserve"> </w:t>
      </w:r>
      <w:r>
        <w:t xml:space="preserve">-</w:t>
      </w:r>
      <w:r>
        <w:t xml:space="preserve"> </w:t>
      </w:r>
      <w:r>
        <w:rPr>
          <w:i/>
          <w:iCs/>
        </w:rPr>
        <w:t xml:space="preserve">Subscription Agreement (SUB-BCP6-2024-CALSTRS-001)</w:t>
      </w:r>
      <w:r>
        <w:t xml:space="preserve"> </w:t>
      </w:r>
      <w:r>
        <w:t xml:space="preserve">-</w:t>
      </w:r>
      <w:r>
        <w:t xml:space="preserve"> </w:t>
      </w:r>
      <w:r>
        <w:rPr>
          <w:i/>
          <w:iCs/>
        </w:rPr>
        <w:t xml:space="preserve">Limited Partnership Agreement (LPA-BCP6-2024-1101-001)</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Side Letter Agreement</dc:title>
  <dc:creator/>
  <cp:keywords/>
  <dcterms:created xsi:type="dcterms:W3CDTF">2026-01-08T17:54:54Z</dcterms:created>
  <dcterms:modified xsi:type="dcterms:W3CDTF">2026-01-08T17:54:54Z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November 15, 2024</vt:lpwstr>
  </property>
  <property fmtid="{D5CDD505-2E9C-101B-9397-08002B2CF9AE}" pid="3" name="subtitle">
    <vt:lpwstr>Blackstone Credit Partners VI, LP - CalSTRS</vt:lpwstr>
  </property>
</Properties>
</file>