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Investment Management Agreement</w:t>
      </w:r>
    </w:p>
    <w:p>
      <w:pPr>
        <w:pStyle w:val="Subtitle"/>
      </w:pPr>
      <w:r>
        <w:t xml:space="preserve">Sequoia Capital Fund XVIII, LP</w:t>
      </w:r>
    </w:p>
    <w:p>
      <w:pPr>
        <w:pStyle w:val="Date"/>
      </w:pPr>
      <w:r>
        <w:t xml:space="preserve">September 15, 2024</w:t>
      </w:r>
    </w:p>
    <w:bookmarkStart w:id="57" w:name="investment-management-agreement"/>
    <w:p>
      <w:pPr>
        <w:pStyle w:val="Heading1"/>
      </w:pPr>
      <w:r>
        <w:t xml:space="preserve">INVESTMENT MANAGEMENT AGREEMENT</w:t>
      </w:r>
    </w:p>
    <w:p>
      <w:r>
        <w:pict>
          <v:rect style="width:0;height:1.5pt" o:hralign="center" o:hrstd="t" o:hr="t"/>
        </w:pict>
      </w:r>
    </w:p>
    <w:p>
      <w:pPr>
        <w:pStyle w:val="FirstParagraph"/>
      </w:pPr>
      <w:r>
        <w:t xml:space="preserve">This Investment Management Agreement (this</w:t>
      </w:r>
      <w:r>
        <w:t xml:space="preserve"> </w:t>
      </w:r>
      <w:r>
        <w:t xml:space="preserve">“Agreement”</w:t>
      </w:r>
      <w:r>
        <w:t xml:space="preserve">) is entered into as of September 15, 2024, by and between:</w:t>
      </w:r>
    </w:p>
    <w:p>
      <w:pPr>
        <w:pStyle w:val="BodyText"/>
      </w:pPr>
      <w:r>
        <w:rPr>
          <w:b/>
          <w:bCs/>
        </w:rPr>
        <w:t xml:space="preserve">SEQUOIA CAPITAL FUND XVIII, LP</w:t>
      </w:r>
      <w:r>
        <w:t xml:space="preserve">, a Delaware limited partnership (the</w:t>
      </w:r>
      <w:r>
        <w:t xml:space="preserve"> </w:t>
      </w:r>
      <w:r>
        <w:t xml:space="preserve">“Fund”</w:t>
      </w:r>
      <w:r>
        <w:t xml:space="preserve">);</w:t>
      </w:r>
    </w:p>
    <w:p>
      <w:pPr>
        <w:pStyle w:val="BodyText"/>
      </w:pPr>
      <w:r>
        <w:rPr>
          <w:b/>
          <w:bCs/>
        </w:rPr>
        <w:t xml:space="preserve">SC XVIII MANAGEMENT, LLC</w:t>
      </w:r>
      <w:r>
        <w:t xml:space="preserve">, a Delaware limited liability company, as general partner of the Fund (the</w:t>
      </w:r>
      <w:r>
        <w:t xml:space="preserve"> </w:t>
      </w:r>
      <w:r>
        <w:t xml:space="preserve">“General Partner”</w:t>
      </w:r>
      <w:r>
        <w:t xml:space="preserve">); and</w:t>
      </w:r>
    </w:p>
    <w:p>
      <w:pPr>
        <w:pStyle w:val="BodyText"/>
      </w:pPr>
      <w:r>
        <w:rPr>
          <w:b/>
          <w:bCs/>
        </w:rPr>
        <w:t xml:space="preserve">SEQUOIA CAPITAL OPERATIONS, LLC</w:t>
      </w:r>
      <w:r>
        <w:t xml:space="preserve">, a Delaware limited liability company (the</w:t>
      </w:r>
      <w:r>
        <w:t xml:space="preserve"> </w:t>
      </w:r>
      <w:r>
        <w:t xml:space="preserve">“Investment Manager”</w:t>
      </w:r>
      <w:r>
        <w:t xml:space="preserve">).</w:t>
      </w:r>
    </w:p>
    <w:p>
      <w:r>
        <w:pict>
          <v:rect style="width:0;height:1.5pt" o:hralign="center" o:hrstd="t" o:hr="t"/>
        </w:pict>
      </w:r>
    </w:p>
    <w:bookmarkStart w:id="9" w:name="recitals"/>
    <w:p>
      <w:pPr>
        <w:pStyle w:val="Heading2"/>
      </w:pPr>
      <w:r>
        <w:t xml:space="preserve">RECITALS</w:t>
      </w:r>
    </w:p>
    <w:p>
      <w:pPr>
        <w:pStyle w:val="FirstParagraph"/>
      </w:pPr>
      <w:r>
        <w:rPr>
          <w:b/>
          <w:bCs/>
        </w:rPr>
        <w:t xml:space="preserve">WHEREAS</w:t>
      </w:r>
      <w:r>
        <w:t xml:space="preserve">, the Fund has been formed for the purpose of making venture capital investments in technology companies;</w:t>
      </w:r>
    </w:p>
    <w:p>
      <w:pPr>
        <w:pStyle w:val="BodyText"/>
      </w:pPr>
      <w:r>
        <w:rPr>
          <w:b/>
          <w:bCs/>
        </w:rPr>
        <w:t xml:space="preserve">WHEREAS</w:t>
      </w:r>
      <w:r>
        <w:t xml:space="preserve">, the General Partner desires to engage the Investment Manager to provide investment management and advisory services to the Fund; and</w:t>
      </w:r>
    </w:p>
    <w:p>
      <w:pPr>
        <w:pStyle w:val="BodyText"/>
      </w:pPr>
      <w:r>
        <w:rPr>
          <w:b/>
          <w:bCs/>
        </w:rPr>
        <w:t xml:space="preserve">WHEREAS</w:t>
      </w:r>
      <w:r>
        <w:t xml:space="preserve">, the Investment Manager is willing to provide such services on the terms and conditions set forth herein.</w:t>
      </w:r>
    </w:p>
    <w:p>
      <w:pPr>
        <w:pStyle w:val="BodyText"/>
      </w:pPr>
      <w:r>
        <w:rPr>
          <w:b/>
          <w:bCs/>
        </w:rPr>
        <w:t xml:space="preserve">NOW, THEREFORE</w:t>
      </w:r>
      <w:r>
        <w:t xml:space="preserve">, in consideration of the mutual covenants and agreements herein, the parties agree as follows:</w:t>
      </w:r>
    </w:p>
    <w:p>
      <w:r>
        <w:pict>
          <v:rect style="width:0;height:1.5pt" o:hralign="center" o:hrstd="t" o:hr="t"/>
        </w:pict>
      </w:r>
    </w:p>
    <w:bookmarkEnd w:id="9"/>
    <w:bookmarkStart w:id="13" w:name="article-i---appointment-and-authority"/>
    <w:p>
      <w:pPr>
        <w:pStyle w:val="Heading2"/>
      </w:pPr>
      <w:r>
        <w:t xml:space="preserve">ARTICLE I - APPOINTMENT AND AUTHORITY</w:t>
      </w:r>
    </w:p>
    <w:bookmarkStart w:id="10" w:name="appointment"/>
    <w:p>
      <w:pPr>
        <w:pStyle w:val="Heading3"/>
      </w:pPr>
      <w:r>
        <w:t xml:space="preserve">1.1 Appointment</w:t>
      </w:r>
    </w:p>
    <w:p>
      <w:pPr>
        <w:pStyle w:val="FirstParagraph"/>
      </w:pPr>
      <w:r>
        <w:t xml:space="preserve">The General Partner hereby appoints the Investment Manager to manage the investment portfolio of the Fund, and the Investment Manager hereby accepts such appointment.</w:t>
      </w:r>
    </w:p>
    <w:bookmarkEnd w:id="10"/>
    <w:bookmarkStart w:id="11" w:name="authority"/>
    <w:p>
      <w:pPr>
        <w:pStyle w:val="Heading3"/>
      </w:pPr>
      <w:r>
        <w:t xml:space="preserve">1.2 Authority</w:t>
      </w:r>
    </w:p>
    <w:p>
      <w:pPr>
        <w:pStyle w:val="FirstParagraph"/>
      </w:pPr>
      <w:r>
        <w:t xml:space="preserve">The Investment Manager shall have full discretionary authority to:</w:t>
      </w:r>
    </w:p>
    <w:p>
      <w:pPr>
        <w:pStyle w:val="Compact"/>
        <w:numPr>
          <w:ilvl w:val="0"/>
          <w:numId w:val="1001"/>
        </w:numPr>
      </w:pPr>
      <w:r>
        <w:t xml:space="preserve">Source, evaluate, and select investment opportunities;</w:t>
      </w:r>
    </w:p>
    <w:p>
      <w:pPr>
        <w:pStyle w:val="Compact"/>
        <w:numPr>
          <w:ilvl w:val="0"/>
          <w:numId w:val="1001"/>
        </w:numPr>
      </w:pPr>
      <w:r>
        <w:t xml:space="preserve">Negotiate and execute investment transactions;</w:t>
      </w:r>
    </w:p>
    <w:p>
      <w:pPr>
        <w:pStyle w:val="Compact"/>
        <w:numPr>
          <w:ilvl w:val="0"/>
          <w:numId w:val="1001"/>
        </w:numPr>
      </w:pPr>
      <w:r>
        <w:t xml:space="preserve">Manage, monitor, and exit portfolio investments;</w:t>
      </w:r>
    </w:p>
    <w:p>
      <w:pPr>
        <w:pStyle w:val="Compact"/>
        <w:numPr>
          <w:ilvl w:val="0"/>
          <w:numId w:val="1001"/>
        </w:numPr>
      </w:pPr>
      <w:r>
        <w:t xml:space="preserve">Exercise all rights with respect to portfolio investments, including voting rights;</w:t>
      </w:r>
    </w:p>
    <w:p>
      <w:pPr>
        <w:pStyle w:val="Compact"/>
        <w:numPr>
          <w:ilvl w:val="0"/>
          <w:numId w:val="1001"/>
        </w:numPr>
      </w:pPr>
      <w:r>
        <w:t xml:space="preserve">Engage service providers on behalf of the Fund; and</w:t>
      </w:r>
    </w:p>
    <w:p>
      <w:pPr>
        <w:pStyle w:val="Compact"/>
        <w:numPr>
          <w:ilvl w:val="0"/>
          <w:numId w:val="1001"/>
        </w:numPr>
      </w:pPr>
      <w:r>
        <w:t xml:space="preserve">Take all other actions necessary or advisable to carry out the Fund’s investment program.</w:t>
      </w:r>
    </w:p>
    <w:bookmarkEnd w:id="11"/>
    <w:bookmarkStart w:id="12" w:name="investment-guidelines"/>
    <w:p>
      <w:pPr>
        <w:pStyle w:val="Heading3"/>
      </w:pPr>
      <w:r>
        <w:t xml:space="preserve">1.3 Investment Guidelines</w:t>
      </w:r>
    </w:p>
    <w:p>
      <w:pPr>
        <w:pStyle w:val="FirstParagraph"/>
      </w:pPr>
      <w:r>
        <w:t xml:space="preserve">The Investment Manager shall conduct its investment activities in accordance with the investment guidelines set forth in Schedule A (the</w:t>
      </w:r>
      <w:r>
        <w:t xml:space="preserve"> </w:t>
      </w:r>
      <w:r>
        <w:t xml:space="preserve">“Investment Guidelines”</w:t>
      </w:r>
      <w:r>
        <w:t xml:space="preserve">).</w:t>
      </w:r>
    </w:p>
    <w:p>
      <w:r>
        <w:pict>
          <v:rect style="width:0;height:1.5pt" o:hralign="center" o:hrstd="t" o:hr="t"/>
        </w:pict>
      </w:r>
    </w:p>
    <w:bookmarkEnd w:id="12"/>
    <w:bookmarkEnd w:id="13"/>
    <w:bookmarkStart w:id="19" w:name="article-ii---investment-guidelines"/>
    <w:p>
      <w:pPr>
        <w:pStyle w:val="Heading2"/>
      </w:pPr>
      <w:r>
        <w:t xml:space="preserve">ARTICLE II - INVESTMENT GUIDELINES</w:t>
      </w:r>
    </w:p>
    <w:bookmarkStart w:id="14" w:name="investment-strategy"/>
    <w:p>
      <w:pPr>
        <w:pStyle w:val="Heading3"/>
      </w:pPr>
      <w:r>
        <w:t xml:space="preserve">2.1 Investment Strategy</w:t>
      </w:r>
    </w:p>
    <w:p>
      <w:pPr>
        <w:pStyle w:val="FirstParagraph"/>
      </w:pPr>
      <w:r>
        <w:t xml:space="preserve">The Fund’s investment strategy is to make equity investments in:</w:t>
      </w:r>
    </w:p>
    <w:p>
      <w:pPr>
        <w:pStyle w:val="Compact"/>
        <w:numPr>
          <w:ilvl w:val="0"/>
          <w:numId w:val="1002"/>
        </w:numPr>
      </w:pPr>
      <w:r>
        <w:t xml:space="preserve">Early-stage technology companies (seed and Series A);</w:t>
      </w:r>
    </w:p>
    <w:p>
      <w:pPr>
        <w:pStyle w:val="Compact"/>
        <w:numPr>
          <w:ilvl w:val="0"/>
          <w:numId w:val="1002"/>
        </w:numPr>
      </w:pPr>
      <w:r>
        <w:t xml:space="preserve">Growth-stage technology companies (Series B and later);</w:t>
      </w:r>
    </w:p>
    <w:p>
      <w:pPr>
        <w:pStyle w:val="Compact"/>
        <w:numPr>
          <w:ilvl w:val="0"/>
          <w:numId w:val="1002"/>
        </w:numPr>
      </w:pPr>
      <w:r>
        <w:t xml:space="preserve">Technology-enabled businesses across all sectors.</w:t>
      </w:r>
    </w:p>
    <w:bookmarkEnd w:id="14"/>
    <w:bookmarkStart w:id="15" w:name="geographic-focus"/>
    <w:p>
      <w:pPr>
        <w:pStyle w:val="Heading3"/>
      </w:pPr>
      <w:r>
        <w:t xml:space="preserve">2.2 Geographic Focus</w:t>
      </w:r>
    </w:p>
    <w:p>
      <w:pPr>
        <w:pStyle w:val="FirstParagraph"/>
      </w:pPr>
      <w:r>
        <w:t xml:space="preserve">Primary: United States (minimum 60% of capital)</w:t>
      </w:r>
      <w:r>
        <w:t xml:space="preserve"> </w:t>
      </w:r>
      <w:r>
        <w:t xml:space="preserve">Secondary: China, India, Southeast Asia, Europe</w:t>
      </w:r>
    </w:p>
    <w:bookmarkEnd w:id="15"/>
    <w:bookmarkStart w:id="16" w:name="sector-focus"/>
    <w:p>
      <w:pPr>
        <w:pStyle w:val="Heading3"/>
      </w:pPr>
      <w:r>
        <w:t xml:space="preserve">2.3 Sector Focus</w:t>
      </w:r>
    </w:p>
    <w:p>
      <w:pPr>
        <w:pStyle w:val="Compact"/>
        <w:numPr>
          <w:ilvl w:val="0"/>
          <w:numId w:val="1003"/>
        </w:numPr>
      </w:pPr>
      <w:r>
        <w:t xml:space="preserve">Enterprise software and SaaS</w:t>
      </w:r>
    </w:p>
    <w:p>
      <w:pPr>
        <w:pStyle w:val="Compact"/>
        <w:numPr>
          <w:ilvl w:val="0"/>
          <w:numId w:val="1003"/>
        </w:numPr>
      </w:pPr>
      <w:r>
        <w:t xml:space="preserve">Consumer internet and marketplace</w:t>
      </w:r>
    </w:p>
    <w:p>
      <w:pPr>
        <w:pStyle w:val="Compact"/>
        <w:numPr>
          <w:ilvl w:val="0"/>
          <w:numId w:val="1003"/>
        </w:numPr>
      </w:pPr>
      <w:r>
        <w:t xml:space="preserve">Fintech and financial services</w:t>
      </w:r>
    </w:p>
    <w:p>
      <w:pPr>
        <w:pStyle w:val="Compact"/>
        <w:numPr>
          <w:ilvl w:val="0"/>
          <w:numId w:val="1003"/>
        </w:numPr>
      </w:pPr>
      <w:r>
        <w:t xml:space="preserve">Healthcare and life sciences</w:t>
      </w:r>
    </w:p>
    <w:p>
      <w:pPr>
        <w:pStyle w:val="Compact"/>
        <w:numPr>
          <w:ilvl w:val="0"/>
          <w:numId w:val="1003"/>
        </w:numPr>
      </w:pPr>
      <w:r>
        <w:t xml:space="preserve">Crypto and blockchain (up to 15% of capital)</w:t>
      </w:r>
    </w:p>
    <w:bookmarkEnd w:id="16"/>
    <w:bookmarkStart w:id="17" w:name="investment-parameters"/>
    <w:p>
      <w:pPr>
        <w:pStyle w:val="Heading3"/>
      </w:pPr>
      <w:r>
        <w:t xml:space="preserve">2.4 Investment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Limit</w:t>
            </w:r>
          </w:p>
        </w:tc>
      </w:tr>
      <w:tr>
        <w:tc>
          <w:tcPr/>
          <w:p>
            <w:pPr>
              <w:pStyle w:val="Compact"/>
            </w:pPr>
            <w:r>
              <w:t xml:space="preserve">Initial investment size</w:t>
            </w:r>
          </w:p>
        </w:tc>
        <w:tc>
          <w:tcPr/>
          <w:p>
            <w:pPr>
              <w:pStyle w:val="Compact"/>
            </w:pPr>
            <w:r>
              <w:t xml:space="preserve">$500,000 - $50,000,000</w:t>
            </w:r>
          </w:p>
        </w:tc>
      </w:tr>
      <w:tr>
        <w:tc>
          <w:tcPr/>
          <w:p>
            <w:pPr>
              <w:pStyle w:val="Compact"/>
            </w:pPr>
            <w:r>
              <w:t xml:space="preserve">Maximum single investment</w:t>
            </w:r>
          </w:p>
        </w:tc>
        <w:tc>
          <w:tcPr/>
          <w:p>
            <w:pPr>
              <w:pStyle w:val="Compact"/>
            </w:pPr>
            <w:r>
              <w:t xml:space="preserve">15% of committed capital</w:t>
            </w:r>
          </w:p>
        </w:tc>
      </w:tr>
      <w:tr>
        <w:tc>
          <w:tcPr/>
          <w:p>
            <w:pPr>
              <w:pStyle w:val="Compact"/>
            </w:pPr>
            <w:r>
              <w:t xml:space="preserve">Maximum sector concentration</w:t>
            </w:r>
          </w:p>
        </w:tc>
        <w:tc>
          <w:tcPr/>
          <w:p>
            <w:pPr>
              <w:pStyle w:val="Compact"/>
            </w:pPr>
            <w:r>
              <w:t xml:space="preserve">40% of committed capital</w:t>
            </w:r>
          </w:p>
        </w:tc>
      </w:tr>
      <w:tr>
        <w:tc>
          <w:tcPr/>
          <w:p>
            <w:pPr>
              <w:pStyle w:val="Compact"/>
            </w:pPr>
            <w:r>
              <w:t xml:space="preserve">Follow-on reserves</w:t>
            </w:r>
          </w:p>
        </w:tc>
        <w:tc>
          <w:tcPr/>
          <w:p>
            <w:pPr>
              <w:pStyle w:val="Compact"/>
            </w:pPr>
            <w:r>
              <w:t xml:space="preserve">Minimum 50% of committed capital</w:t>
            </w:r>
          </w:p>
        </w:tc>
      </w:tr>
      <w:tr>
        <w:tc>
          <w:tcPr/>
          <w:p>
            <w:pPr>
              <w:pStyle w:val="Compact"/>
            </w:pPr>
            <w:r>
              <w:t xml:space="preserve">Public securities</w:t>
            </w:r>
          </w:p>
        </w:tc>
        <w:tc>
          <w:tcPr/>
          <w:p>
            <w:pPr>
              <w:pStyle w:val="Compact"/>
            </w:pPr>
            <w:r>
              <w:t xml:space="preserve">Maximum 20% of NAV</w:t>
            </w:r>
          </w:p>
        </w:tc>
      </w:tr>
    </w:tbl>
    <w:bookmarkEnd w:id="17"/>
    <w:bookmarkStart w:id="18" w:name="prohibited-investments"/>
    <w:p>
      <w:pPr>
        <w:pStyle w:val="Heading3"/>
      </w:pPr>
      <w:r>
        <w:t xml:space="preserve">2.5 Prohibited Investments</w:t>
      </w:r>
    </w:p>
    <w:p>
      <w:pPr>
        <w:pStyle w:val="FirstParagraph"/>
      </w:pPr>
      <w:r>
        <w:t xml:space="preserve">The Fund shall not invest in:</w:t>
      </w:r>
      <w:r>
        <w:t xml:space="preserve"> </w:t>
      </w:r>
      <w:r>
        <w:t xml:space="preserve">- Tobacco or weapons manufacturing</w:t>
      </w:r>
      <w:r>
        <w:t xml:space="preserve"> </w:t>
      </w:r>
      <w:r>
        <w:t xml:space="preserve">- Gambling operations</w:t>
      </w:r>
      <w:r>
        <w:t xml:space="preserve"> </w:t>
      </w:r>
      <w:r>
        <w:t xml:space="preserve">- Real estate development</w:t>
      </w:r>
      <w:r>
        <w:t xml:space="preserve"> </w:t>
      </w:r>
      <w:r>
        <w:t xml:space="preserve">- Oil and gas exploration</w:t>
      </w:r>
      <w:r>
        <w:t xml:space="preserve"> </w:t>
      </w:r>
      <w:r>
        <w:t xml:space="preserve">- Private prisons</w:t>
      </w:r>
    </w:p>
    <w:p>
      <w:r>
        <w:pict>
          <v:rect style="width:0;height:1.5pt" o:hralign="center" o:hrstd="t" o:hr="t"/>
        </w:pict>
      </w:r>
    </w:p>
    <w:bookmarkEnd w:id="18"/>
    <w:bookmarkEnd w:id="19"/>
    <w:bookmarkStart w:id="24" w:name="article-iii---management-fee"/>
    <w:p>
      <w:pPr>
        <w:pStyle w:val="Heading2"/>
      </w:pPr>
      <w:r>
        <w:t xml:space="preserve">ARTICLE III - MANAGEMENT FEE</w:t>
      </w:r>
    </w:p>
    <w:bookmarkStart w:id="20" w:name="management-fee"/>
    <w:p>
      <w:pPr>
        <w:pStyle w:val="Heading3"/>
      </w:pPr>
      <w:r>
        <w:t xml:space="preserve">3.1 Management Fee</w:t>
      </w:r>
    </w:p>
    <w:p>
      <w:pPr>
        <w:pStyle w:val="FirstParagraph"/>
      </w:pPr>
      <w:r>
        <w:t xml:space="preserve">During the Investment Period, the Fund shall pay the Investment Manager an annual management fee equal to</w:t>
      </w:r>
      <w:r>
        <w:t xml:space="preserve"> </w:t>
      </w:r>
      <w:r>
        <w:rPr>
          <w:b/>
          <w:bCs/>
        </w:rPr>
        <w:t xml:space="preserve">2.0%</w:t>
      </w:r>
      <w:r>
        <w:t xml:space="preserve"> </w:t>
      </w:r>
      <w:r>
        <w:t xml:space="preserve">of aggregate Capital Commitments.</w:t>
      </w:r>
    </w:p>
    <w:p>
      <w:pPr>
        <w:pStyle w:val="BodyText"/>
      </w:pPr>
      <w:r>
        <w:t xml:space="preserve">Following the Investment Period, the management fee shall be reduced to</w:t>
      </w:r>
      <w:r>
        <w:t xml:space="preserve"> </w:t>
      </w:r>
      <w:r>
        <w:rPr>
          <w:b/>
          <w:bCs/>
        </w:rPr>
        <w:t xml:space="preserve">2.0%</w:t>
      </w:r>
      <w:r>
        <w:t xml:space="preserve"> </w:t>
      </w:r>
      <w:r>
        <w:t xml:space="preserve">of invested capital (at cost).</w:t>
      </w:r>
    </w:p>
    <w:bookmarkEnd w:id="20"/>
    <w:bookmarkStart w:id="21" w:name="payment"/>
    <w:p>
      <w:pPr>
        <w:pStyle w:val="Heading3"/>
      </w:pPr>
      <w:r>
        <w:t xml:space="preserve">3.2 Payment</w:t>
      </w:r>
    </w:p>
    <w:p>
      <w:pPr>
        <w:pStyle w:val="FirstParagraph"/>
      </w:pPr>
      <w:r>
        <w:t xml:space="preserve">The management fee shall be payable quarterly in advance, within 10 business days of the beginning of each calendar quarter.</w:t>
      </w:r>
    </w:p>
    <w:bookmarkEnd w:id="21"/>
    <w:bookmarkStart w:id="22" w:name="organizational-fee-offset"/>
    <w:p>
      <w:pPr>
        <w:pStyle w:val="Heading3"/>
      </w:pPr>
      <w:r>
        <w:t xml:space="preserve">3.3 Organizational Fee Offset</w:t>
      </w:r>
    </w:p>
    <w:p>
      <w:pPr>
        <w:pStyle w:val="FirstParagraph"/>
      </w:pPr>
      <w:r>
        <w:t xml:space="preserve">The Investment Manager shall offset against management fees any organizational expenses exceeding $1,000,000.</w:t>
      </w:r>
    </w:p>
    <w:bookmarkEnd w:id="22"/>
    <w:bookmarkStart w:id="23" w:name="portfolio-company-fee-offset"/>
    <w:p>
      <w:pPr>
        <w:pStyle w:val="Heading3"/>
      </w:pPr>
      <w:r>
        <w:t xml:space="preserve">3.4 Portfolio Company Fee Offset</w:t>
      </w:r>
    </w:p>
    <w:p>
      <w:pPr>
        <w:pStyle w:val="FirstParagraph"/>
      </w:pPr>
      <w:r>
        <w:t xml:space="preserve">The Investment Manager shall offset against management fees</w:t>
      </w:r>
      <w:r>
        <w:t xml:space="preserve"> </w:t>
      </w:r>
      <w:r>
        <w:rPr>
          <w:b/>
          <w:bCs/>
        </w:rPr>
        <w:t xml:space="preserve">100%</w:t>
      </w:r>
      <w:r>
        <w:t xml:space="preserve"> </w:t>
      </w:r>
      <w:r>
        <w:t xml:space="preserve">of any fees received from portfolio companies, including:</w:t>
      </w:r>
      <w:r>
        <w:t xml:space="preserve"> </w:t>
      </w:r>
      <w:r>
        <w:t xml:space="preserve">- Director fees</w:t>
      </w:r>
      <w:r>
        <w:t xml:space="preserve"> </w:t>
      </w:r>
      <w:r>
        <w:t xml:space="preserve">- Consulting fees</w:t>
      </w:r>
      <w:r>
        <w:t xml:space="preserve"> </w:t>
      </w:r>
      <w:r>
        <w:t xml:space="preserve">- Transaction fees</w:t>
      </w:r>
      <w:r>
        <w:t xml:space="preserve"> </w:t>
      </w:r>
      <w:r>
        <w:t xml:space="preserve">- Monitoring fees</w:t>
      </w:r>
    </w:p>
    <w:p>
      <w:r>
        <w:pict>
          <v:rect style="width:0;height:1.5pt" o:hralign="center" o:hrstd="t" o:hr="t"/>
        </w:pict>
      </w:r>
    </w:p>
    <w:bookmarkEnd w:id="23"/>
    <w:bookmarkEnd w:id="24"/>
    <w:bookmarkStart w:id="29" w:name="article-iv---carried-interest"/>
    <w:p>
      <w:pPr>
        <w:pStyle w:val="Heading2"/>
      </w:pPr>
      <w:r>
        <w:t xml:space="preserve">ARTICLE IV - CARRIED INTEREST</w:t>
      </w:r>
    </w:p>
    <w:bookmarkStart w:id="25" w:name="carried-interest"/>
    <w:p>
      <w:pPr>
        <w:pStyle w:val="Heading3"/>
      </w:pPr>
      <w:r>
        <w:t xml:space="preserve">4.1 Carried Interest</w:t>
      </w:r>
    </w:p>
    <w:p>
      <w:pPr>
        <w:pStyle w:val="FirstParagraph"/>
      </w:pPr>
      <w:r>
        <w:t xml:space="preserve">The General Partner (and through it, the Investment Manager’s principals) shall be entitled to receive carried interest equal to</w:t>
      </w:r>
      <w:r>
        <w:t xml:space="preserve"> </w:t>
      </w:r>
      <w:r>
        <w:rPr>
          <w:b/>
          <w:bCs/>
        </w:rPr>
        <w:t xml:space="preserve">20%</w:t>
      </w:r>
      <w:r>
        <w:t xml:space="preserve"> </w:t>
      </w:r>
      <w:r>
        <w:t xml:space="preserve">of net profits, subject to the waterfall distribution provisions of the Limited Partnership Agreement.</w:t>
      </w:r>
    </w:p>
    <w:bookmarkEnd w:id="25"/>
    <w:bookmarkStart w:id="26" w:name="preferred-return"/>
    <w:p>
      <w:pPr>
        <w:pStyle w:val="Heading3"/>
      </w:pPr>
      <w:r>
        <w:t xml:space="preserve">4.2 Preferred Return</w:t>
      </w:r>
    </w:p>
    <w:p>
      <w:pPr>
        <w:pStyle w:val="FirstParagraph"/>
      </w:pPr>
      <w:r>
        <w:t xml:space="preserve">The carried interest is subject to an</w:t>
      </w:r>
      <w:r>
        <w:t xml:space="preserve"> </w:t>
      </w:r>
      <w:r>
        <w:rPr>
          <w:b/>
          <w:bCs/>
        </w:rPr>
        <w:t xml:space="preserve">8%</w:t>
      </w:r>
      <w:r>
        <w:t xml:space="preserve"> </w:t>
      </w:r>
      <w:r>
        <w:t xml:space="preserve">annual preferred return to Limited Partners.</w:t>
      </w:r>
    </w:p>
    <w:bookmarkEnd w:id="26"/>
    <w:bookmarkStart w:id="27" w:name="catch-up"/>
    <w:p>
      <w:pPr>
        <w:pStyle w:val="Heading3"/>
      </w:pPr>
      <w:r>
        <w:t xml:space="preserve">4.3 Catch-Up</w:t>
      </w:r>
    </w:p>
    <w:p>
      <w:pPr>
        <w:pStyle w:val="FirstParagraph"/>
      </w:pPr>
      <w:r>
        <w:t xml:space="preserve">Following achievement of the preferred return, 100% of distributions shall be made to the General Partner until it has received 20% of cumulative profits.</w:t>
      </w:r>
    </w:p>
    <w:bookmarkEnd w:id="27"/>
    <w:bookmarkStart w:id="28" w:name="clawback"/>
    <w:p>
      <w:pPr>
        <w:pStyle w:val="Heading3"/>
      </w:pPr>
      <w:r>
        <w:t xml:space="preserve">4.4 Clawback</w:t>
      </w:r>
    </w:p>
    <w:p>
      <w:pPr>
        <w:pStyle w:val="FirstParagraph"/>
      </w:pPr>
      <w:r>
        <w:t xml:space="preserve">Upon liquidation of the Fund, the General Partner shall return excess carried interest such that cumulative carried interest does not exceed 20% of cumulative net profits.</w:t>
      </w:r>
    </w:p>
    <w:p>
      <w:r>
        <w:pict>
          <v:rect style="width:0;height:1.5pt" o:hralign="center" o:hrstd="t" o:hr="t"/>
        </w:pict>
      </w:r>
    </w:p>
    <w:bookmarkEnd w:id="28"/>
    <w:bookmarkEnd w:id="29"/>
    <w:bookmarkStart w:id="32" w:name="article-v---expenses"/>
    <w:p>
      <w:pPr>
        <w:pStyle w:val="Heading2"/>
      </w:pPr>
      <w:r>
        <w:t xml:space="preserve">ARTICLE V - EXPENSES</w:t>
      </w:r>
    </w:p>
    <w:bookmarkStart w:id="30" w:name="fund-expenses"/>
    <w:p>
      <w:pPr>
        <w:pStyle w:val="Heading3"/>
      </w:pPr>
      <w:r>
        <w:t xml:space="preserve">5.1 Fund Expenses</w:t>
      </w:r>
    </w:p>
    <w:p>
      <w:pPr>
        <w:pStyle w:val="FirstParagraph"/>
      </w:pPr>
      <w:r>
        <w:t xml:space="preserve">The Fund shall bear all expenses incurred in connection with its operations, including:</w:t>
      </w:r>
    </w:p>
    <w:p>
      <w:pPr>
        <w:pStyle w:val="Compact"/>
        <w:numPr>
          <w:ilvl w:val="0"/>
          <w:numId w:val="1004"/>
        </w:numPr>
      </w:pPr>
      <w:r>
        <w:t xml:space="preserve">Organizational and offering expenses (up to $1,500,000);</w:t>
      </w:r>
    </w:p>
    <w:p>
      <w:pPr>
        <w:pStyle w:val="Compact"/>
        <w:numPr>
          <w:ilvl w:val="0"/>
          <w:numId w:val="1004"/>
        </w:numPr>
      </w:pPr>
      <w:r>
        <w:t xml:space="preserve">Legal, accounting, and tax advisory fees;</w:t>
      </w:r>
    </w:p>
    <w:p>
      <w:pPr>
        <w:pStyle w:val="Compact"/>
        <w:numPr>
          <w:ilvl w:val="0"/>
          <w:numId w:val="1004"/>
        </w:numPr>
      </w:pPr>
      <w:r>
        <w:t xml:space="preserve">Custodian and administrator fees;</w:t>
      </w:r>
    </w:p>
    <w:p>
      <w:pPr>
        <w:pStyle w:val="Compact"/>
        <w:numPr>
          <w:ilvl w:val="0"/>
          <w:numId w:val="1004"/>
        </w:numPr>
      </w:pPr>
      <w:r>
        <w:t xml:space="preserve">Due diligence expenses;</w:t>
      </w:r>
    </w:p>
    <w:p>
      <w:pPr>
        <w:pStyle w:val="Compact"/>
        <w:numPr>
          <w:ilvl w:val="0"/>
          <w:numId w:val="1004"/>
        </w:numPr>
      </w:pPr>
      <w:r>
        <w:t xml:space="preserve">Travel expenses related to investment activities;</w:t>
      </w:r>
    </w:p>
    <w:p>
      <w:pPr>
        <w:pStyle w:val="Compact"/>
        <w:numPr>
          <w:ilvl w:val="0"/>
          <w:numId w:val="1004"/>
        </w:numPr>
      </w:pPr>
      <w:r>
        <w:t xml:space="preserve">Insurance premiums;</w:t>
      </w:r>
    </w:p>
    <w:p>
      <w:pPr>
        <w:pStyle w:val="Compact"/>
        <w:numPr>
          <w:ilvl w:val="0"/>
          <w:numId w:val="1004"/>
        </w:numPr>
      </w:pPr>
      <w:r>
        <w:t xml:space="preserve">Litigation expenses; and</w:t>
      </w:r>
    </w:p>
    <w:p>
      <w:pPr>
        <w:pStyle w:val="Compact"/>
        <w:numPr>
          <w:ilvl w:val="0"/>
          <w:numId w:val="1004"/>
        </w:numPr>
      </w:pPr>
      <w:r>
        <w:t xml:space="preserve">All other ordinary operating expenses.</w:t>
      </w:r>
    </w:p>
    <w:bookmarkEnd w:id="30"/>
    <w:bookmarkStart w:id="31" w:name="investment-manager-expenses"/>
    <w:p>
      <w:pPr>
        <w:pStyle w:val="Heading3"/>
      </w:pPr>
      <w:r>
        <w:t xml:space="preserve">5.2 Investment Manager Expenses</w:t>
      </w:r>
    </w:p>
    <w:p>
      <w:pPr>
        <w:pStyle w:val="FirstParagraph"/>
      </w:pPr>
      <w:r>
        <w:t xml:space="preserve">The Investment Manager shall bear:</w:t>
      </w:r>
    </w:p>
    <w:p>
      <w:pPr>
        <w:pStyle w:val="Compact"/>
        <w:numPr>
          <w:ilvl w:val="0"/>
          <w:numId w:val="1005"/>
        </w:numPr>
      </w:pPr>
      <w:r>
        <w:t xml:space="preserve">Its own overhead and operating expenses;</w:t>
      </w:r>
    </w:p>
    <w:p>
      <w:pPr>
        <w:pStyle w:val="Compact"/>
        <w:numPr>
          <w:ilvl w:val="0"/>
          <w:numId w:val="1005"/>
        </w:numPr>
      </w:pPr>
      <w:r>
        <w:t xml:space="preserve">Compensation of its employees;</w:t>
      </w:r>
    </w:p>
    <w:p>
      <w:pPr>
        <w:pStyle w:val="Compact"/>
        <w:numPr>
          <w:ilvl w:val="0"/>
          <w:numId w:val="1005"/>
        </w:numPr>
      </w:pPr>
      <w:r>
        <w:t xml:space="preserve">Rent and office expenses; and</w:t>
      </w:r>
    </w:p>
    <w:p>
      <w:pPr>
        <w:pStyle w:val="Compact"/>
        <w:numPr>
          <w:ilvl w:val="0"/>
          <w:numId w:val="1005"/>
        </w:numPr>
      </w:pPr>
      <w:r>
        <w:t xml:space="preserve">Non-Fund-related travel expenses.</w:t>
      </w:r>
    </w:p>
    <w:p>
      <w:r>
        <w:pict>
          <v:rect style="width:0;height:1.5pt" o:hralign="center" o:hrstd="t" o:hr="t"/>
        </w:pict>
      </w:r>
    </w:p>
    <w:bookmarkEnd w:id="31"/>
    <w:bookmarkEnd w:id="32"/>
    <w:bookmarkStart w:id="36" w:name="X5951cb77b83b9b179f476df08d70ad5004bb7a3"/>
    <w:p>
      <w:pPr>
        <w:pStyle w:val="Heading2"/>
      </w:pPr>
      <w:r>
        <w:t xml:space="preserve">ARTICLE VI - STANDARD OF CARE AND LIABILITY</w:t>
      </w:r>
    </w:p>
    <w:bookmarkStart w:id="33" w:name="standard-of-care"/>
    <w:p>
      <w:pPr>
        <w:pStyle w:val="Heading3"/>
      </w:pPr>
      <w:r>
        <w:t xml:space="preserve">6.1 Standard of Care</w:t>
      </w:r>
    </w:p>
    <w:p>
      <w:pPr>
        <w:pStyle w:val="FirstParagraph"/>
      </w:pPr>
      <w:r>
        <w:t xml:space="preserve">The Investment Manager shall perform its duties in good faith and with the care that an ordinarily prudent person in a like position would exercise under similar circumstances.</w:t>
      </w:r>
    </w:p>
    <w:bookmarkEnd w:id="33"/>
    <w:bookmarkStart w:id="34" w:name="exculpation"/>
    <w:p>
      <w:pPr>
        <w:pStyle w:val="Heading3"/>
      </w:pPr>
      <w:r>
        <w:t xml:space="preserve">6.2 Exculpation</w:t>
      </w:r>
    </w:p>
    <w:p>
      <w:pPr>
        <w:pStyle w:val="FirstParagraph"/>
      </w:pPr>
      <w:r>
        <w:t xml:space="preserve">The Investment Manager shall not be liable to the Fund or any Limited Partner for any act or omission taken in good faith, except for acts or omissions constituting gross negligence, willful misconduct, fraud, or criminal conduct.</w:t>
      </w:r>
    </w:p>
    <w:bookmarkEnd w:id="34"/>
    <w:bookmarkStart w:id="35" w:name="indemnification"/>
    <w:p>
      <w:pPr>
        <w:pStyle w:val="Heading3"/>
      </w:pPr>
      <w:r>
        <w:t xml:space="preserve">6.3 Indemnification</w:t>
      </w:r>
    </w:p>
    <w:p>
      <w:pPr>
        <w:pStyle w:val="FirstParagraph"/>
      </w:pPr>
      <w:r>
        <w:t xml:space="preserve">The Fund shall indemnify the Investment Manager, its affiliates, and their respective directors, officers, employees, and agents against all claims, losses, damages, and expenses arising out of their services to the Fund, except to the extent arising from gross negligence, willful misconduct, fraud, or criminal conduct.</w:t>
      </w:r>
    </w:p>
    <w:p>
      <w:r>
        <w:pict>
          <v:rect style="width:0;height:1.5pt" o:hralign="center" o:hrstd="t" o:hr="t"/>
        </w:pict>
      </w:r>
    </w:p>
    <w:bookmarkEnd w:id="35"/>
    <w:bookmarkEnd w:id="36"/>
    <w:bookmarkStart w:id="40" w:name="article-vii---co-investment"/>
    <w:p>
      <w:pPr>
        <w:pStyle w:val="Heading2"/>
      </w:pPr>
      <w:r>
        <w:t xml:space="preserve">ARTICLE VII - CO-INVESTMENT</w:t>
      </w:r>
    </w:p>
    <w:bookmarkStart w:id="37" w:name="co-investment-rights"/>
    <w:p>
      <w:pPr>
        <w:pStyle w:val="Heading3"/>
      </w:pPr>
      <w:r>
        <w:t xml:space="preserve">7.1 Co-Investment Rights</w:t>
      </w:r>
    </w:p>
    <w:p>
      <w:pPr>
        <w:pStyle w:val="FirstParagraph"/>
      </w:pPr>
      <w:r>
        <w:t xml:space="preserve">The Investment Manager may, in its discretion, offer co-investment opportunities to Limited Partners alongside the Fund.</w:t>
      </w:r>
    </w:p>
    <w:bookmarkEnd w:id="37"/>
    <w:bookmarkStart w:id="38" w:name="terms"/>
    <w:p>
      <w:pPr>
        <w:pStyle w:val="Heading3"/>
      </w:pPr>
      <w:r>
        <w:t xml:space="preserve">7.2 Terms</w:t>
      </w:r>
    </w:p>
    <w:p>
      <w:pPr>
        <w:pStyle w:val="FirstParagraph"/>
      </w:pPr>
      <w:r>
        <w:t xml:space="preserve">Co-investments shall generally be offered on a no-fee, no-carry basis, unless otherwise disclosed.</w:t>
      </w:r>
    </w:p>
    <w:bookmarkEnd w:id="38"/>
    <w:bookmarkStart w:id="39" w:name="allocation"/>
    <w:p>
      <w:pPr>
        <w:pStyle w:val="Heading3"/>
      </w:pPr>
      <w:r>
        <w:t xml:space="preserve">7.3 Allocation</w:t>
      </w:r>
    </w:p>
    <w:p>
      <w:pPr>
        <w:pStyle w:val="FirstParagraph"/>
      </w:pPr>
      <w:r>
        <w:t xml:space="preserve">The Investment Manager shall allocate co-investment opportunities in its discretion, taking into account:</w:t>
      </w:r>
      <w:r>
        <w:t xml:space="preserve"> </w:t>
      </w:r>
      <w:r>
        <w:t xml:space="preserve">- Limited Partner expressed interest</w:t>
      </w:r>
      <w:r>
        <w:t xml:space="preserve"> </w:t>
      </w:r>
      <w:r>
        <w:t xml:space="preserve">- Historical participation</w:t>
      </w:r>
      <w:r>
        <w:t xml:space="preserve"> </w:t>
      </w:r>
      <w:r>
        <w:t xml:space="preserve">- Operational considerations</w:t>
      </w:r>
      <w:r>
        <w:t xml:space="preserve"> </w:t>
      </w:r>
      <w:r>
        <w:t xml:space="preserve">- Fund investment strategy</w:t>
      </w:r>
    </w:p>
    <w:p>
      <w:r>
        <w:pict>
          <v:rect style="width:0;height:1.5pt" o:hralign="center" o:hrstd="t" o:hr="t"/>
        </w:pict>
      </w:r>
    </w:p>
    <w:bookmarkEnd w:id="39"/>
    <w:bookmarkEnd w:id="40"/>
    <w:bookmarkStart w:id="44" w:name="article-viii---reporting"/>
    <w:p>
      <w:pPr>
        <w:pStyle w:val="Heading2"/>
      </w:pPr>
      <w:r>
        <w:t xml:space="preserve">ARTICLE VIII - REPORTING</w:t>
      </w:r>
    </w:p>
    <w:bookmarkStart w:id="41" w:name="quarterly-reports"/>
    <w:p>
      <w:pPr>
        <w:pStyle w:val="Heading3"/>
      </w:pPr>
      <w:r>
        <w:t xml:space="preserve">8.1 Quarterly Reports</w:t>
      </w:r>
    </w:p>
    <w:p>
      <w:pPr>
        <w:pStyle w:val="FirstParagraph"/>
      </w:pPr>
      <w:r>
        <w:t xml:space="preserve">Within 45 days of each quarter-end, the Investment Manager shall provide:</w:t>
      </w:r>
    </w:p>
    <w:p>
      <w:pPr>
        <w:pStyle w:val="Compact"/>
        <w:numPr>
          <w:ilvl w:val="0"/>
          <w:numId w:val="1006"/>
        </w:numPr>
      </w:pPr>
      <w:r>
        <w:t xml:space="preserve">Portfolio summary and valuations;</w:t>
      </w:r>
    </w:p>
    <w:p>
      <w:pPr>
        <w:pStyle w:val="Compact"/>
        <w:numPr>
          <w:ilvl w:val="0"/>
          <w:numId w:val="1006"/>
        </w:numPr>
      </w:pPr>
      <w:r>
        <w:t xml:space="preserve">Capital account statements;</w:t>
      </w:r>
    </w:p>
    <w:p>
      <w:pPr>
        <w:pStyle w:val="Compact"/>
        <w:numPr>
          <w:ilvl w:val="0"/>
          <w:numId w:val="1006"/>
        </w:numPr>
      </w:pPr>
      <w:r>
        <w:t xml:space="preserve">Cash flow summary;</w:t>
      </w:r>
    </w:p>
    <w:p>
      <w:pPr>
        <w:pStyle w:val="Compact"/>
        <w:numPr>
          <w:ilvl w:val="0"/>
          <w:numId w:val="1006"/>
        </w:numPr>
      </w:pPr>
      <w:r>
        <w:t xml:space="preserve">Investment activity summary.</w:t>
      </w:r>
    </w:p>
    <w:bookmarkEnd w:id="41"/>
    <w:bookmarkStart w:id="42" w:name="annual-reports"/>
    <w:p>
      <w:pPr>
        <w:pStyle w:val="Heading3"/>
      </w:pPr>
      <w:r>
        <w:t xml:space="preserve">8.2 Annual Reports</w:t>
      </w:r>
    </w:p>
    <w:p>
      <w:pPr>
        <w:pStyle w:val="FirstParagraph"/>
      </w:pPr>
      <w:r>
        <w:t xml:space="preserve">Within 90 days of each fiscal year-end, the Investment Manager shall provide:</w:t>
      </w:r>
    </w:p>
    <w:p>
      <w:pPr>
        <w:pStyle w:val="Compact"/>
        <w:numPr>
          <w:ilvl w:val="0"/>
          <w:numId w:val="1007"/>
        </w:numPr>
      </w:pPr>
      <w:r>
        <w:t xml:space="preserve">Audited financial statements;</w:t>
      </w:r>
    </w:p>
    <w:p>
      <w:pPr>
        <w:pStyle w:val="Compact"/>
        <w:numPr>
          <w:ilvl w:val="0"/>
          <w:numId w:val="1007"/>
        </w:numPr>
      </w:pPr>
      <w:r>
        <w:t xml:space="preserve">Annual letter to investors;</w:t>
      </w:r>
    </w:p>
    <w:p>
      <w:pPr>
        <w:pStyle w:val="Compact"/>
        <w:numPr>
          <w:ilvl w:val="0"/>
          <w:numId w:val="1007"/>
        </w:numPr>
      </w:pPr>
      <w:r>
        <w:t xml:space="preserve">Schedule K-1 for tax purposes.</w:t>
      </w:r>
    </w:p>
    <w:bookmarkEnd w:id="42"/>
    <w:bookmarkStart w:id="43" w:name="ad-hoc-reporting"/>
    <w:p>
      <w:pPr>
        <w:pStyle w:val="Heading3"/>
      </w:pPr>
      <w:r>
        <w:t xml:space="preserve">8.3 Ad Hoc Reporting</w:t>
      </w:r>
    </w:p>
    <w:p>
      <w:pPr>
        <w:pStyle w:val="FirstParagraph"/>
      </w:pPr>
      <w:r>
        <w:t xml:space="preserve">The Investment Manager shall provide such additional reports as reasonably requested by Limited Partners.</w:t>
      </w:r>
    </w:p>
    <w:p>
      <w:r>
        <w:pict>
          <v:rect style="width:0;height:1.5pt" o:hralign="center" o:hrstd="t" o:hr="t"/>
        </w:pict>
      </w:r>
    </w:p>
    <w:bookmarkEnd w:id="43"/>
    <w:bookmarkEnd w:id="44"/>
    <w:bookmarkStart w:id="48" w:name="article-ix---term-and-termination"/>
    <w:p>
      <w:pPr>
        <w:pStyle w:val="Heading2"/>
      </w:pPr>
      <w:r>
        <w:t xml:space="preserve">ARTICLE IX - TERM AND TERMINATION</w:t>
      </w:r>
    </w:p>
    <w:bookmarkStart w:id="45" w:name="term"/>
    <w:p>
      <w:pPr>
        <w:pStyle w:val="Heading3"/>
      </w:pPr>
      <w:r>
        <w:t xml:space="preserve">9.1 Term</w:t>
      </w:r>
    </w:p>
    <w:p>
      <w:pPr>
        <w:pStyle w:val="FirstParagraph"/>
      </w:pPr>
      <w:r>
        <w:t xml:space="preserve">This Agreement shall continue until the earlier of:</w:t>
      </w:r>
    </w:p>
    <w:p>
      <w:pPr>
        <w:pStyle w:val="Compact"/>
        <w:numPr>
          <w:ilvl w:val="0"/>
          <w:numId w:val="1008"/>
        </w:numPr>
      </w:pPr>
      <w:r>
        <w:t xml:space="preserve">Dissolution of the Fund;</w:t>
      </w:r>
    </w:p>
    <w:p>
      <w:pPr>
        <w:pStyle w:val="Compact"/>
        <w:numPr>
          <w:ilvl w:val="0"/>
          <w:numId w:val="1008"/>
        </w:numPr>
      </w:pPr>
      <w:r>
        <w:t xml:space="preserve">Termination for Cause; or</w:t>
      </w:r>
    </w:p>
    <w:p>
      <w:pPr>
        <w:pStyle w:val="Compact"/>
        <w:numPr>
          <w:ilvl w:val="0"/>
          <w:numId w:val="1008"/>
        </w:numPr>
      </w:pPr>
      <w:r>
        <w:t xml:space="preserve">Mutual written agreement of the parties.</w:t>
      </w:r>
    </w:p>
    <w:bookmarkEnd w:id="45"/>
    <w:bookmarkStart w:id="46" w:name="termination-for-cause"/>
    <w:p>
      <w:pPr>
        <w:pStyle w:val="Heading3"/>
      </w:pPr>
      <w:r>
        <w:t xml:space="preserve">9.2 Termination for Cause</w:t>
      </w:r>
    </w:p>
    <w:p>
      <w:pPr>
        <w:pStyle w:val="FirstParagraph"/>
      </w:pPr>
      <w:r>
        <w:t xml:space="preserve">This Agreement may be terminated by the Fund upon written notice if the Investment Manager:</w:t>
      </w:r>
    </w:p>
    <w:p>
      <w:pPr>
        <w:pStyle w:val="Compact"/>
        <w:numPr>
          <w:ilvl w:val="0"/>
          <w:numId w:val="1009"/>
        </w:numPr>
      </w:pPr>
      <w:r>
        <w:t xml:space="preserve">Commits fraud, gross negligence, or willful misconduct;</w:t>
      </w:r>
    </w:p>
    <w:p>
      <w:pPr>
        <w:pStyle w:val="Compact"/>
        <w:numPr>
          <w:ilvl w:val="0"/>
          <w:numId w:val="1009"/>
        </w:numPr>
      </w:pPr>
      <w:r>
        <w:t xml:space="preserve">Is convicted of a felony;</w:t>
      </w:r>
    </w:p>
    <w:p>
      <w:pPr>
        <w:pStyle w:val="Compact"/>
        <w:numPr>
          <w:ilvl w:val="0"/>
          <w:numId w:val="1009"/>
        </w:numPr>
      </w:pPr>
      <w:r>
        <w:t xml:space="preserve">Materially breaches this Agreement and fails to cure within 30 days; or</w:t>
      </w:r>
    </w:p>
    <w:p>
      <w:pPr>
        <w:pStyle w:val="Compact"/>
        <w:numPr>
          <w:ilvl w:val="0"/>
          <w:numId w:val="1009"/>
        </w:numPr>
      </w:pPr>
      <w:r>
        <w:t xml:space="preserve">Becomes bankrupt or insolvent.</w:t>
      </w:r>
    </w:p>
    <w:bookmarkEnd w:id="46"/>
    <w:bookmarkStart w:id="47" w:name="effects-of-termination"/>
    <w:p>
      <w:pPr>
        <w:pStyle w:val="Heading3"/>
      </w:pPr>
      <w:r>
        <w:t xml:space="preserve">9.3 Effects of Termination</w:t>
      </w:r>
    </w:p>
    <w:p>
      <w:pPr>
        <w:pStyle w:val="FirstParagraph"/>
      </w:pPr>
      <w:r>
        <w:t xml:space="preserve">Upon termination, the Investment Manager shall:</w:t>
      </w:r>
      <w:r>
        <w:t xml:space="preserve"> </w:t>
      </w:r>
      <w:r>
        <w:t xml:space="preserve">(a) Cooperate in orderly transition of management;</w:t>
      </w:r>
      <w:r>
        <w:t xml:space="preserve"> </w:t>
      </w:r>
      <w:r>
        <w:t xml:space="preserve">(b) Deliver all books and records;</w:t>
      </w:r>
      <w:r>
        <w:t xml:space="preserve"> </w:t>
      </w:r>
      <w:r>
        <w:t xml:space="preserve">(c) Be entitled to fees earned through termination date.</w:t>
      </w:r>
    </w:p>
    <w:p>
      <w:r>
        <w:pict>
          <v:rect style="width:0;height:1.5pt" o:hralign="center" o:hrstd="t" o:hr="t"/>
        </w:pict>
      </w:r>
    </w:p>
    <w:bookmarkEnd w:id="47"/>
    <w:bookmarkEnd w:id="48"/>
    <w:bookmarkStart w:id="54" w:name="article-x---miscellaneous"/>
    <w:p>
      <w:pPr>
        <w:pStyle w:val="Heading2"/>
      </w:pPr>
      <w:r>
        <w:t xml:space="preserve">ARTICLE X - MISCELLANEOUS</w:t>
      </w:r>
    </w:p>
    <w:bookmarkStart w:id="49" w:name="governing-law"/>
    <w:p>
      <w:pPr>
        <w:pStyle w:val="Heading3"/>
      </w:pPr>
      <w:r>
        <w:t xml:space="preserve">10.1 Governing Law</w:t>
      </w:r>
    </w:p>
    <w:p>
      <w:pPr>
        <w:pStyle w:val="FirstParagraph"/>
      </w:pPr>
      <w:r>
        <w:t xml:space="preserve">This Agreement shall be governed by the laws of the State of Delaware.</w:t>
      </w:r>
    </w:p>
    <w:bookmarkEnd w:id="49"/>
    <w:bookmarkStart w:id="50" w:name="amendments"/>
    <w:p>
      <w:pPr>
        <w:pStyle w:val="Heading3"/>
      </w:pPr>
      <w:r>
        <w:t xml:space="preserve">10.2 Amendments</w:t>
      </w:r>
    </w:p>
    <w:p>
      <w:pPr>
        <w:pStyle w:val="FirstParagraph"/>
      </w:pPr>
      <w:r>
        <w:t xml:space="preserve">This Agreement may be amended only by written agreement of all parties.</w:t>
      </w:r>
    </w:p>
    <w:bookmarkEnd w:id="50"/>
    <w:bookmarkStart w:id="51" w:name="assignment"/>
    <w:p>
      <w:pPr>
        <w:pStyle w:val="Heading3"/>
      </w:pPr>
      <w:r>
        <w:t xml:space="preserve">10.3 Assignment</w:t>
      </w:r>
    </w:p>
    <w:p>
      <w:pPr>
        <w:pStyle w:val="FirstParagraph"/>
      </w:pPr>
      <w:r>
        <w:t xml:space="preserve">This Agreement may not be assigned without the consent of all parties.</w:t>
      </w:r>
    </w:p>
    <w:bookmarkEnd w:id="51"/>
    <w:bookmarkStart w:id="52" w:name="entire-agreement"/>
    <w:p>
      <w:pPr>
        <w:pStyle w:val="Heading3"/>
      </w:pPr>
      <w:r>
        <w:t xml:space="preserve">10.4 Entire Agreement</w:t>
      </w:r>
    </w:p>
    <w:p>
      <w:pPr>
        <w:pStyle w:val="FirstParagraph"/>
      </w:pPr>
      <w:r>
        <w:t xml:space="preserve">This Agreement constitutes the entire agreement among the parties with respect to the subject matter hereof.</w:t>
      </w:r>
    </w:p>
    <w:bookmarkEnd w:id="52"/>
    <w:bookmarkStart w:id="53" w:name="counterparts"/>
    <w:p>
      <w:pPr>
        <w:pStyle w:val="Heading3"/>
      </w:pPr>
      <w:r>
        <w:t xml:space="preserve">10.5 Counterparts</w:t>
      </w:r>
    </w:p>
    <w:p>
      <w:pPr>
        <w:pStyle w:val="FirstParagraph"/>
      </w:pPr>
      <w:r>
        <w:t xml:space="preserve">This Agreement may be executed in counterparts.</w:t>
      </w:r>
    </w:p>
    <w:p>
      <w:r>
        <w:pict>
          <v:rect style="width:0;height:1.5pt" o:hralign="center" o:hrstd="t" o:hr="t"/>
        </w:pict>
      </w:r>
    </w:p>
    <w:bookmarkEnd w:id="53"/>
    <w:bookmarkEnd w:id="54"/>
    <w:bookmarkStart w:id="55" w:name="signatures"/>
    <w:p>
      <w:pPr>
        <w:pStyle w:val="Heading2"/>
      </w:pPr>
      <w:r>
        <w:t xml:space="preserve">SIGNATURES</w:t>
      </w:r>
    </w:p>
    <w:p>
      <w:pPr>
        <w:pStyle w:val="FirstParagraph"/>
      </w:pPr>
      <w:r>
        <w:rPr>
          <w:b/>
          <w:bCs/>
        </w:rPr>
        <w:t xml:space="preserve">IN WITNESS WHEREOF</w:t>
      </w:r>
      <w:r>
        <w:t xml:space="preserve">, the parties have executed this Agreement as of the date first above written.</w:t>
      </w:r>
    </w:p>
    <w:p>
      <w:pPr>
        <w:pStyle w:val="BodyText"/>
      </w:pPr>
      <w:r>
        <w:rPr>
          <w:b/>
          <w:bCs/>
        </w:rPr>
        <w:t xml:space="preserve">FUND:</w:t>
      </w:r>
    </w:p>
    <w:p>
      <w:pPr>
        <w:pStyle w:val="BodyText"/>
      </w:pPr>
      <w:r>
        <w:t xml:space="preserve">SEQUOIA CAPITAL FUND XVIII, LP</w:t>
      </w:r>
      <w:r>
        <w:t xml:space="preserve"> </w:t>
      </w:r>
      <w:r>
        <w:t xml:space="preserve">By: SC XVIII Management, LLC, its General Partner</w:t>
      </w:r>
    </w:p>
    <w:p>
      <w:pPr>
        <w:pStyle w:val="BodyText"/>
      </w:pPr>
      <w:r>
        <w:br/>
      </w:r>
      <w:r>
        <w:br/>
      </w:r>
      <w:r>
        <w:t xml:space="preserve">By: _________________________________</w:t>
      </w:r>
      <w:r>
        <w:t xml:space="preserve"> </w:t>
      </w:r>
      <w:r>
        <w:t xml:space="preserve">Name: Roelof Botha</w:t>
      </w:r>
      <w:r>
        <w:t xml:space="preserve"> </w:t>
      </w:r>
      <w:r>
        <w:t xml:space="preserve">Title: Managing Partner</w:t>
      </w:r>
    </w:p>
    <w:p>
      <w:pPr>
        <w:pStyle w:val="BodyText"/>
      </w:pPr>
      <w:r>
        <w:t xml:space="preserve">Date: September 15, 2024</w:t>
      </w:r>
    </w:p>
    <w:p>
      <w:r>
        <w:pict>
          <v:rect style="width:0;height:1.5pt" o:hralign="center" o:hrstd="t" o:hr="t"/>
        </w:pict>
      </w:r>
    </w:p>
    <w:p>
      <w:pPr>
        <w:pStyle w:val="FirstParagraph"/>
      </w:pPr>
      <w:r>
        <w:rPr>
          <w:b/>
          <w:bCs/>
        </w:rPr>
        <w:t xml:space="preserve">GENERAL PARTNER:</w:t>
      </w:r>
    </w:p>
    <w:p>
      <w:pPr>
        <w:pStyle w:val="BodyText"/>
      </w:pPr>
      <w:r>
        <w:t xml:space="preserve">SC XVIII MANAGEMENT, LLC</w:t>
      </w:r>
    </w:p>
    <w:p>
      <w:pPr>
        <w:pStyle w:val="BodyText"/>
      </w:pPr>
      <w:r>
        <w:br/>
      </w:r>
      <w:r>
        <w:br/>
      </w:r>
      <w:r>
        <w:t xml:space="preserve">By: _________________________________</w:t>
      </w:r>
      <w:r>
        <w:t xml:space="preserve"> </w:t>
      </w:r>
      <w:r>
        <w:t xml:space="preserve">Name: Roelof Botha</w:t>
      </w:r>
      <w:r>
        <w:t xml:space="preserve"> </w:t>
      </w:r>
      <w:r>
        <w:t xml:space="preserve">Title: Managing Partner</w:t>
      </w:r>
    </w:p>
    <w:p>
      <w:pPr>
        <w:pStyle w:val="BodyText"/>
      </w:pPr>
      <w:r>
        <w:t xml:space="preserve">Date: September 15, 2024</w:t>
      </w:r>
    </w:p>
    <w:p>
      <w:r>
        <w:pict>
          <v:rect style="width:0;height:1.5pt" o:hralign="center" o:hrstd="t" o:hr="t"/>
        </w:pict>
      </w:r>
    </w:p>
    <w:p>
      <w:pPr>
        <w:pStyle w:val="FirstParagraph"/>
      </w:pPr>
      <w:r>
        <w:rPr>
          <w:b/>
          <w:bCs/>
        </w:rPr>
        <w:t xml:space="preserve">INVESTMENT MANAGER:</w:t>
      </w:r>
    </w:p>
    <w:p>
      <w:pPr>
        <w:pStyle w:val="BodyText"/>
      </w:pPr>
      <w:r>
        <w:t xml:space="preserve">SEQUOIA CAPITAL OPERATIONS, LLC</w:t>
      </w:r>
    </w:p>
    <w:p>
      <w:pPr>
        <w:pStyle w:val="BodyText"/>
      </w:pPr>
      <w:r>
        <w:br/>
      </w:r>
      <w:r>
        <w:br/>
      </w:r>
      <w:r>
        <w:t xml:space="preserve">By: _________________________________</w:t>
      </w:r>
      <w:r>
        <w:t xml:space="preserve"> </w:t>
      </w:r>
      <w:r>
        <w:t xml:space="preserve">Name: Roelof Botha</w:t>
      </w:r>
      <w:r>
        <w:t xml:space="preserve"> </w:t>
      </w:r>
      <w:r>
        <w:t xml:space="preserve">Title: Managing Partner</w:t>
      </w:r>
    </w:p>
    <w:p>
      <w:pPr>
        <w:pStyle w:val="BodyText"/>
      </w:pPr>
      <w:r>
        <w:t xml:space="preserve">Date: September 15, 2024</w:t>
      </w:r>
    </w:p>
    <w:p>
      <w:r>
        <w:pict>
          <v:rect style="width:0;height:1.5pt" o:hralign="center" o:hrstd="t" o:hr="t"/>
        </w:pict>
      </w:r>
    </w:p>
    <w:bookmarkEnd w:id="55"/>
    <w:bookmarkStart w:id="56" w:name="schedule-a---investment-guidelines"/>
    <w:p>
      <w:pPr>
        <w:pStyle w:val="Heading2"/>
      </w:pPr>
      <w:r>
        <w:t xml:space="preserve">SCHEDULE A - INVESTMENT GUIDELINES</w:t>
      </w:r>
    </w:p>
    <w:p>
      <w:pPr>
        <w:pStyle w:val="FirstParagraph"/>
      </w:pPr>
      <w:r>
        <w:rPr>
          <w:i/>
          <w:iCs/>
        </w:rPr>
        <w:t xml:space="preserve">[Investment Guidelines as set forth in Article II]</w:t>
      </w:r>
    </w:p>
    <w:p>
      <w:r>
        <w:pict>
          <v:rect style="width:0;height:1.5pt" o:hralign="center" o:hrstd="t" o:hr="t"/>
        </w:pict>
      </w:r>
    </w:p>
    <w:p>
      <w:pPr>
        <w:pStyle w:val="FirstParagraph"/>
      </w:pPr>
      <w:r>
        <w:rPr>
          <w:i/>
          <w:iCs/>
        </w:rPr>
        <w:t xml:space="preserve">Document ID: IMA-SCXVIII-2024-0915-001</w:t>
      </w:r>
      <w:r>
        <w:t xml:space="preserve"> </w:t>
      </w:r>
      <w:r>
        <w:rPr>
          <w:i/>
          <w:iCs/>
        </w:rPr>
        <w:t xml:space="preserve">Version: 1.0</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Management Agreement</dc:title>
  <dc:creator/>
  <cp:keywords/>
  <dcterms:created xsi:type="dcterms:W3CDTF">2026-01-08T18:03:08Z</dcterms:created>
  <dcterms:modified xsi:type="dcterms:W3CDTF">2026-01-08T18:03:08Z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15, 2024</vt:lpwstr>
  </property>
  <property fmtid="{D5CDD505-2E9C-101B-9397-08002B2CF9AE}" pid="3" name="subtitle">
    <vt:lpwstr>Sequoia Capital Fund XVIII, LP</vt:lpwstr>
  </property>
</Properties>
</file>