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35434" w14:textId="77777777" w:rsidR="008A3EFC" w:rsidRPr="008A3EFC" w:rsidRDefault="008A3EFC" w:rsidP="008A3EFC">
      <w:pPr>
        <w:pStyle w:val="Title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Clinical Study Report: Phase 3 Registrational Trial of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</w:p>
    <w:p w14:paraId="22D48C7F" w14:textId="77777777" w:rsidR="008A3EFC" w:rsidRPr="008A3EFC" w:rsidRDefault="008A3EFC" w:rsidP="008A3EFC">
      <w:pPr>
        <w:pStyle w:val="Subtitle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Submitted by </w:t>
      </w:r>
      <w:proofErr w:type="spellStart"/>
      <w:r w:rsidRPr="008A3EFC">
        <w:rPr>
          <w:rFonts w:ascii="Times New Roman" w:hAnsi="Times New Roman" w:cs="Times New Roman"/>
        </w:rPr>
        <w:t>Pharmatech</w:t>
      </w:r>
      <w:proofErr w:type="spellEnd"/>
      <w:r w:rsidRPr="008A3EFC">
        <w:rPr>
          <w:rFonts w:ascii="Times New Roman" w:hAnsi="Times New Roman" w:cs="Times New Roman"/>
        </w:rPr>
        <w:t xml:space="preserve"> Corporation to the FDA</w:t>
      </w:r>
    </w:p>
    <w:p w14:paraId="393A97CC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1. Synopsis</w:t>
      </w:r>
    </w:p>
    <w:p w14:paraId="700A0D1A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Study Title: A Phase 3, Randomized, Double-Blind, Placebo-Controlled Trial to Evaluate the Efficacy and Safety of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 xml:space="preserve"> in Patients with Advanced Non-Small Cell Lung Cancer (NSCLC)</w:t>
      </w:r>
    </w:p>
    <w:p w14:paraId="2584CFCD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Investigational Product: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</w:p>
    <w:p w14:paraId="604E431E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Indication: Advanced Non-Small Cell Lung Cancer (NSCLC)</w:t>
      </w:r>
    </w:p>
    <w:p w14:paraId="46934314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Study Phase: Phase 3</w:t>
      </w:r>
    </w:p>
    <w:p w14:paraId="6E926B99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Study Design:</w:t>
      </w:r>
    </w:p>
    <w:p w14:paraId="3E70D5BE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- Randomized, double-blind, placebo-controlled</w:t>
      </w:r>
    </w:p>
    <w:p w14:paraId="7AFB53CF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- Parallel-group design</w:t>
      </w:r>
    </w:p>
    <w:p w14:paraId="02176947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- Patients stratified by disease stage and prior therapy</w:t>
      </w:r>
    </w:p>
    <w:p w14:paraId="35BAF5D2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Objectives:</w:t>
      </w:r>
    </w:p>
    <w:p w14:paraId="58D92DBA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- Primary: To evaluate the efficacy of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 xml:space="preserve"> in improving overall survival (OS) in patients with advanced NSCLC</w:t>
      </w:r>
    </w:p>
    <w:p w14:paraId="14B4B66C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- Secondary: To evaluate the safety profile of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</w:p>
    <w:p w14:paraId="72D44A0F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Study Duration: [Placeholder for Duration]</w:t>
      </w:r>
    </w:p>
    <w:p w14:paraId="589955E1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Number of Participants: [Placeholder for Number]</w:t>
      </w:r>
    </w:p>
    <w:p w14:paraId="5B7A447B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Study Centers: Multi-center, conducted at [Placeholder for Number] locations</w:t>
      </w:r>
    </w:p>
    <w:p w14:paraId="02B21417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Primary Endpoint: Overall survival (OS)</w:t>
      </w:r>
    </w:p>
    <w:p w14:paraId="5531272D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Secondary Endpoints:</w:t>
      </w:r>
    </w:p>
    <w:p w14:paraId="0C7705A2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- Progression-free survival (PFS)</w:t>
      </w:r>
    </w:p>
    <w:p w14:paraId="5AB64539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- Objective response rate (ORR)</w:t>
      </w:r>
    </w:p>
    <w:p w14:paraId="2A70D0E8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- Quality of life (QoL)</w:t>
      </w:r>
    </w:p>
    <w:p w14:paraId="550A8B80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lastRenderedPageBreak/>
        <w:t>2. Table of Contents</w:t>
      </w:r>
    </w:p>
    <w:p w14:paraId="30FFCF8D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Synopsis</w:t>
      </w:r>
    </w:p>
    <w:p w14:paraId="08ED5EB0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2. Table of Contents</w:t>
      </w:r>
    </w:p>
    <w:p w14:paraId="705610B0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3. List of Abbreviations</w:t>
      </w:r>
    </w:p>
    <w:p w14:paraId="0C74C213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4. Ethics</w:t>
      </w:r>
    </w:p>
    <w:p w14:paraId="1CDD361E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5. Investigators and Study Administrative Structure</w:t>
      </w:r>
    </w:p>
    <w:p w14:paraId="21CE7118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6. Introduction</w:t>
      </w:r>
    </w:p>
    <w:p w14:paraId="6D7CFC75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7. Study Objectives</w:t>
      </w:r>
    </w:p>
    <w:p w14:paraId="26CCB26C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8. Study Design</w:t>
      </w:r>
    </w:p>
    <w:p w14:paraId="669227A6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9. Study Population</w:t>
      </w:r>
    </w:p>
    <w:p w14:paraId="220AD3F2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10. Study Treatment</w:t>
      </w:r>
    </w:p>
    <w:p w14:paraId="7ABD8ACD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11. Measurements and Evaluations</w:t>
      </w:r>
    </w:p>
    <w:p w14:paraId="70A1C71E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12. Statistical Methods</w:t>
      </w:r>
    </w:p>
    <w:p w14:paraId="4BCFE32D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13. Study Results</w:t>
      </w:r>
    </w:p>
    <w:p w14:paraId="7BB34BF3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14. Discussion and Overall Conclusions</w:t>
      </w:r>
    </w:p>
    <w:p w14:paraId="39EA20D7" w14:textId="77777777" w:rsidR="008A3EFC" w:rsidRPr="008A3EFC" w:rsidRDefault="008A3EFC" w:rsidP="008A3E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15. References</w:t>
      </w:r>
    </w:p>
    <w:p w14:paraId="41660059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3. List of Abbreviations</w:t>
      </w:r>
    </w:p>
    <w:p w14:paraId="17839BFD" w14:textId="77777777" w:rsidR="008A3EFC" w:rsidRPr="008A3EFC" w:rsidRDefault="008A3EFC" w:rsidP="008A3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NSCLC: Non-Small Cell Lung Cancer</w:t>
      </w:r>
    </w:p>
    <w:p w14:paraId="566F360A" w14:textId="77777777" w:rsidR="008A3EFC" w:rsidRPr="008A3EFC" w:rsidRDefault="008A3EFC" w:rsidP="008A3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OS: Overall Survival</w:t>
      </w:r>
    </w:p>
    <w:p w14:paraId="58753F21" w14:textId="77777777" w:rsidR="008A3EFC" w:rsidRPr="008A3EFC" w:rsidRDefault="008A3EFC" w:rsidP="008A3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PFS: Progression-Free Survival</w:t>
      </w:r>
    </w:p>
    <w:p w14:paraId="52CB2B4C" w14:textId="77777777" w:rsidR="008A3EFC" w:rsidRPr="008A3EFC" w:rsidRDefault="008A3EFC" w:rsidP="008A3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ORR: Objective Response Rate</w:t>
      </w:r>
    </w:p>
    <w:p w14:paraId="11F4BCAB" w14:textId="77777777" w:rsidR="008A3EFC" w:rsidRPr="008A3EFC" w:rsidRDefault="008A3EFC" w:rsidP="008A3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QoL: Quality of Life</w:t>
      </w:r>
    </w:p>
    <w:p w14:paraId="37CFE05D" w14:textId="77777777" w:rsidR="008A3EFC" w:rsidRPr="008A3EFC" w:rsidRDefault="008A3EFC" w:rsidP="008A3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FDA: Food and Drug Administration</w:t>
      </w:r>
    </w:p>
    <w:p w14:paraId="566DDE71" w14:textId="77777777" w:rsidR="008A3EFC" w:rsidRPr="008A3EFC" w:rsidRDefault="008A3EFC" w:rsidP="008A3E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ICH: International Council for </w:t>
      </w:r>
      <w:proofErr w:type="spellStart"/>
      <w:r w:rsidRPr="008A3EFC">
        <w:rPr>
          <w:rFonts w:ascii="Times New Roman" w:hAnsi="Times New Roman" w:cs="Times New Roman"/>
        </w:rPr>
        <w:t>Harmonisation</w:t>
      </w:r>
      <w:proofErr w:type="spellEnd"/>
    </w:p>
    <w:p w14:paraId="7E79585F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4. Ethics</w:t>
      </w:r>
    </w:p>
    <w:p w14:paraId="69743131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Ethical Conduct of Study: The study was conducted in accordance with the ethical principles outlined in the Declaration of Helsinki and the International Council for </w:t>
      </w:r>
      <w:proofErr w:type="spellStart"/>
      <w:r w:rsidRPr="008A3EFC">
        <w:rPr>
          <w:rFonts w:ascii="Times New Roman" w:hAnsi="Times New Roman" w:cs="Times New Roman"/>
        </w:rPr>
        <w:t>Harmonisation</w:t>
      </w:r>
      <w:proofErr w:type="spellEnd"/>
      <w:r w:rsidRPr="008A3EFC">
        <w:rPr>
          <w:rFonts w:ascii="Times New Roman" w:hAnsi="Times New Roman" w:cs="Times New Roman"/>
        </w:rPr>
        <w:t xml:space="preserve"> (ICH) Good Clinical Practice (GCP) guidelines. Written informed consent was obtained from all participants prior to their inclusion in the study.</w:t>
      </w:r>
    </w:p>
    <w:p w14:paraId="7DB9CD42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5. Investigators and Study Administrative Structure</w:t>
      </w:r>
    </w:p>
    <w:p w14:paraId="4A626E8E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Principal Investigator: Dr. [Placeholder Name], [Placeholder Institution]</w:t>
      </w:r>
    </w:p>
    <w:p w14:paraId="0C6B4C7A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Study Coordinator: [Placeholder Name], [Placeholder Institution]</w:t>
      </w:r>
    </w:p>
    <w:p w14:paraId="2EBFD29B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lastRenderedPageBreak/>
        <w:t>6. Introduction</w:t>
      </w:r>
    </w:p>
    <w:p w14:paraId="25E371B6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Background: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 xml:space="preserve"> is an investigational product developed by </w:t>
      </w:r>
      <w:proofErr w:type="spellStart"/>
      <w:r w:rsidRPr="008A3EFC">
        <w:rPr>
          <w:rFonts w:ascii="Times New Roman" w:hAnsi="Times New Roman" w:cs="Times New Roman"/>
        </w:rPr>
        <w:t>Pharmatech</w:t>
      </w:r>
      <w:proofErr w:type="spellEnd"/>
      <w:r w:rsidRPr="008A3EFC">
        <w:rPr>
          <w:rFonts w:ascii="Times New Roman" w:hAnsi="Times New Roman" w:cs="Times New Roman"/>
        </w:rPr>
        <w:t xml:space="preserve"> Corporation for the treatment of advanced NSCLC. This Phase 3 trial aims to confirm the efficacy and safety of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 xml:space="preserve"> in an expanded patient population.</w:t>
      </w:r>
    </w:p>
    <w:p w14:paraId="624D93C9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7. Study Objectives</w:t>
      </w:r>
    </w:p>
    <w:p w14:paraId="5186ED6A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Primary Objective: To evaluate the efficacy of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 xml:space="preserve"> in improving overall survival (OS) in patients with advanced NSCLC.</w:t>
      </w:r>
    </w:p>
    <w:p w14:paraId="11443E60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Secondary Objectives: To evaluate the safety profile of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>, progression-free survival (PFS), objective response rate (ORR), and quality of life (QoL).</w:t>
      </w:r>
    </w:p>
    <w:p w14:paraId="4279D0A0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8. Study Design</w:t>
      </w:r>
    </w:p>
    <w:p w14:paraId="07FF5E85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Design Overview: This is a randomized, double-blind, placebo-controlled, parallel-group trial.</w:t>
      </w:r>
    </w:p>
    <w:p w14:paraId="3D2E3019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Randomization and Blinding: Patients were randomly assigned to receive either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 xml:space="preserve"> or placebo, with blinding maintained throughout the study.</w:t>
      </w:r>
    </w:p>
    <w:p w14:paraId="6EF6467E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9. Study Population</w:t>
      </w:r>
    </w:p>
    <w:p w14:paraId="72BBD5BD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Inclusion Criteria:</w:t>
      </w:r>
    </w:p>
    <w:p w14:paraId="1AD22C64" w14:textId="77777777" w:rsidR="008A3EFC" w:rsidRPr="008A3EFC" w:rsidRDefault="008A3EFC" w:rsidP="008A3E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Adults aged 18 years and older</w:t>
      </w:r>
    </w:p>
    <w:p w14:paraId="6E03D28E" w14:textId="77777777" w:rsidR="008A3EFC" w:rsidRPr="008A3EFC" w:rsidRDefault="008A3EFC" w:rsidP="008A3E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Diagnosis of advanced NSCLC</w:t>
      </w:r>
    </w:p>
    <w:p w14:paraId="0665028D" w14:textId="77777777" w:rsidR="008A3EFC" w:rsidRPr="008A3EFC" w:rsidRDefault="008A3EFC" w:rsidP="008A3E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ECOG performance status of 0 or 1</w:t>
      </w:r>
    </w:p>
    <w:p w14:paraId="740FADED" w14:textId="77777777" w:rsidR="008A3EFC" w:rsidRPr="008A3EFC" w:rsidRDefault="008A3EFC" w:rsidP="008A3E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Measurable disease per RECIST criteria</w:t>
      </w:r>
    </w:p>
    <w:p w14:paraId="6C1A23D8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Exclusion Criteria:</w:t>
      </w:r>
    </w:p>
    <w:p w14:paraId="1C4EA9D5" w14:textId="77777777" w:rsidR="008A3EFC" w:rsidRPr="008A3EFC" w:rsidRDefault="008A3EFC" w:rsidP="008A3E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Previous treatment with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</w:p>
    <w:p w14:paraId="01C87DAA" w14:textId="77777777" w:rsidR="008A3EFC" w:rsidRPr="008A3EFC" w:rsidRDefault="008A3EFC" w:rsidP="008A3E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Uncontrolled medical conditions</w:t>
      </w:r>
    </w:p>
    <w:p w14:paraId="4867FA49" w14:textId="77777777" w:rsidR="008A3EFC" w:rsidRPr="008A3EFC" w:rsidRDefault="008A3EFC" w:rsidP="008A3E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Pregnancy or breastfeeding</w:t>
      </w:r>
    </w:p>
    <w:p w14:paraId="5B07D4C8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10. Study Treatment</w:t>
      </w:r>
    </w:p>
    <w:p w14:paraId="1BA38358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Investigational Product: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 xml:space="preserve"> administered intravenously.</w:t>
      </w:r>
    </w:p>
    <w:p w14:paraId="44F24AD6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Control Product: Placebo administered intravenously.</w:t>
      </w:r>
    </w:p>
    <w:p w14:paraId="22E1802E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lastRenderedPageBreak/>
        <w:t>11. Measurements and Evaluations</w:t>
      </w:r>
    </w:p>
    <w:p w14:paraId="4EBA4B40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Efficacy Assessments:</w:t>
      </w:r>
    </w:p>
    <w:p w14:paraId="127BC721" w14:textId="77777777" w:rsidR="008A3EFC" w:rsidRPr="008A3EFC" w:rsidRDefault="008A3EFC" w:rsidP="008A3E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Overall survival (OS)</w:t>
      </w:r>
    </w:p>
    <w:p w14:paraId="7D8B7857" w14:textId="77777777" w:rsidR="008A3EFC" w:rsidRPr="008A3EFC" w:rsidRDefault="008A3EFC" w:rsidP="008A3E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Progression-free survival (PFS)</w:t>
      </w:r>
    </w:p>
    <w:p w14:paraId="274A07D8" w14:textId="77777777" w:rsidR="008A3EFC" w:rsidRPr="008A3EFC" w:rsidRDefault="008A3EFC" w:rsidP="008A3E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Objective response rate (ORR)</w:t>
      </w:r>
    </w:p>
    <w:p w14:paraId="0F554D3D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Safety Assessments:</w:t>
      </w:r>
    </w:p>
    <w:p w14:paraId="04C718C5" w14:textId="77777777" w:rsidR="008A3EFC" w:rsidRPr="008A3EFC" w:rsidRDefault="008A3EFC" w:rsidP="008A3E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Incidence of adverse events</w:t>
      </w:r>
    </w:p>
    <w:p w14:paraId="57CC064E" w14:textId="77777777" w:rsidR="008A3EFC" w:rsidRPr="008A3EFC" w:rsidRDefault="008A3EFC" w:rsidP="008A3E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Laboratory parameters</w:t>
      </w:r>
    </w:p>
    <w:p w14:paraId="671F064C" w14:textId="77777777" w:rsidR="008A3EFC" w:rsidRPr="008A3EFC" w:rsidRDefault="008A3EFC" w:rsidP="008A3E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Vital signs</w:t>
      </w:r>
    </w:p>
    <w:p w14:paraId="6DBA3D70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12. Statistical Methods</w:t>
      </w:r>
    </w:p>
    <w:p w14:paraId="403C6645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Sample Size Calculation: [Placeholder for Calculation]</w:t>
      </w:r>
    </w:p>
    <w:p w14:paraId="5BD5C932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Statistical Analysis Plan: [Placeholder for Detailed Plan]</w:t>
      </w:r>
    </w:p>
    <w:p w14:paraId="0FF7E543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13. Study Results</w:t>
      </w:r>
    </w:p>
    <w:p w14:paraId="14E1C34A" w14:textId="77777777" w:rsidR="008A3EFC" w:rsidRPr="008A3EFC" w:rsidRDefault="008A3EFC" w:rsidP="008A3EFC">
      <w:pPr>
        <w:pStyle w:val="Heading2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13.1 Demographic and Baseline Characteristics: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8A3EFC" w:rsidRPr="008A3EFC" w14:paraId="02E509ED" w14:textId="77777777" w:rsidTr="008A3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8BCA1FE" w14:textId="27BA741C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Characteristic</w:t>
            </w:r>
          </w:p>
        </w:tc>
        <w:tc>
          <w:tcPr>
            <w:tcW w:w="3117" w:type="dxa"/>
          </w:tcPr>
          <w:p w14:paraId="079F6013" w14:textId="370513B1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proofErr w:type="spellStart"/>
            <w:r w:rsidRPr="008A3EFC">
              <w:rPr>
                <w:rFonts w:ascii="Times New Roman" w:hAnsi="Times New Roman" w:cs="Times New Roman"/>
              </w:rPr>
              <w:t>OncoRelief</w:t>
            </w:r>
            <w:proofErr w:type="spellEnd"/>
            <w:r w:rsidRPr="008A3EFC">
              <w:rPr>
                <w:rFonts w:ascii="Times New Roman" w:hAnsi="Times New Roman" w:cs="Times New Roman"/>
              </w:rPr>
              <w:t xml:space="preserve"> Group</w:t>
            </w:r>
          </w:p>
        </w:tc>
        <w:tc>
          <w:tcPr>
            <w:tcW w:w="3117" w:type="dxa"/>
          </w:tcPr>
          <w:p w14:paraId="0835615E" w14:textId="58D13CA6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Placebo Group</w:t>
            </w:r>
          </w:p>
        </w:tc>
      </w:tr>
      <w:tr w:rsidR="008A3EFC" w:rsidRPr="008A3EFC" w14:paraId="22B56A99" w14:textId="77777777" w:rsidTr="008A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64B958A" w14:textId="24C7247C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Age (years)</w:t>
            </w:r>
          </w:p>
        </w:tc>
        <w:tc>
          <w:tcPr>
            <w:tcW w:w="3117" w:type="dxa"/>
          </w:tcPr>
          <w:p w14:paraId="7CB4B076" w14:textId="06CF65AB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  <w:tc>
          <w:tcPr>
            <w:tcW w:w="3117" w:type="dxa"/>
          </w:tcPr>
          <w:p w14:paraId="3AE29D32" w14:textId="5D7C0293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</w:tr>
      <w:tr w:rsidR="008A3EFC" w:rsidRPr="008A3EFC" w14:paraId="561A7B00" w14:textId="77777777" w:rsidTr="008A3EFC">
        <w:tc>
          <w:tcPr>
            <w:tcW w:w="3116" w:type="dxa"/>
          </w:tcPr>
          <w:p w14:paraId="6186F2B2" w14:textId="50ED8CE2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117" w:type="dxa"/>
          </w:tcPr>
          <w:p w14:paraId="11198AA8" w14:textId="4442AACB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  <w:tc>
          <w:tcPr>
            <w:tcW w:w="3117" w:type="dxa"/>
          </w:tcPr>
          <w:p w14:paraId="1BE90967" w14:textId="4C9F0EC7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</w:tr>
      <w:tr w:rsidR="008A3EFC" w:rsidRPr="008A3EFC" w14:paraId="2C6D4A2A" w14:textId="77777777" w:rsidTr="008A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07CA143" w14:textId="77C30898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ECOG Performance Status</w:t>
            </w:r>
          </w:p>
        </w:tc>
        <w:tc>
          <w:tcPr>
            <w:tcW w:w="3117" w:type="dxa"/>
          </w:tcPr>
          <w:p w14:paraId="284363CE" w14:textId="102D992C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  <w:tc>
          <w:tcPr>
            <w:tcW w:w="3117" w:type="dxa"/>
          </w:tcPr>
          <w:p w14:paraId="3C588EDB" w14:textId="4059DA77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</w:tr>
    </w:tbl>
    <w:p w14:paraId="2F561DF4" w14:textId="77777777" w:rsidR="008A3EFC" w:rsidRPr="008A3EFC" w:rsidRDefault="008A3EFC" w:rsidP="008A3EFC">
      <w:pPr>
        <w:pStyle w:val="Heading2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13.2 Efficacy Results: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8A3EFC" w:rsidRPr="008A3EFC" w14:paraId="2CB38810" w14:textId="77777777" w:rsidTr="008A3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7ABF090" w14:textId="7E779C1C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Endpoint</w:t>
            </w:r>
          </w:p>
        </w:tc>
        <w:tc>
          <w:tcPr>
            <w:tcW w:w="3117" w:type="dxa"/>
          </w:tcPr>
          <w:p w14:paraId="0A388727" w14:textId="4DACD741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proofErr w:type="spellStart"/>
            <w:r w:rsidRPr="008A3EFC">
              <w:rPr>
                <w:rFonts w:ascii="Times New Roman" w:hAnsi="Times New Roman" w:cs="Times New Roman"/>
              </w:rPr>
              <w:t>OncoRelief</w:t>
            </w:r>
            <w:proofErr w:type="spellEnd"/>
            <w:r w:rsidRPr="008A3EFC">
              <w:rPr>
                <w:rFonts w:ascii="Times New Roman" w:hAnsi="Times New Roman" w:cs="Times New Roman"/>
              </w:rPr>
              <w:t xml:space="preserve"> Group</w:t>
            </w:r>
          </w:p>
        </w:tc>
        <w:tc>
          <w:tcPr>
            <w:tcW w:w="3117" w:type="dxa"/>
          </w:tcPr>
          <w:p w14:paraId="35A5978B" w14:textId="7ACAC6D4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Placebo Group</w:t>
            </w:r>
          </w:p>
        </w:tc>
      </w:tr>
      <w:tr w:rsidR="008A3EFC" w:rsidRPr="008A3EFC" w14:paraId="6C2B565A" w14:textId="77777777" w:rsidTr="008A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11E50A5" w14:textId="559C9C8D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Overall Survival (OS)</w:t>
            </w:r>
          </w:p>
        </w:tc>
        <w:tc>
          <w:tcPr>
            <w:tcW w:w="3117" w:type="dxa"/>
          </w:tcPr>
          <w:p w14:paraId="530879AB" w14:textId="742EAFC0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  <w:tc>
          <w:tcPr>
            <w:tcW w:w="3117" w:type="dxa"/>
          </w:tcPr>
          <w:p w14:paraId="07308A03" w14:textId="3E19537C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</w:tr>
      <w:tr w:rsidR="008A3EFC" w:rsidRPr="008A3EFC" w14:paraId="4A1AD580" w14:textId="77777777" w:rsidTr="008A3EFC">
        <w:tc>
          <w:tcPr>
            <w:tcW w:w="3116" w:type="dxa"/>
          </w:tcPr>
          <w:p w14:paraId="1C09F84E" w14:textId="027D7149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Progression-Free Survival (PFS)</w:t>
            </w:r>
          </w:p>
        </w:tc>
        <w:tc>
          <w:tcPr>
            <w:tcW w:w="3117" w:type="dxa"/>
          </w:tcPr>
          <w:p w14:paraId="45877FB5" w14:textId="216FB292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  <w:tc>
          <w:tcPr>
            <w:tcW w:w="3117" w:type="dxa"/>
          </w:tcPr>
          <w:p w14:paraId="7A3B2582" w14:textId="55225598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</w:tr>
      <w:tr w:rsidR="008A3EFC" w:rsidRPr="008A3EFC" w14:paraId="6A116C94" w14:textId="77777777" w:rsidTr="008A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437486F" w14:textId="397F5C55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Objective Response Rate (ORR)</w:t>
            </w:r>
          </w:p>
        </w:tc>
        <w:tc>
          <w:tcPr>
            <w:tcW w:w="3117" w:type="dxa"/>
          </w:tcPr>
          <w:p w14:paraId="07E2AD15" w14:textId="6605F84D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  <w:tc>
          <w:tcPr>
            <w:tcW w:w="3117" w:type="dxa"/>
          </w:tcPr>
          <w:p w14:paraId="1E16C1B1" w14:textId="0E13907F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</w:tr>
    </w:tbl>
    <w:p w14:paraId="28B63D18" w14:textId="77777777" w:rsidR="008A3EFC" w:rsidRPr="008A3EFC" w:rsidRDefault="008A3EFC" w:rsidP="008A3EFC">
      <w:pPr>
        <w:pStyle w:val="Heading2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13.3 Safety Results: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8A3EFC" w:rsidRPr="008A3EFC" w14:paraId="3B2D7CB8" w14:textId="77777777" w:rsidTr="008A3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3BE0832" w14:textId="5B1670F7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Adverse Event</w:t>
            </w:r>
          </w:p>
        </w:tc>
        <w:tc>
          <w:tcPr>
            <w:tcW w:w="3117" w:type="dxa"/>
          </w:tcPr>
          <w:p w14:paraId="1C4D391D" w14:textId="06F89092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proofErr w:type="spellStart"/>
            <w:r w:rsidRPr="008A3EFC">
              <w:rPr>
                <w:rFonts w:ascii="Times New Roman" w:hAnsi="Times New Roman" w:cs="Times New Roman"/>
              </w:rPr>
              <w:t>OncoRelief</w:t>
            </w:r>
            <w:proofErr w:type="spellEnd"/>
            <w:r w:rsidRPr="008A3EFC">
              <w:rPr>
                <w:rFonts w:ascii="Times New Roman" w:hAnsi="Times New Roman" w:cs="Times New Roman"/>
              </w:rPr>
              <w:t xml:space="preserve"> Group</w:t>
            </w:r>
          </w:p>
        </w:tc>
        <w:tc>
          <w:tcPr>
            <w:tcW w:w="3117" w:type="dxa"/>
          </w:tcPr>
          <w:p w14:paraId="5994C3EF" w14:textId="08CEE68B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Placebo Group</w:t>
            </w:r>
          </w:p>
        </w:tc>
      </w:tr>
      <w:tr w:rsidR="008A3EFC" w:rsidRPr="008A3EFC" w14:paraId="73283881" w14:textId="77777777" w:rsidTr="008A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42515F0" w14:textId="690CAB31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Any Adverse Event</w:t>
            </w:r>
          </w:p>
        </w:tc>
        <w:tc>
          <w:tcPr>
            <w:tcW w:w="3117" w:type="dxa"/>
          </w:tcPr>
          <w:p w14:paraId="3DC74D9D" w14:textId="26105A3C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  <w:tc>
          <w:tcPr>
            <w:tcW w:w="3117" w:type="dxa"/>
          </w:tcPr>
          <w:p w14:paraId="21F94712" w14:textId="5C6264B2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</w:tr>
      <w:tr w:rsidR="008A3EFC" w:rsidRPr="008A3EFC" w14:paraId="54BDA4B1" w14:textId="77777777" w:rsidTr="008A3EFC">
        <w:tc>
          <w:tcPr>
            <w:tcW w:w="3116" w:type="dxa"/>
          </w:tcPr>
          <w:p w14:paraId="2F813EFA" w14:textId="0A640394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Serious Adverse Events</w:t>
            </w:r>
          </w:p>
        </w:tc>
        <w:tc>
          <w:tcPr>
            <w:tcW w:w="3117" w:type="dxa"/>
          </w:tcPr>
          <w:p w14:paraId="0C59DC0F" w14:textId="39EA001C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  <w:tc>
          <w:tcPr>
            <w:tcW w:w="3117" w:type="dxa"/>
          </w:tcPr>
          <w:p w14:paraId="6E5BD9C1" w14:textId="6113069D" w:rsidR="008A3EFC" w:rsidRPr="008A3EFC" w:rsidRDefault="008A3EFC" w:rsidP="008A3EFC">
            <w:pPr>
              <w:rPr>
                <w:rFonts w:ascii="Times New Roman" w:hAnsi="Times New Roman" w:cs="Times New Roman"/>
              </w:rPr>
            </w:pPr>
            <w:r w:rsidRPr="008A3EFC">
              <w:rPr>
                <w:rFonts w:ascii="Times New Roman" w:hAnsi="Times New Roman" w:cs="Times New Roman"/>
              </w:rPr>
              <w:t>[Placeholder]</w:t>
            </w:r>
          </w:p>
        </w:tc>
      </w:tr>
    </w:tbl>
    <w:p w14:paraId="29BA0B51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lastRenderedPageBreak/>
        <w:t>14. Discussion and Overall Conclusions</w:t>
      </w:r>
    </w:p>
    <w:p w14:paraId="184623C9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Discussion: The results of this Phase 3 trial suggest that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 xml:space="preserve"> may improve overall survival and progression-free survival in patients with advanced NSCLC. However, further analysis and validation are required.</w:t>
      </w:r>
    </w:p>
    <w:p w14:paraId="297B3D4E" w14:textId="77777777" w:rsidR="008A3EFC" w:rsidRPr="008A3EFC" w:rsidRDefault="008A3EFC" w:rsidP="008A3EFC">
      <w:p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 xml:space="preserve">Conclusions: </w:t>
      </w:r>
      <w:proofErr w:type="spellStart"/>
      <w:r w:rsidRPr="008A3EFC">
        <w:rPr>
          <w:rFonts w:ascii="Times New Roman" w:hAnsi="Times New Roman" w:cs="Times New Roman"/>
        </w:rPr>
        <w:t>OncoRelief</w:t>
      </w:r>
      <w:proofErr w:type="spellEnd"/>
      <w:r w:rsidRPr="008A3EFC">
        <w:rPr>
          <w:rFonts w:ascii="Times New Roman" w:hAnsi="Times New Roman" w:cs="Times New Roman"/>
        </w:rPr>
        <w:t xml:space="preserve"> shows promise as a therapeutic option for advanced NSCLC. The safety profile is consistent with previous clinical trials.</w:t>
      </w:r>
    </w:p>
    <w:p w14:paraId="3890CC59" w14:textId="77777777" w:rsidR="008A3EFC" w:rsidRPr="008A3EFC" w:rsidRDefault="008A3EFC" w:rsidP="008A3EFC">
      <w:pPr>
        <w:pStyle w:val="Heading1"/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15. References</w:t>
      </w:r>
    </w:p>
    <w:p w14:paraId="253AC14F" w14:textId="77777777" w:rsidR="008A3EFC" w:rsidRPr="008A3EFC" w:rsidRDefault="008A3EFC" w:rsidP="008A3E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[Placeholder for Reference 1]</w:t>
      </w:r>
    </w:p>
    <w:p w14:paraId="39B22AE1" w14:textId="77777777" w:rsidR="008A3EFC" w:rsidRPr="008A3EFC" w:rsidRDefault="008A3EFC" w:rsidP="008A3E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[Placeholder for Reference 2]</w:t>
      </w:r>
    </w:p>
    <w:p w14:paraId="6C2FF701" w14:textId="2D5BE6CE" w:rsidR="008A3EFC" w:rsidRPr="008A3EFC" w:rsidRDefault="008A3EFC" w:rsidP="008A3E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A3EFC">
        <w:rPr>
          <w:rFonts w:ascii="Times New Roman" w:hAnsi="Times New Roman" w:cs="Times New Roman"/>
        </w:rPr>
        <w:t>[Placeholder for Reference 3]</w:t>
      </w:r>
    </w:p>
    <w:p w14:paraId="56DA5570" w14:textId="3EEB83E6" w:rsidR="002F22EE" w:rsidRPr="008A3EFC" w:rsidRDefault="002F22EE" w:rsidP="008A3EFC">
      <w:pPr>
        <w:rPr>
          <w:rFonts w:ascii="Times New Roman" w:hAnsi="Times New Roman" w:cs="Times New Roman"/>
        </w:rPr>
      </w:pPr>
    </w:p>
    <w:sectPr w:rsidR="002F22EE" w:rsidRPr="008A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1A6E"/>
    <w:multiLevelType w:val="hybridMultilevel"/>
    <w:tmpl w:val="2D5E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6A48"/>
    <w:multiLevelType w:val="hybridMultilevel"/>
    <w:tmpl w:val="4AEA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1816"/>
    <w:multiLevelType w:val="hybridMultilevel"/>
    <w:tmpl w:val="8B62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E51B9"/>
    <w:multiLevelType w:val="hybridMultilevel"/>
    <w:tmpl w:val="D83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6997"/>
    <w:multiLevelType w:val="hybridMultilevel"/>
    <w:tmpl w:val="4758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95D66"/>
    <w:multiLevelType w:val="hybridMultilevel"/>
    <w:tmpl w:val="C104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23E7A"/>
    <w:multiLevelType w:val="multilevel"/>
    <w:tmpl w:val="FC165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1FB6"/>
    <w:multiLevelType w:val="hybridMultilevel"/>
    <w:tmpl w:val="A024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A72EF"/>
    <w:multiLevelType w:val="hybridMultilevel"/>
    <w:tmpl w:val="FDBA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B4030"/>
    <w:multiLevelType w:val="hybridMultilevel"/>
    <w:tmpl w:val="53C0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827A9"/>
    <w:multiLevelType w:val="hybridMultilevel"/>
    <w:tmpl w:val="5DE2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E2FE1"/>
    <w:multiLevelType w:val="hybridMultilevel"/>
    <w:tmpl w:val="14A4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54CB7"/>
    <w:multiLevelType w:val="multilevel"/>
    <w:tmpl w:val="BDCCE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C262E"/>
    <w:multiLevelType w:val="hybridMultilevel"/>
    <w:tmpl w:val="ACBE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76323"/>
    <w:multiLevelType w:val="hybridMultilevel"/>
    <w:tmpl w:val="F6D6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702238">
    <w:abstractNumId w:val="12"/>
  </w:num>
  <w:num w:numId="2" w16cid:durableId="1374886103">
    <w:abstractNumId w:val="5"/>
  </w:num>
  <w:num w:numId="3" w16cid:durableId="1346403984">
    <w:abstractNumId w:val="9"/>
  </w:num>
  <w:num w:numId="4" w16cid:durableId="1779442357">
    <w:abstractNumId w:val="4"/>
  </w:num>
  <w:num w:numId="5" w16cid:durableId="50157794">
    <w:abstractNumId w:val="3"/>
  </w:num>
  <w:num w:numId="6" w16cid:durableId="1400396423">
    <w:abstractNumId w:val="11"/>
  </w:num>
  <w:num w:numId="7" w16cid:durableId="67312951">
    <w:abstractNumId w:val="14"/>
  </w:num>
  <w:num w:numId="8" w16cid:durableId="1992172410">
    <w:abstractNumId w:val="6"/>
  </w:num>
  <w:num w:numId="9" w16cid:durableId="1062294748">
    <w:abstractNumId w:val="13"/>
  </w:num>
  <w:num w:numId="10" w16cid:durableId="1489977762">
    <w:abstractNumId w:val="7"/>
  </w:num>
  <w:num w:numId="11" w16cid:durableId="491875645">
    <w:abstractNumId w:val="0"/>
  </w:num>
  <w:num w:numId="12" w16cid:durableId="481852314">
    <w:abstractNumId w:val="1"/>
  </w:num>
  <w:num w:numId="13" w16cid:durableId="1881087812">
    <w:abstractNumId w:val="8"/>
  </w:num>
  <w:num w:numId="14" w16cid:durableId="45034892">
    <w:abstractNumId w:val="2"/>
  </w:num>
  <w:num w:numId="15" w16cid:durableId="99641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FC"/>
    <w:rsid w:val="002F22EE"/>
    <w:rsid w:val="00331B77"/>
    <w:rsid w:val="008A3EFC"/>
    <w:rsid w:val="009C3C83"/>
    <w:rsid w:val="00B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5FB2"/>
  <w15:chartTrackingRefBased/>
  <w15:docId w15:val="{B1C79AEC-8079-480F-9016-944DEA08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3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A3E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Kirkwood</dc:creator>
  <cp:keywords/>
  <dc:description/>
  <cp:lastModifiedBy>Julie Kirkwood</cp:lastModifiedBy>
  <cp:revision>1</cp:revision>
  <dcterms:created xsi:type="dcterms:W3CDTF">2025-05-23T00:01:00Z</dcterms:created>
  <dcterms:modified xsi:type="dcterms:W3CDTF">2025-05-23T00:09:00Z</dcterms:modified>
</cp:coreProperties>
</file>