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M&amp;V Scorecard — Test Library Results</w:t>
      </w:r>
    </w:p>
    <w:p>
      <w:pPr>
        <w:spacing w:after="120"/>
      </w:pPr>
      <w:r>
        <w:rPr>
          <w:rFonts w:ascii="Arial" w:cs="Arial" w:eastAsia="Arial" w:hAnsi="Arial"/>
          <w:color w:val="666666"/>
          <w:sz w:val="20"/>
          <w:szCs w:val="20"/>
        </w:rPr>
        <w:t xml:space="preserve">March 2, 2026 | 8-Plan Test Battery | mnvscore.vercel.app</w:t>
      </w:r>
    </w:p>
    <w:p>
      <w:pPr>
        <w:spacing w:after="200"/>
      </w:pPr>
      <w:r>
        <w:rPr>
          <w:rFonts w:ascii="Arial" w:cs="Arial" w:eastAsia="Arial" w:hAnsi="Arial"/>
          <w:sz w:val="22"/>
          <w:szCs w:val="22"/>
        </w:rPr>
        <w:t xml:space="preserve">Eight M&amp;V plans covering all four counterfactual design patterns, a range of quality levels (weak to strong), multiple jurisdictions (US Federal, US State, Canada, Mexico, EU), and diverse building types were run through the Scorecard's /api/compliance endpoint. The plans were scored on six quality principles (Accuracy, Completeness, Conservativeness, Consistency, Relevance, Transparency) producing a weighted composite score out of 100.</w:t>
      </w:r>
    </w:p>
    <w:p>
      <w:pPr>
        <w:pStyle w:val="Heading2"/>
        <w:spacing w:before="300"/>
      </w:pPr>
      <w:r>
        <w:rPr>
          <w:rFonts w:ascii="Arial" w:cs="Arial" w:eastAsia="Arial" w:hAnsi="Arial"/>
        </w:rPr>
        <w:t xml:space="preserve">Composite Scores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60"/>
        <w:gridCol w:w="900"/>
        <w:gridCol w:w="800"/>
        <w:gridCol w:w="800"/>
        <w:gridCol w:w="800"/>
        <w:gridCol w:w="900"/>
        <w:gridCol w:w="800"/>
        <w:gridCol w:w="900"/>
      </w:tblGrid>
      <w:tr>
        <w:tc>
          <w:tcPr>
            <w:tcW w:type="dxa" w:w="246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w:t>
            </w:r>
          </w:p>
        </w:tc>
        <w:tc>
          <w:tcPr>
            <w:tcW w:type="dxa" w:w="9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8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w:t>
            </w:r>
          </w:p>
        </w:tc>
        <w:tc>
          <w:tcPr>
            <w:tcW w:type="dxa" w:w="8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w:t>
            </w:r>
          </w:p>
        </w:tc>
        <w:tc>
          <w:tcPr>
            <w:tcW w:type="dxa" w:w="8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w:t>
            </w:r>
          </w:p>
        </w:tc>
        <w:tc>
          <w:tcPr>
            <w:tcW w:type="dxa" w:w="9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Consist</w:t>
            </w:r>
          </w:p>
        </w:tc>
        <w:tc>
          <w:tcPr>
            <w:tcW w:type="dxa" w:w="8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Rel</w:t>
            </w:r>
          </w:p>
        </w:tc>
        <w:tc>
          <w:tcPr>
            <w:tcW w:type="dxa" w:w="900"/>
            <w:tcBorders>
              <w:top w:val="single" w:color="AAAAAA" w:sz="1"/>
              <w:left w:val="single" w:color="AAAAAA" w:sz="1"/>
              <w:bottom w:val="single" w:color="AAAAAA" w:sz="1"/>
              <w:right w:val="single" w:color="AAAAAA" w:sz="1"/>
            </w:tcBorders>
            <w:shd w:fill="1a2a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Trans</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01 Federal ESPC</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76</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92.5</w:t>
            </w:r>
          </w:p>
        </w:tc>
        <w:tc>
          <w:tcPr>
            <w:tcW w:type="dxa" w:w="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62.5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02 Office Retrofit</w:t>
            </w:r>
          </w:p>
        </w:tc>
        <w:tc>
          <w:tcPr>
            <w:tcW w:type="dxa" w:w="90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vAlign w:val="center"/>
          </w:tcPr>
          <w:p>
            <w:pPr>
              <w:jc w:val="center"/>
            </w:pPr>
            <w:r>
              <w:rPr>
                <w:rFonts w:ascii="Arial" w:cs="Arial" w:eastAsia="Arial" w:hAnsi="Arial"/>
                <w:sz w:val="18"/>
                <w:szCs w:val="18"/>
              </w:rPr>
              <w:t xml:space="preserve">23</w:t>
            </w:r>
          </w:p>
        </w:tc>
        <w:tc>
          <w:tcPr>
            <w:tcW w:type="dxa" w:w="80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vAlign w:val="center"/>
          </w:tcPr>
          <w:p>
            <w:pPr>
              <w:jc w:val="center"/>
            </w:pPr>
            <w:r>
              <w:rPr>
                <w:rFonts w:ascii="Arial" w:cs="Arial" w:eastAsia="Arial" w:hAnsi="Arial"/>
                <w:sz w:val="18"/>
                <w:szCs w:val="18"/>
              </w:rPr>
              <w:t xml:space="preserve">17.5</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c>
          <w:tcPr>
            <w:tcW w:type="dxa" w:w="80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9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30</w:t>
            </w:r>
          </w:p>
        </w:tc>
        <w:tc>
          <w:tcPr>
            <w:tcW w:type="dxa" w:w="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90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03 VFD Chilled Water</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70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67.5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9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37.5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04 LED Lighting</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57.5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05 New Construction</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72.5</w:t>
            </w:r>
          </w:p>
        </w:tc>
        <w:tc>
          <w:tcPr>
            <w:tcW w:type="dxa" w:w="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9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45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06 Industrial Compressed Air</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69</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80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vAlign w:val="center"/>
          </w:tcPr>
          <w:p>
            <w:pPr>
              <w:jc w:val="center"/>
            </w:pPr>
            <w:r>
              <w:rPr>
                <w:rFonts w:ascii="Arial" w:cs="Arial" w:eastAsia="Arial" w:hAnsi="Arial"/>
                <w:sz w:val="18"/>
                <w:szCs w:val="18"/>
              </w:rPr>
              <w:t xml:space="preserve">17.5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07 Hybrid Hospital</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83</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92.5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52.5</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87.5</w:t>
            </w:r>
          </w:p>
        </w:tc>
      </w:tr>
      <w:tr>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08 EU Municipal Buildings</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69</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92.5</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70</w:t>
            </w:r>
          </w:p>
        </w:tc>
        <w:tc>
          <w:tcPr>
            <w:tcW w:type="dxa" w:w="8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18"/>
                <w:szCs w:val="18"/>
              </w:rPr>
              <w:t xml:space="preserve">77.5</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r>
    </w:tbl>
    <w:p>
      <w:pPr>
        <w:spacing w:after="100" w:before="100"/>
      </w:pPr>
      <w:r>
        <w:rPr>
          <w:rFonts w:ascii="Arial" w:cs="Arial" w:eastAsia="Arial" w:hAnsi="Arial"/>
          <w:i/>
          <w:iCs/>
          <w:sz w:val="18"/>
          <w:szCs w:val="18"/>
        </w:rPr>
        <w:t xml:space="preserve">Color key: </w:t>
      </w:r>
      <w:r>
        <w:rPr>
          <w:rFonts w:ascii="Arial" w:cs="Arial" w:eastAsia="Arial" w:hAnsi="Arial"/>
          <w:color w:val="548235"/>
          <w:sz w:val="18"/>
          <w:szCs w:val="18"/>
        </w:rPr>
        <w:t xml:space="preserve">Green (≥75)</w:t>
      </w:r>
      <w:r>
        <w:rPr>
          <w:rFonts w:ascii="Arial" w:cs="Arial" w:eastAsia="Arial" w:hAnsi="Arial"/>
          <w:sz w:val="18"/>
          <w:szCs w:val="18"/>
        </w:rPr>
        <w:t xml:space="preserve"> | </w:t>
      </w:r>
      <w:r>
        <w:rPr>
          <w:rFonts w:ascii="Arial" w:cs="Arial" w:eastAsia="Arial" w:hAnsi="Arial"/>
          <w:color w:val="BF8F00"/>
          <w:sz w:val="18"/>
          <w:szCs w:val="18"/>
        </w:rPr>
        <w:t xml:space="preserve">Amber (50–74)</w:t>
      </w:r>
      <w:r>
        <w:rPr>
          <w:rFonts w:ascii="Arial" w:cs="Arial" w:eastAsia="Arial" w:hAnsi="Arial"/>
          <w:sz w:val="18"/>
          <w:szCs w:val="18"/>
        </w:rPr>
        <w:t xml:space="preserve"> | </w:t>
      </w:r>
      <w:r>
        <w:rPr>
          <w:rFonts w:ascii="Arial" w:cs="Arial" w:eastAsia="Arial" w:hAnsi="Arial"/>
          <w:color w:val="C55A11"/>
          <w:sz w:val="18"/>
          <w:szCs w:val="18"/>
        </w:rPr>
        <w:t xml:space="preserve">Orange (25–49)</w:t>
      </w:r>
      <w:r>
        <w:rPr>
          <w:rFonts w:ascii="Arial" w:cs="Arial" w:eastAsia="Arial" w:hAnsi="Arial"/>
          <w:sz w:val="18"/>
          <w:szCs w:val="18"/>
        </w:rPr>
        <w:t xml:space="preserve"> | </w:t>
      </w:r>
      <w:r>
        <w:rPr>
          <w:rFonts w:ascii="Arial" w:cs="Arial" w:eastAsia="Arial" w:hAnsi="Arial"/>
          <w:color w:val="CC0000"/>
          <w:sz w:val="18"/>
          <w:szCs w:val="18"/>
        </w:rPr>
        <w:t xml:space="preserve">Red (&lt;25)</w:t>
      </w:r>
    </w:p>
    <w:p>
      <w:pPr>
        <w:pStyle w:val="Heading2"/>
        <w:spacing w:before="300"/>
      </w:pPr>
      <w:r>
        <w:rPr>
          <w:rFonts w:ascii="Arial" w:cs="Arial" w:eastAsia="Arial" w:hAnsi="Arial"/>
        </w:rPr>
        <w:t xml:space="preserve">Key Findings</w:t>
      </w:r>
    </w:p>
    <w:p>
      <w:pPr>
        <w:spacing w:after="120"/>
      </w:pPr>
      <w:r>
        <w:rPr>
          <w:rFonts w:ascii="Arial" w:cs="Arial" w:eastAsia="Arial" w:hAnsi="Arial"/>
          <w:b/>
          <w:bCs/>
          <w:sz w:val="22"/>
          <w:szCs w:val="22"/>
        </w:rPr>
        <w:t xml:space="preserve">Dynamic range is strong. </w:t>
      </w:r>
      <w:r>
        <w:rPr>
          <w:rFonts w:ascii="Arial" w:cs="Arial" w:eastAsia="Arial" w:hAnsi="Arial"/>
          <w:sz w:val="22"/>
          <w:szCs w:val="22"/>
        </w:rPr>
        <w:t xml:space="preserve">Scores span 23 to 83, confirming the Scorecard differentiates plan quality effectively. The weakest plan (02, deliberately vague) scored 23; the strongest (07, hybrid hospital with tiered reconciliation) scored 83.</w:t>
      </w:r>
    </w:p>
    <w:p>
      <w:pPr>
        <w:spacing w:after="120"/>
      </w:pPr>
      <w:r>
        <w:rPr>
          <w:rFonts w:ascii="Arial" w:cs="Arial" w:eastAsia="Arial" w:hAnsi="Arial"/>
          <w:b/>
          <w:bCs/>
          <w:sz w:val="22"/>
          <w:szCs w:val="22"/>
        </w:rPr>
        <w:t xml:space="preserve">Conservativeness is the hardest principle. </w:t>
      </w:r>
      <w:r>
        <w:rPr>
          <w:rFonts w:ascii="Arial" w:cs="Arial" w:eastAsia="Arial" w:hAnsi="Arial"/>
          <w:sz w:val="22"/>
          <w:szCs w:val="22"/>
        </w:rPr>
        <w:t xml:space="preserve">Six of eight plans scored below 40 on conservativeness. Only Plan 04 (LED with explicit conservative hour assumptions and heating penalty) scored above 75. Most M&amp;V plans describe what they measure but not which direction their assumptions err. This is exactly the gap the Scorecard is designed to surface — per CLAUDE.md, "Conservativeness score of 0 is a legitimate finding."</w:t>
      </w:r>
    </w:p>
    <w:p>
      <w:pPr>
        <w:spacing w:after="120"/>
      </w:pPr>
      <w:r>
        <w:rPr>
          <w:rFonts w:ascii="Arial" w:cs="Arial" w:eastAsia="Arial" w:hAnsi="Arial"/>
          <w:b/>
          <w:bCs/>
          <w:sz w:val="22"/>
          <w:szCs w:val="22"/>
        </w:rPr>
        <w:t xml:space="preserve">Transparency trails conservativeness as the second weakest. </w:t>
      </w:r>
      <w:r>
        <w:rPr>
          <w:rFonts w:ascii="Arial" w:cs="Arial" w:eastAsia="Arial" w:hAnsi="Arial"/>
          <w:sz w:val="22"/>
          <w:szCs w:val="22"/>
        </w:rPr>
        <w:t xml:space="preserve">Even technically strong plans (01, 03) scored 37–62 on transparency. The rubric rewards explicit documentation of limitations, data quality issues, and assumption sensitivity — not just providing the right technical content. Plan 07 scored 87.5 on transparency by explicitly discussing what each measurement tier can and cannot determine.</w:t>
      </w:r>
    </w:p>
    <w:p>
      <w:pPr>
        <w:spacing w:after="120"/>
      </w:pPr>
      <w:r>
        <w:rPr>
          <w:rFonts w:ascii="Arial" w:cs="Arial" w:eastAsia="Arial" w:hAnsi="Arial"/>
          <w:b/>
          <w:bCs/>
          <w:sz w:val="22"/>
          <w:szCs w:val="22"/>
        </w:rPr>
        <w:t xml:space="preserve">Hybrid/tiered plans score highest. </w:t>
      </w:r>
      <w:r>
        <w:rPr>
          <w:rFonts w:ascii="Arial" w:cs="Arial" w:eastAsia="Arial" w:hAnsi="Arial"/>
          <w:sz w:val="22"/>
          <w:szCs w:val="22"/>
        </w:rPr>
        <w:t xml:space="preserve">Plan 07 (83) used a multi-tier counterfactual with explicit reconciliation logic. This validates the Scorecard's design philosophy: plans that serve multiple stakeholder needs with coherent, layered counterfactual approaches demonstrate the most sophisticated M&amp;V thinking.</w:t>
      </w:r>
    </w:p>
    <w:p>
      <w:pPr>
        <w:spacing w:after="120"/>
      </w:pPr>
      <w:r>
        <w:rPr>
          <w:rFonts w:ascii="Arial" w:cs="Arial" w:eastAsia="Arial" w:hAnsi="Arial"/>
          <w:b/>
          <w:bCs/>
          <w:sz w:val="22"/>
          <w:szCs w:val="22"/>
        </w:rPr>
        <w:t xml:space="preserve">Accuracy and Relevance are consistently strong. </w:t>
      </w:r>
      <w:r>
        <w:rPr>
          <w:rFonts w:ascii="Arial" w:cs="Arial" w:eastAsia="Arial" w:hAnsi="Arial"/>
          <w:sz w:val="22"/>
          <w:szCs w:val="22"/>
        </w:rPr>
        <w:t xml:space="preserve">Most plans score 75+ on these principles. Plans that describe their measurement approach, data sources, and boundary clearly tend to do well here even without full conservativeness or transparency treatment.</w:t>
      </w:r>
    </w:p>
    <w:p>
      <w:pPr>
        <w:pStyle w:val="Heading2"/>
        <w:spacing w:before="300"/>
      </w:pPr>
      <w:r>
        <w:rPr>
          <w:rFonts w:ascii="Arial" w:cs="Arial" w:eastAsia="Arial" w:hAnsi="Arial"/>
        </w:rPr>
        <w:t xml:space="preserve">Plan-by-Plan Notes</w:t>
      </w:r>
    </w:p>
    <w:p>
      <w:pPr>
        <w:spacing w:after="60" w:before="200"/>
      </w:pPr>
      <w:r>
        <w:rPr>
          <w:rFonts w:ascii="Arial" w:cs="Arial" w:eastAsia="Arial" w:hAnsi="Arial"/>
          <w:b/>
          <w:bCs/>
          <w:sz w:val="22"/>
          <w:szCs w:val="22"/>
        </w:rPr>
        <w:t xml:space="preserve">Plan 01: Federal ESPC — Fort Carson</w:t>
      </w:r>
      <w:r>
        <w:rPr>
          <w:rFonts w:ascii="Arial" w:cs="Arial" w:eastAsia="Arial" w:hAnsi="Arial"/>
          <w:color w:val="666666"/>
          <w:sz w:val="22"/>
          <w:szCs w:val="22"/>
        </w:rPr>
        <w:t xml:space="preserve">  |  Pattern 1: Historical Consumption  |  Composite: 76/100</w:t>
      </w:r>
    </w:p>
    <w:p>
      <w:pPr>
        <w:spacing w:after="120"/>
      </w:pPr>
      <w:r>
        <w:rPr>
          <w:rFonts w:ascii="Arial" w:cs="Arial" w:eastAsia="Arial" w:hAnsi="Arial"/>
          <w:sz w:val="21"/>
          <w:szCs w:val="21"/>
        </w:rPr>
        <w:t xml:space="preserve">Highest-quality plan in the library. Comprehensive FEMP v4.0 compliant plan with 36-month baseline, 3PC/3PH regression models, ASHRAE 14 criteria, detailed NRA procedures, 90/10 uncertainty met at +/-6.1%. Scored well on accuracy, completeness, consistency, and relevance. Conservativeness scored low (35) because the plan doesn't explicitly state the direction of conservative bias in its assumptions. Transparency moderate (62.5) — could improve with more explicit documentation of limitations and data quality assessments.</w:t>
      </w:r>
    </w:p>
    <w:p>
      <w:pPr>
        <w:spacing w:after="60" w:before="200"/>
      </w:pPr>
      <w:r>
        <w:rPr>
          <w:rFonts w:ascii="Arial" w:cs="Arial" w:eastAsia="Arial" w:hAnsi="Arial"/>
          <w:b/>
          <w:bCs/>
          <w:sz w:val="22"/>
          <w:szCs w:val="22"/>
        </w:rPr>
        <w:t xml:space="preserve">Plan 02: Office Retrofit — Chicago</w:t>
      </w:r>
      <w:r>
        <w:rPr>
          <w:rFonts w:ascii="Arial" w:cs="Arial" w:eastAsia="Arial" w:hAnsi="Arial"/>
          <w:color w:val="666666"/>
          <w:sz w:val="22"/>
          <w:szCs w:val="22"/>
        </w:rPr>
        <w:t xml:space="preserve">  |  Pattern 1: Historical Consumption  |  Composite: 23/100</w:t>
      </w:r>
    </w:p>
    <w:p>
      <w:pPr>
        <w:spacing w:after="120"/>
      </w:pPr>
      <w:r>
        <w:rPr>
          <w:rFonts w:ascii="Arial" w:cs="Arial" w:eastAsia="Arial" w:hAnsi="Arial"/>
          <w:sz w:val="21"/>
          <w:szCs w:val="21"/>
        </w:rPr>
        <w:t xml:space="preserve">Deliberately minimal plan. No regression specification, no NRA triggers, no uncertainty analysis, no defined roles, no calibration, no operational verification. Scored exactly as designed — the Scorecard correctly identifies this as a plan that names the right approach but provides none of the detail needed to execute it. Zero on conservativeness and transparency confirms the rubric catches missing elements.</w:t>
      </w:r>
    </w:p>
    <w:p>
      <w:pPr>
        <w:spacing w:after="60" w:before="200"/>
      </w:pPr>
      <w:r>
        <w:rPr>
          <w:rFonts w:ascii="Arial" w:cs="Arial" w:eastAsia="Arial" w:hAnsi="Arial"/>
          <w:b/>
          <w:bCs/>
          <w:sz w:val="22"/>
          <w:szCs w:val="22"/>
        </w:rPr>
        <w:t xml:space="preserve">Plan 03: VFD Chilled Water — Houston</w:t>
      </w:r>
      <w:r>
        <w:rPr>
          <w:rFonts w:ascii="Arial" w:cs="Arial" w:eastAsia="Arial" w:hAnsi="Arial"/>
          <w:color w:val="666666"/>
          <w:sz w:val="22"/>
          <w:szCs w:val="22"/>
        </w:rPr>
        <w:t xml:space="preserve">  |  Pattern 2: Equipment-Level (Option B)  |  Composite: 70/100</w:t>
      </w:r>
    </w:p>
    <w:p>
      <w:pPr>
        <w:spacing w:after="120"/>
      </w:pPr>
      <w:r>
        <w:rPr>
          <w:rFonts w:ascii="Arial" w:cs="Arial" w:eastAsia="Arial" w:hAnsi="Arial"/>
          <w:sz w:val="21"/>
          <w:szCs w:val="21"/>
        </w:rPr>
        <w:t xml:space="preserve">Equipment-level plan with all parameters measured. Dent ELITEpro power meters, Onicon flow meters, cube-law verification. Strong on conservativeness (67.5) because interactive effects are explicitly identified as favorable and NOT claimed. Transparency low (37.5) despite detailed meter specs — suggests the rubric wants more explicit discussion of model limitations and assumption documentation.</w:t>
      </w:r>
    </w:p>
    <w:p>
      <w:pPr>
        <w:spacing w:after="60" w:before="200"/>
      </w:pPr>
      <w:r>
        <w:rPr>
          <w:rFonts w:ascii="Arial" w:cs="Arial" w:eastAsia="Arial" w:hAnsi="Arial"/>
          <w:b/>
          <w:bCs/>
          <w:sz w:val="22"/>
          <w:szCs w:val="22"/>
        </w:rPr>
        <w:t xml:space="preserve">Plan 04: LED Lighting — Portland Schools</w:t>
      </w:r>
      <w:r>
        <w:rPr>
          <w:rFonts w:ascii="Arial" w:cs="Arial" w:eastAsia="Arial" w:hAnsi="Arial"/>
          <w:color w:val="666666"/>
          <w:sz w:val="22"/>
          <w:szCs w:val="22"/>
        </w:rPr>
        <w:t xml:space="preserve">  |  Pattern 2: Equipment-Level (Option A)  |  Composite: 75/100</w:t>
      </w:r>
    </w:p>
    <w:p>
      <w:pPr>
        <w:spacing w:after="120"/>
      </w:pPr>
      <w:r>
        <w:rPr>
          <w:rFonts w:ascii="Arial" w:cs="Arial" w:eastAsia="Arial" w:hAnsi="Arial"/>
          <w:sz w:val="21"/>
          <w:szCs w:val="21"/>
        </w:rPr>
        <w:t xml:space="preserve">Highest conservativeness score in the library (85). The plan explicitly: uses conservative stipulated hours (lower than measured), applies a 10% heating interaction penalty, documents that actual hours are likely 5-15% higher than stipulated. This is exactly what the conservativeness principle rewards. Portfolio-level 90/10 met even though individual schools don't meet it — the plan is transparent about this limitation.</w:t>
      </w:r>
    </w:p>
    <w:p>
      <w:pPr>
        <w:spacing w:after="60" w:before="200"/>
      </w:pPr>
      <w:r>
        <w:rPr>
          <w:rFonts w:ascii="Arial" w:cs="Arial" w:eastAsia="Arial" w:hAnsi="Arial"/>
          <w:b/>
          <w:bCs/>
          <w:sz w:val="22"/>
          <w:szCs w:val="22"/>
        </w:rPr>
        <w:t xml:space="preserve">Plan 05: New Construction — ASU</w:t>
      </w:r>
      <w:r>
        <w:rPr>
          <w:rFonts w:ascii="Arial" w:cs="Arial" w:eastAsia="Arial" w:hAnsi="Arial"/>
          <w:color w:val="666666"/>
          <w:sz w:val="22"/>
          <w:szCs w:val="22"/>
        </w:rPr>
        <w:t xml:space="preserve">  |  Pattern 3: Simulated Counterfactual (Option D)  |  Composite: 65/100</w:t>
      </w:r>
    </w:p>
    <w:p>
      <w:pPr>
        <w:spacing w:after="120"/>
      </w:pPr>
      <w:r>
        <w:rPr>
          <w:rFonts w:ascii="Arial" w:cs="Arial" w:eastAsia="Arial" w:hAnsi="Arial"/>
          <w:sz w:val="21"/>
          <w:szCs w:val="21"/>
        </w:rPr>
        <w:t xml:space="preserve">Simulation-based plan using EnergyPlus 24.2. Good accuracy (85) with ASHRAE 14 calibration criteria. Lower composite than expected — conservativeness (35) penalized because the plan doesn't explicitly state whether simulation assumptions err toward over- or under-predicting savings. Completeness (72.5) suggests the Scorecard wants more detail on model input sources and validation procedures.</w:t>
      </w:r>
    </w:p>
    <w:p>
      <w:pPr>
        <w:spacing w:after="60" w:before="200"/>
      </w:pPr>
      <w:r>
        <w:rPr>
          <w:rFonts w:ascii="Arial" w:cs="Arial" w:eastAsia="Arial" w:hAnsi="Arial"/>
          <w:b/>
          <w:bCs/>
          <w:sz w:val="22"/>
          <w:szCs w:val="22"/>
        </w:rPr>
        <w:t xml:space="preserve">Plan 06: Industrial Compressed Air — Monterrey</w:t>
      </w:r>
      <w:r>
        <w:rPr>
          <w:rFonts w:ascii="Arial" w:cs="Arial" w:eastAsia="Arial" w:hAnsi="Arial"/>
          <w:color w:val="666666"/>
          <w:sz w:val="22"/>
          <w:szCs w:val="22"/>
        </w:rPr>
        <w:t xml:space="preserve">  |  Pattern 1 Variant: Production-Normalized  |  Composite: 69/100</w:t>
      </w:r>
    </w:p>
    <w:p>
      <w:pPr>
        <w:spacing w:after="120"/>
      </w:pPr>
      <w:r>
        <w:rPr>
          <w:rFonts w:ascii="Arial" w:cs="Arial" w:eastAsia="Arial" w:hAnsi="Arial"/>
          <w:sz w:val="21"/>
          <w:szCs w:val="21"/>
        </w:rPr>
        <w:t xml:space="preserve">Tests production normalization (kWh/part). High consistency (90) — ISO 50001 framework is well-recognized. Very low conservativeness (17.5) despite good technical detail — the plan doesn't explicitly address which direction assumptions err. Transparency relatively good (65) with explicit model statistics and uncertainty budget.</w:t>
      </w:r>
    </w:p>
    <w:p>
      <w:pPr>
        <w:spacing w:after="60" w:before="200"/>
      </w:pPr>
      <w:r>
        <w:rPr>
          <w:rFonts w:ascii="Arial" w:cs="Arial" w:eastAsia="Arial" w:hAnsi="Arial"/>
          <w:b/>
          <w:bCs/>
          <w:sz w:val="22"/>
          <w:szCs w:val="22"/>
        </w:rPr>
        <w:t xml:space="preserve">Plan 07: Hybrid Hospital — Toronto</w:t>
      </w:r>
      <w:r>
        <w:rPr>
          <w:rFonts w:ascii="Arial" w:cs="Arial" w:eastAsia="Arial" w:hAnsi="Arial"/>
          <w:color w:val="666666"/>
          <w:sz w:val="22"/>
          <w:szCs w:val="22"/>
        </w:rPr>
        <w:t xml:space="preserve">  |  Pattern 4: Hybrid/Tiered  |  Composite: 83/100</w:t>
      </w:r>
    </w:p>
    <w:p>
      <w:pPr>
        <w:spacing w:after="120"/>
      </w:pPr>
      <w:r>
        <w:rPr>
          <w:rFonts w:ascii="Arial" w:cs="Arial" w:eastAsia="Arial" w:hAnsi="Arial"/>
          <w:sz w:val="21"/>
          <w:szCs w:val="21"/>
        </w:rPr>
        <w:t xml:space="preserve">HIGHEST SCORE in the library. The hybrid approach with explicit tier reconciliation (+/-15% threshold) demonstrates sophisticated M&amp;V thinking. Tier 1 for contract compliance + Tier 2 for diagnostics is exactly the multi-stakeholder design the Scorecard rewards. Transparency (87.5) is the highest of any plan — the explicit discussion of what each tier can and cannot tell you, plus honest uncertainty reporting by tier, drives this. Conservativeness moderate (52.5) because while the plan identifies favorable interactive effects as unclaimed, it doesn't systematically address conservative bias across all assumptions.</w:t>
      </w:r>
    </w:p>
    <w:p>
      <w:pPr>
        <w:spacing w:after="60" w:before="200"/>
      </w:pPr>
      <w:r>
        <w:rPr>
          <w:rFonts w:ascii="Arial" w:cs="Arial" w:eastAsia="Arial" w:hAnsi="Arial"/>
          <w:b/>
          <w:bCs/>
          <w:sz w:val="22"/>
          <w:szCs w:val="22"/>
        </w:rPr>
        <w:t xml:space="preserve">Plan 08: EU Municipal Buildings — Brno</w:t>
      </w:r>
      <w:r>
        <w:rPr>
          <w:rFonts w:ascii="Arial" w:cs="Arial" w:eastAsia="Arial" w:hAnsi="Arial"/>
          <w:color w:val="666666"/>
          <w:sz w:val="22"/>
          <w:szCs w:val="22"/>
        </w:rPr>
        <w:t xml:space="preserve">  |  Pattern 1 (thermal) + Pattern 2 (electrical)  |  Composite: 69/100</w:t>
      </w:r>
    </w:p>
    <w:p>
      <w:pPr>
        <w:spacing w:after="120"/>
      </w:pPr>
      <w:r>
        <w:rPr>
          <w:rFonts w:ascii="Arial" w:cs="Arial" w:eastAsia="Arial" w:hAnsi="Arial"/>
          <w:sz w:val="21"/>
          <w:szCs w:val="21"/>
        </w:rPr>
        <w:t xml:space="preserve">Tests EN 17267 / EU EPC framework. High accuracy (92.5) and completeness (85). Consistency lower than expected (70) — possibly because the dual thermal/electrical approach with different IPMVP Options and different standards (EN 17267, ASHRAE 14, EN 16247) creates complexity the Scorecard sees as inconsistent rather than comprehensive. Conservativeness (35) follows the pattern — no explicit conservative bias discussion.</w:t>
      </w:r>
    </w:p>
    <w:p>
      <w:pPr>
        <w:pStyle w:val="Heading2"/>
        <w:spacing w:before="400"/>
      </w:pPr>
      <w:r>
        <w:rPr>
          <w:rFonts w:ascii="Arial" w:cs="Arial" w:eastAsia="Arial" w:hAnsi="Arial"/>
        </w:rPr>
        <w:t xml:space="preserve">Implications for Scorecard Development</w:t>
      </w:r>
    </w:p>
    <w:p>
      <w:pPr>
        <w:spacing w:after="120"/>
      </w:pPr>
      <w:r>
        <w:rPr>
          <w:rFonts w:ascii="Arial" w:cs="Arial" w:eastAsia="Arial" w:hAnsi="Arial"/>
          <w:b/>
          <w:bCs/>
          <w:sz w:val="22"/>
          <w:szCs w:val="22"/>
        </w:rPr>
        <w:t xml:space="preserve">The conservativeness gap is real and important. </w:t>
      </w:r>
      <w:r>
        <w:rPr>
          <w:rFonts w:ascii="Arial" w:cs="Arial" w:eastAsia="Arial" w:hAnsi="Arial"/>
          <w:sz w:val="22"/>
          <w:szCs w:val="22"/>
        </w:rPr>
        <w:t xml:space="preserve">The templates (Tier 1 in the roadmap) should include explicit conservative bias prompts — "For each estimated parameter, state whether the estimate errs toward overstating or understating savings, and why." This would help practitioners address the principle before submission.</w:t>
      </w:r>
    </w:p>
    <w:p>
      <w:pPr>
        <w:spacing w:after="120"/>
      </w:pPr>
      <w:r>
        <w:rPr>
          <w:rFonts w:ascii="Arial" w:cs="Arial" w:eastAsia="Arial" w:hAnsi="Arial"/>
          <w:b/>
          <w:bCs/>
          <w:sz w:val="22"/>
          <w:szCs w:val="22"/>
        </w:rPr>
        <w:t xml:space="preserve">Transparency needs template scaffolding. </w:t>
      </w:r>
      <w:r>
        <w:rPr>
          <w:rFonts w:ascii="Arial" w:cs="Arial" w:eastAsia="Arial" w:hAnsi="Arial"/>
          <w:sz w:val="22"/>
          <w:szCs w:val="22"/>
        </w:rPr>
        <w:t xml:space="preserve">A "Limitations and Data Quality" section in each template — prompting practitioners to document known gaps, sensor accuracy limits, and model boundaries — would lift transparency scores across the board.</w:t>
      </w:r>
    </w:p>
    <w:p>
      <w:pPr>
        <w:spacing w:after="120"/>
      </w:pPr>
      <w:r>
        <w:rPr>
          <w:rFonts w:ascii="Arial" w:cs="Arial" w:eastAsia="Arial" w:hAnsi="Arial"/>
          <w:b/>
          <w:bCs/>
          <w:sz w:val="22"/>
          <w:szCs w:val="22"/>
        </w:rPr>
        <w:t xml:space="preserve">The hybrid pattern deserves a template. </w:t>
      </w:r>
      <w:r>
        <w:rPr>
          <w:rFonts w:ascii="Arial" w:cs="Arial" w:eastAsia="Arial" w:hAnsi="Arial"/>
          <w:sz w:val="22"/>
          <w:szCs w:val="22"/>
        </w:rPr>
        <w:t xml:space="preserve">Plan 07 scored highest and represents the most common real-world ESPC structure: whole-facility for contract compliance, equipment-level for diagnostics. The Pattern 4 template should be prioritized — it naturally produces higher-scoring plans.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a3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a5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2026-03-03T00:00:12.317Z</dcterms:created>
  <dcterms:modified xsi:type="dcterms:W3CDTF">2026-03-03T00:00:12.317Z</dcterms:modified>
</cp:coreProperties>
</file>

<file path=docProps/custom.xml><?xml version="1.0" encoding="utf-8"?>
<Properties xmlns="http://schemas.openxmlformats.org/officeDocument/2006/custom-properties" xmlns:vt="http://schemas.openxmlformats.org/officeDocument/2006/docPropsVTypes"/>
</file>