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ordWrap w:val="0"/>
      </w:pPr>
      <w:r>
        <w:t>직무수행계획서 3년 연구계획</w:t>
      </w:r>
    </w:p>
    <w:p>
      <w:pPr>
        <w:pStyle w:val="Subtitle"/>
        <w:wordWrap w:val="0"/>
      </w:pPr>
      <w:r>
        <w:t>서울시여성가족재단 여성 가족정책연구 권준성</w:t>
      </w:r>
    </w:p>
    <w:p>
      <w:pPr>
        <w:pStyle w:val="Topic"/>
        <w:wordWrap w:val="0"/>
      </w:pPr>
      <w:r>
        <w:t>서울시 친밀관계폭력의 조기 대응과 보호 공백 개선 연구</w:t>
      </w:r>
    </w:p>
    <w:p>
      <w:pPr>
        <w:pStyle w:val="Focus"/>
        <w:wordWrap w:val="0"/>
      </w:pPr>
      <w:r>
        <w:t>경제적 폭력과 기술매개 폭력의 반복 경과 및 보호조치 연계</w:t>
      </w:r>
    </w:p>
    <w:p>
      <w:pPr>
        <w:pStyle w:val="Heading1"/>
        <w:wordWrap w:val="0"/>
      </w:pPr>
      <w:r>
        <w:t>1 연구 목적과 3년 추진 방향</w:t>
      </w:r>
    </w:p>
    <w:p>
      <w:pPr>
        <w:wordWrap w:val="0"/>
      </w:pPr>
      <w:r>
        <w:t>저는 폭력의 반복과 변화, 피해자의 도움 요청을 연구해 온 경험을 바탕으로, 이미 피해가 발생했지만 폭력으로 인식되거나 보호 필요로 인정되지 못하는 과정을 분석하겠습니다. 경제적 폭력과 기술매개 폭력을 중점적으로 살펴, 피해의 반복과 심화에 관련된 조건을 확인하고 서울시의 보호·지원 연계를 개선하겠습니다.</w:t>
      </w:r>
    </w:p>
    <w:p>
      <w:pPr>
        <w:wordWrap w:val="0"/>
      </w:pPr>
      <w:r>
        <w:t>연구 범위는 현재 또는 과거 배우자·연인 관계와 이별 이후의 스토킹입니다. 경제적 자원의 침해·접근 제한, 기술을 이용한 감시·접촉·위협을 중심으로 다른 폭력과의 결합, 성별에 따른 자원 차이와 돌봄 부담, 주거·고용 여건을 함께 분석하겠습니다. 보호조치는 이러한 피해에 대한 제도적 대응 과정으로 살피겠습니다.</w:t>
      </w:r>
    </w:p>
    <w:p>
      <w:pPr>
        <w:pStyle w:val="Heading2"/>
        <w:wordWrap w:val="0"/>
      </w:pPr>
      <w:r>
        <w:t>연차별 역할과 연결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4450"/>
        <w:gridCol w:w="3827"/>
      </w:tblGrid>
      <w:tr>
        <w:trPr>
          <w:cantSplit/>
          <w:tblHeader/>
        </w:trPr>
        <w:tc>
          <w:tcPr>
            <w:tcW w:type="dxa" w:w="1247"/>
            <w:vAlign w:val="center"/>
            <w:tcMar>
              <w:top w:w="85" w:type="dxa"/>
              <w:bottom w:w="85" w:type="dxa"/>
              <w:left w:w="100" w:type="dxa"/>
              <w:right w:w="100" w:type="dxa"/>
            </w:tcMar>
            <w:shd w:fill="EEEEEE"/>
          </w:tcPr>
          <w:p>
            <w:pPr>
              <w:spacing w:line="280" w:lineRule="exact" w:before="0" w:after="0"/>
              <w:jc w:val="center"/>
            </w:pPr>
            <w:r>
              <w:rPr>
                <w:rFonts w:ascii="NanumGothic" w:hAnsi="NanumGothic"/>
                <w:b/>
                <w:i w:val="0"/>
                <w:color w:val="000000"/>
                <w:sz w:val="19"/>
              </w:rPr>
              <w:t>연차</w:t>
            </w:r>
          </w:p>
        </w:tc>
        <w:tc>
          <w:tcPr>
            <w:tcW w:type="dxa" w:w="4450"/>
            <w:vAlign w:val="center"/>
            <w:tcMar>
              <w:top w:w="85" w:type="dxa"/>
              <w:bottom w:w="85" w:type="dxa"/>
              <w:left w:w="100" w:type="dxa"/>
              <w:right w:w="100" w:type="dxa"/>
            </w:tcMar>
            <w:shd w:fill="EEEEEE"/>
          </w:tcPr>
          <w:p>
            <w:pPr>
              <w:spacing w:line="280" w:lineRule="exact" w:before="0" w:after="0"/>
              <w:jc w:val="center"/>
            </w:pPr>
            <w:r>
              <w:rPr>
                <w:rFonts w:ascii="NanumGothic" w:hAnsi="NanumGothic"/>
                <w:b/>
                <w:i w:val="0"/>
                <w:color w:val="000000"/>
                <w:sz w:val="19"/>
              </w:rPr>
              <w:t>주요 연구</w:t>
            </w:r>
          </w:p>
        </w:tc>
        <w:tc>
          <w:tcPr>
            <w:tcW w:type="dxa" w:w="3827"/>
            <w:vAlign w:val="center"/>
            <w:tcMar>
              <w:top w:w="85" w:type="dxa"/>
              <w:bottom w:w="85" w:type="dxa"/>
              <w:left w:w="100" w:type="dxa"/>
              <w:right w:w="100" w:type="dxa"/>
            </w:tcMar>
            <w:shd w:fill="EEEEEE"/>
          </w:tcPr>
          <w:p>
            <w:pPr>
              <w:spacing w:line="280" w:lineRule="exact" w:before="0" w:after="0"/>
              <w:jc w:val="center"/>
            </w:pPr>
            <w:r>
              <w:rPr>
                <w:rFonts w:ascii="NanumGothic" w:hAnsi="NanumGothic"/>
                <w:b/>
                <w:i w:val="0"/>
                <w:color w:val="000000"/>
                <w:sz w:val="19"/>
              </w:rPr>
              <w:t>매년 완성할 결과물</w:t>
            </w:r>
          </w:p>
        </w:tc>
      </w:tr>
      <w:tr>
        <w:trPr>
          <w:cantSplit/>
        </w:trPr>
        <w:tc>
          <w:tcPr>
            <w:tcW w:type="dxa" w:w="1247"/>
            <w:vAlign w:val="center"/>
            <w:tcMar>
              <w:top w:w="85" w:type="dxa"/>
              <w:bottom w:w="85" w:type="dxa"/>
              <w:left w:w="100" w:type="dxa"/>
              <w:right w:w="100" w:type="dxa"/>
            </w:tcMar>
          </w:tcPr>
          <w:p>
            <w:pPr>
              <w:spacing w:line="280" w:lineRule="exact" w:before="0" w:after="0"/>
              <w:jc w:val="center"/>
            </w:pPr>
            <w:r>
              <w:rPr>
                <w:rFonts w:ascii="NanumGothic" w:hAnsi="NanumGothic"/>
                <w:b w:val="0"/>
                <w:i w:val="0"/>
                <w:color w:val="000000"/>
                <w:sz w:val="19"/>
              </w:rPr>
              <w:t>1년 차</w:t>
              <w:br/>
              <w:t>2027년</w:t>
            </w:r>
          </w:p>
        </w:tc>
        <w:tc>
          <w:tcPr>
            <w:tcW w:type="dxa" w:w="4450"/>
            <w:vAlign w:val="center"/>
            <w:tcMar>
              <w:top w:w="85" w:type="dxa"/>
              <w:bottom w:w="85" w:type="dxa"/>
              <w:left w:w="100" w:type="dxa"/>
              <w:right w:w="100" w:type="dxa"/>
            </w:tcMar>
          </w:tcPr>
          <w:p>
            <w:pPr>
              <w:spacing w:line="280" w:lineRule="exact" w:before="0" w:after="0"/>
              <w:jc w:val="left"/>
            </w:pPr>
            <w:r>
              <w:rPr>
                <w:rFonts w:ascii="NanumGothic" w:hAnsi="NanumGothic"/>
                <w:b w:val="0"/>
                <w:i w:val="0"/>
                <w:color w:val="000000"/>
                <w:sz w:val="19"/>
              </w:rPr>
              <w:t>국내외 제도 검토와 실무자 탐색 면접</w:t>
              <w:br/>
              <w:t>판결문 예비분석과 분석 틀 정립</w:t>
            </w:r>
          </w:p>
        </w:tc>
        <w:tc>
          <w:tcPr>
            <w:tcW w:type="dxa" w:w="3827"/>
            <w:vAlign w:val="center"/>
            <w:tcMar>
              <w:top w:w="85" w:type="dxa"/>
              <w:bottom w:w="85" w:type="dxa"/>
              <w:left w:w="100" w:type="dxa"/>
              <w:right w:w="100" w:type="dxa"/>
            </w:tcMar>
          </w:tcPr>
          <w:p>
            <w:pPr>
              <w:spacing w:line="280" w:lineRule="exact" w:before="0" w:after="0"/>
              <w:jc w:val="left"/>
            </w:pPr>
            <w:r>
              <w:rPr>
                <w:rFonts w:ascii="NanumGothic" w:hAnsi="NanumGothic"/>
                <w:b w:val="0"/>
                <w:i w:val="0"/>
                <w:color w:val="000000"/>
                <w:sz w:val="19"/>
              </w:rPr>
              <w:t>제도·현장 보호 공백 진단보고서</w:t>
              <w:br/>
              <w:t>판결문 코딩 지침과 본분석 설계</w:t>
            </w:r>
          </w:p>
        </w:tc>
      </w:tr>
      <w:tr>
        <w:trPr>
          <w:cantSplit/>
        </w:trPr>
        <w:tc>
          <w:tcPr>
            <w:tcW w:type="dxa" w:w="1247"/>
            <w:vAlign w:val="center"/>
            <w:tcMar>
              <w:top w:w="85" w:type="dxa"/>
              <w:bottom w:w="85" w:type="dxa"/>
              <w:left w:w="100" w:type="dxa"/>
              <w:right w:w="100" w:type="dxa"/>
            </w:tcMar>
          </w:tcPr>
          <w:p>
            <w:pPr>
              <w:spacing w:line="280" w:lineRule="exact" w:before="0" w:after="0"/>
              <w:jc w:val="center"/>
            </w:pPr>
            <w:r>
              <w:rPr>
                <w:rFonts w:ascii="NanumGothic" w:hAnsi="NanumGothic"/>
                <w:b w:val="0"/>
                <w:i w:val="0"/>
                <w:color w:val="000000"/>
                <w:sz w:val="19"/>
              </w:rPr>
              <w:t>2년 차</w:t>
              <w:br/>
              <w:t>2028년</w:t>
            </w:r>
          </w:p>
        </w:tc>
        <w:tc>
          <w:tcPr>
            <w:tcW w:type="dxa" w:w="4450"/>
            <w:vAlign w:val="center"/>
            <w:tcMar>
              <w:top w:w="85" w:type="dxa"/>
              <w:bottom w:w="85" w:type="dxa"/>
              <w:left w:w="100" w:type="dxa"/>
              <w:right w:w="100" w:type="dxa"/>
            </w:tcMar>
          </w:tcPr>
          <w:p>
            <w:pPr>
              <w:spacing w:line="280" w:lineRule="exact" w:before="0" w:after="0"/>
              <w:jc w:val="left"/>
            </w:pPr>
            <w:r>
              <w:rPr>
                <w:rFonts w:ascii="NanumGothic" w:hAnsi="NanumGothic"/>
                <w:b w:val="0"/>
                <w:i w:val="0"/>
                <w:color w:val="000000"/>
                <w:sz w:val="19"/>
              </w:rPr>
              <w:t>판결문 본분석과 보호명령 초기 운영 검토</w:t>
              <w:br/>
              <w:t>실무자 후속 면접과 시민조사 문항 개발</w:t>
            </w:r>
          </w:p>
        </w:tc>
        <w:tc>
          <w:tcPr>
            <w:tcW w:type="dxa" w:w="3827"/>
            <w:vAlign w:val="center"/>
            <w:tcMar>
              <w:top w:w="85" w:type="dxa"/>
              <w:bottom w:w="85" w:type="dxa"/>
              <w:left w:w="100" w:type="dxa"/>
              <w:right w:w="100" w:type="dxa"/>
            </w:tcMar>
          </w:tcPr>
          <w:p>
            <w:pPr>
              <w:spacing w:line="280" w:lineRule="exact" w:before="0" w:after="0"/>
              <w:jc w:val="left"/>
            </w:pPr>
            <w:r>
              <w:rPr>
                <w:rFonts w:ascii="NanumGothic" w:hAnsi="NanumGothic"/>
                <w:b w:val="0"/>
                <w:i w:val="0"/>
                <w:color w:val="000000"/>
                <w:sz w:val="19"/>
              </w:rPr>
              <w:t>반복 경과·보호 접근 분석보고서</w:t>
              <w:br/>
              <w:t>현장 확인 항목과 본조사 설계서</w:t>
            </w:r>
          </w:p>
        </w:tc>
      </w:tr>
      <w:tr>
        <w:trPr>
          <w:cantSplit/>
        </w:trPr>
        <w:tc>
          <w:tcPr>
            <w:tcW w:type="dxa" w:w="1247"/>
            <w:vAlign w:val="center"/>
            <w:tcMar>
              <w:top w:w="85" w:type="dxa"/>
              <w:bottom w:w="85" w:type="dxa"/>
              <w:left w:w="100" w:type="dxa"/>
              <w:right w:w="100" w:type="dxa"/>
            </w:tcMar>
          </w:tcPr>
          <w:p>
            <w:pPr>
              <w:spacing w:line="280" w:lineRule="exact" w:before="0" w:after="0"/>
              <w:jc w:val="center"/>
            </w:pPr>
            <w:r>
              <w:rPr>
                <w:rFonts w:ascii="NanumGothic" w:hAnsi="NanumGothic"/>
                <w:b w:val="0"/>
                <w:i w:val="0"/>
                <w:color w:val="000000"/>
                <w:sz w:val="19"/>
              </w:rPr>
              <w:t>3년 차</w:t>
              <w:br/>
              <w:t>2029년</w:t>
            </w:r>
          </w:p>
        </w:tc>
        <w:tc>
          <w:tcPr>
            <w:tcW w:type="dxa" w:w="4450"/>
            <w:vAlign w:val="center"/>
            <w:tcMar>
              <w:top w:w="85" w:type="dxa"/>
              <w:bottom w:w="85" w:type="dxa"/>
              <w:left w:w="100" w:type="dxa"/>
              <w:right w:w="100" w:type="dxa"/>
            </w:tcMar>
          </w:tcPr>
          <w:p>
            <w:pPr>
              <w:spacing w:line="280" w:lineRule="exact" w:before="0" w:after="0"/>
              <w:jc w:val="left"/>
            </w:pPr>
            <w:r>
              <w:rPr>
                <w:rFonts w:ascii="NanumGothic" w:hAnsi="NanumGothic"/>
                <w:b w:val="0"/>
                <w:i w:val="0"/>
                <w:color w:val="000000"/>
                <w:sz w:val="19"/>
              </w:rPr>
              <w:t>서울시민 피해경험 조사</w:t>
              <w:br/>
              <w:t>보호·지원 이용의 공백과 개선과제 분석</w:t>
            </w:r>
          </w:p>
        </w:tc>
        <w:tc>
          <w:tcPr>
            <w:tcW w:type="dxa" w:w="3827"/>
            <w:vAlign w:val="center"/>
            <w:tcMar>
              <w:top w:w="85" w:type="dxa"/>
              <w:bottom w:w="85" w:type="dxa"/>
              <w:left w:w="100" w:type="dxa"/>
              <w:right w:w="100" w:type="dxa"/>
            </w:tcMar>
          </w:tcPr>
          <w:p>
            <w:pPr>
              <w:spacing w:line="280" w:lineRule="exact" w:before="0" w:after="0"/>
              <w:jc w:val="left"/>
            </w:pPr>
            <w:r>
              <w:rPr>
                <w:rFonts w:ascii="NanumGothic" w:hAnsi="NanumGothic"/>
                <w:b w:val="0"/>
                <w:i w:val="0"/>
                <w:color w:val="000000"/>
                <w:sz w:val="19"/>
              </w:rPr>
              <w:t>시민조사 보고서</w:t>
              <w:br/>
              <w:t>보호·생활지원 연계 및 재점검안</w:t>
            </w:r>
          </w:p>
        </w:tc>
      </w:tr>
    </w:tbl>
    <w:p>
      <w:pPr>
        <w:wordWrap w:val="0"/>
        <w:spacing w:before="120"/>
      </w:pPr>
      <w:r>
        <w:t>2027년 착수를 가정한 일정이며 실제 과제 배정 시점에 맞춰 조정하겠습니다. 첫해 제도·현장 검토와 예비분석이 둘째 해 본분석의 기준을 만들고, 두 해의 결과가 셋째 해 시민조사의 문항과 정책 대안으로 이어지도록 설계하겠습니다.</w:t>
      </w:r>
    </w:p>
    <w:p>
      <w:pPr>
        <w:pStyle w:val="Heading2"/>
        <w:wordWrap w:val="0"/>
      </w:pPr>
      <w:r>
        <w:t>핵심 연구 질문</w:t>
      </w:r>
    </w:p>
    <w:p>
      <w:pPr>
        <w:wordWrap w:val="0"/>
      </w:pPr>
      <w:r>
        <w:t>첫째, 경제적·기술매개 폭력은 어떤 조건에서 피해로 인식되고 법적 보호와 지원의 대상이 되는가? 둘째, 이러한 행위는 후속 피해의 발생 간격과 양상에 어떻게 관련되며 보호조치 이후에는 어떤 방식으로 지속·변화하는가? 셋째, 서울시민이 필요한 보호와 지원을 실제로 이용하는 과정에서 무엇이 접근을 막는가?</w:t>
      </w:r>
    </w:p>
    <w:p>
      <w:pPr>
        <w:wordWrap w:val="0"/>
      </w:pPr>
      <w:r>
        <w:t>경제적·기술매개 폭력 자체의 피해를 먼저 확인하고, 이후 폭력의 선행 신호인지와 보호조치를 우회하는 경로인지는 자료로 검토하겠습니다. 조기 대응에는 오래 지속되었지만 외부에 드러나지 않은 피해에 대한 개입도 포함하겠습니다.</w:t>
      </w:r>
    </w:p>
    <w:p>
      <w:pPr>
        <w:pStyle w:val="Heading1"/>
        <w:pageBreakBefore/>
        <w:wordWrap w:val="0"/>
        <w:spacing w:before="0"/>
      </w:pPr>
      <w:r>
        <w:t>2 첫째 해 제도와 현장 검토 및 판결문 예비분석</w:t>
      </w:r>
    </w:p>
    <w:p>
      <w:pPr>
        <w:wordWrap w:val="0"/>
      </w:pPr>
      <w:r>
        <w:t>첫해에는 국내외 제도와 현장 경험을 대조하여 보호 공백을 정리하고, 판결문에서 확인할 수 있는 피해와 대응 경과를 점검하겠습니다. 제도·면접에서 나온 쟁점을 예비자료에 적용하여 둘째 해 본분석의 기준을 마련하겠습니다.</w:t>
      </w:r>
    </w:p>
    <w:p>
      <w:pPr>
        <w:pStyle w:val="Heading2"/>
        <w:wordWrap w:val="0"/>
      </w:pPr>
      <w:r>
        <w:t>국내외 제도와 기존 연구를 먼저 검토</w:t>
      </w:r>
    </w:p>
    <w:p>
      <w:pPr>
        <w:wordWrap w:val="0"/>
      </w:pPr>
      <w:r>
        <w:t>국내 가정폭력·스토킹 법제와 일반 형사법의 적용 범위를 관계 유형·행위·시점별로 정리하겠습니다. 경제적·기술매개 행위가 어떤 요건에서 범죄나 보호 필요로 판단되는지, 증거·기록·신청 절차에서 어떤 어려움이 생기는지 검토하겠습니다. 교제관계에서 적용 가능한 조치와 그 범위 밖에 남는 보호 필요를 구체화하겠습니다.[16][17][18]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4450"/>
        <w:gridCol w:w="3827"/>
      </w:tblGrid>
      <w:tr>
        <w:trPr>
          <w:cantSplit/>
          <w:tblHeader/>
        </w:trPr>
        <w:tc>
          <w:tcPr>
            <w:tcW w:type="dxa" w:w="1247"/>
            <w:vAlign w:val="center"/>
            <w:tcMar>
              <w:top w:w="85" w:type="dxa"/>
              <w:bottom w:w="85" w:type="dxa"/>
              <w:left w:w="100" w:type="dxa"/>
              <w:right w:w="100" w:type="dxa"/>
            </w:tcMar>
            <w:shd w:fill="EEEEEE"/>
          </w:tcPr>
          <w:p>
            <w:pPr>
              <w:spacing w:line="280" w:lineRule="exact" w:before="0" w:after="0"/>
              <w:jc w:val="center"/>
            </w:pPr>
            <w:r>
              <w:rPr>
                <w:rFonts w:ascii="NanumGothic" w:hAnsi="NanumGothic"/>
                <w:b/>
                <w:i w:val="0"/>
                <w:color w:val="000000"/>
                <w:sz w:val="19"/>
              </w:rPr>
              <w:t>비교 관할</w:t>
            </w:r>
          </w:p>
        </w:tc>
        <w:tc>
          <w:tcPr>
            <w:tcW w:type="dxa" w:w="4450"/>
            <w:vAlign w:val="center"/>
            <w:tcMar>
              <w:top w:w="85" w:type="dxa"/>
              <w:bottom w:w="85" w:type="dxa"/>
              <w:left w:w="100" w:type="dxa"/>
              <w:right w:w="100" w:type="dxa"/>
            </w:tcMar>
            <w:shd w:fill="EEEEEE"/>
          </w:tcPr>
          <w:p>
            <w:pPr>
              <w:spacing w:line="280" w:lineRule="exact" w:before="0" w:after="0"/>
              <w:jc w:val="center"/>
            </w:pPr>
            <w:r>
              <w:rPr>
                <w:rFonts w:ascii="NanumGothic" w:hAnsi="NanumGothic"/>
                <w:b/>
                <w:i w:val="0"/>
                <w:color w:val="000000"/>
                <w:sz w:val="19"/>
              </w:rPr>
              <w:t>검토할 기준</w:t>
            </w:r>
          </w:p>
        </w:tc>
        <w:tc>
          <w:tcPr>
            <w:tcW w:type="dxa" w:w="3827"/>
            <w:vAlign w:val="center"/>
            <w:tcMar>
              <w:top w:w="85" w:type="dxa"/>
              <w:bottom w:w="85" w:type="dxa"/>
              <w:left w:w="100" w:type="dxa"/>
              <w:right w:w="100" w:type="dxa"/>
            </w:tcMar>
            <w:shd w:fill="EEEEEE"/>
          </w:tcPr>
          <w:p>
            <w:pPr>
              <w:spacing w:line="280" w:lineRule="exact" w:before="0" w:after="0"/>
              <w:jc w:val="center"/>
            </w:pPr>
            <w:r>
              <w:rPr>
                <w:rFonts w:ascii="NanumGothic" w:hAnsi="NanumGothic"/>
                <w:b/>
                <w:i w:val="0"/>
                <w:color w:val="000000"/>
                <w:sz w:val="19"/>
              </w:rPr>
              <w:t>서울시 연구에 활용할 내용</w:t>
            </w:r>
          </w:p>
        </w:tc>
      </w:tr>
      <w:tr>
        <w:trPr>
          <w:cantSplit/>
        </w:trPr>
        <w:tc>
          <w:tcPr>
            <w:tcW w:type="dxa" w:w="1247"/>
            <w:vAlign w:val="center"/>
            <w:tcMar>
              <w:top w:w="85" w:type="dxa"/>
              <w:bottom w:w="85" w:type="dxa"/>
              <w:left w:w="100" w:type="dxa"/>
              <w:right w:w="100" w:type="dxa"/>
            </w:tcMar>
          </w:tcPr>
          <w:p>
            <w:pPr>
              <w:spacing w:line="280" w:lineRule="exact" w:before="0" w:after="0"/>
              <w:jc w:val="center"/>
            </w:pPr>
            <w:r>
              <w:rPr>
                <w:rFonts w:ascii="NanumGothic" w:hAnsi="NanumGothic"/>
                <w:b w:val="0"/>
                <w:i w:val="0"/>
                <w:color w:val="000000"/>
                <w:sz w:val="19"/>
              </w:rPr>
              <w:t>잉글랜드·</w:t>
              <w:br/>
              <w:t>웨일스</w:t>
            </w:r>
          </w:p>
        </w:tc>
        <w:tc>
          <w:tcPr>
            <w:tcW w:type="dxa" w:w="4450"/>
            <w:vAlign w:val="center"/>
            <w:tcMar>
              <w:top w:w="85" w:type="dxa"/>
              <w:bottom w:w="85" w:type="dxa"/>
              <w:left w:w="100" w:type="dxa"/>
              <w:right w:w="100" w:type="dxa"/>
            </w:tcMar>
          </w:tcPr>
          <w:p>
            <w:pPr>
              <w:spacing w:line="280" w:lineRule="exact" w:before="0" w:after="0"/>
              <w:jc w:val="left"/>
            </w:pPr>
            <w:r>
              <w:rPr>
                <w:rFonts w:ascii="NanumGothic" w:hAnsi="NanumGothic"/>
                <w:b w:val="0"/>
                <w:i w:val="0"/>
                <w:color w:val="000000"/>
                <w:sz w:val="19"/>
              </w:rPr>
              <w:t>강압적 통제의 반복성·누적 영향과 증거, 형사절차 밖 지원[10][11]</w:t>
            </w:r>
          </w:p>
        </w:tc>
        <w:tc>
          <w:tcPr>
            <w:tcW w:type="dxa" w:w="3827"/>
            <w:vAlign w:val="center"/>
            <w:tcMar>
              <w:top w:w="85" w:type="dxa"/>
              <w:bottom w:w="85" w:type="dxa"/>
              <w:left w:w="100" w:type="dxa"/>
              <w:right w:w="100" w:type="dxa"/>
            </w:tcMar>
          </w:tcPr>
          <w:p>
            <w:pPr>
              <w:spacing w:line="280" w:lineRule="exact" w:before="0" w:after="0"/>
              <w:jc w:val="left"/>
            </w:pPr>
            <w:r>
              <w:rPr>
                <w:rFonts w:ascii="NanumGothic" w:hAnsi="NanumGothic"/>
                <w:b w:val="0"/>
                <w:i w:val="0"/>
                <w:color w:val="000000"/>
                <w:sz w:val="19"/>
              </w:rPr>
              <w:t>개별 행위를 관계 맥락과 생활 영향으로 확인하는 기준</w:t>
            </w:r>
          </w:p>
        </w:tc>
      </w:tr>
      <w:tr>
        <w:trPr>
          <w:cantSplit/>
        </w:trPr>
        <w:tc>
          <w:tcPr>
            <w:tcW w:type="dxa" w:w="1247"/>
            <w:vAlign w:val="center"/>
            <w:tcMar>
              <w:top w:w="85" w:type="dxa"/>
              <w:bottom w:w="85" w:type="dxa"/>
              <w:left w:w="100" w:type="dxa"/>
              <w:right w:w="100" w:type="dxa"/>
            </w:tcMar>
          </w:tcPr>
          <w:p>
            <w:pPr>
              <w:spacing w:line="280" w:lineRule="exact" w:before="0" w:after="0"/>
              <w:jc w:val="center"/>
            </w:pPr>
            <w:r>
              <w:rPr>
                <w:rFonts w:ascii="NanumGothic" w:hAnsi="NanumGothic"/>
                <w:b w:val="0"/>
                <w:i w:val="0"/>
                <w:color w:val="000000"/>
                <w:sz w:val="19"/>
              </w:rPr>
              <w:t>뉴사우스</w:t>
              <w:br/>
              <w:t>웨일스</w:t>
            </w:r>
          </w:p>
        </w:tc>
        <w:tc>
          <w:tcPr>
            <w:tcW w:type="dxa" w:w="4450"/>
            <w:vAlign w:val="center"/>
            <w:tcMar>
              <w:top w:w="85" w:type="dxa"/>
              <w:bottom w:w="85" w:type="dxa"/>
              <w:left w:w="100" w:type="dxa"/>
              <w:right w:w="100" w:type="dxa"/>
            </w:tcMar>
          </w:tcPr>
          <w:p>
            <w:pPr>
              <w:spacing w:line="280" w:lineRule="exact" w:before="0" w:after="0"/>
              <w:jc w:val="left"/>
            </w:pPr>
            <w:r>
              <w:rPr>
                <w:rFonts w:ascii="NanumGothic" w:hAnsi="NanumGothic"/>
                <w:b w:val="0"/>
                <w:i w:val="0"/>
                <w:color w:val="000000"/>
                <w:sz w:val="19"/>
              </w:rPr>
              <w:t>친밀관계의 강압적 통제 성립 요건과 행위·영향 판단[12]</w:t>
            </w:r>
          </w:p>
        </w:tc>
        <w:tc>
          <w:tcPr>
            <w:tcW w:type="dxa" w:w="3827"/>
            <w:vAlign w:val="center"/>
            <w:tcMar>
              <w:top w:w="85" w:type="dxa"/>
              <w:bottom w:w="85" w:type="dxa"/>
              <w:left w:w="100" w:type="dxa"/>
              <w:right w:w="100" w:type="dxa"/>
            </w:tcMar>
          </w:tcPr>
          <w:p>
            <w:pPr>
              <w:spacing w:line="280" w:lineRule="exact" w:before="0" w:after="0"/>
              <w:jc w:val="left"/>
            </w:pPr>
            <w:r>
              <w:rPr>
                <w:rFonts w:ascii="NanumGothic" w:hAnsi="NanumGothic"/>
                <w:b w:val="0"/>
                <w:i w:val="0"/>
                <w:color w:val="000000"/>
                <w:sz w:val="19"/>
              </w:rPr>
              <w:t>경제·기술 행위의 범죄 성립 조건과 보호 범위 비교</w:t>
            </w:r>
          </w:p>
        </w:tc>
      </w:tr>
      <w:tr>
        <w:trPr>
          <w:cantSplit/>
        </w:trPr>
        <w:tc>
          <w:tcPr>
            <w:tcW w:type="dxa" w:w="1247"/>
            <w:vAlign w:val="center"/>
            <w:tcMar>
              <w:top w:w="85" w:type="dxa"/>
              <w:bottom w:w="85" w:type="dxa"/>
              <w:left w:w="100" w:type="dxa"/>
              <w:right w:w="100" w:type="dxa"/>
            </w:tcMar>
          </w:tcPr>
          <w:p>
            <w:pPr>
              <w:spacing w:line="280" w:lineRule="exact" w:before="0" w:after="0"/>
              <w:jc w:val="center"/>
            </w:pPr>
            <w:r>
              <w:rPr>
                <w:rFonts w:ascii="NanumGothic" w:hAnsi="NanumGothic"/>
                <w:b w:val="0"/>
                <w:i w:val="0"/>
                <w:color w:val="000000"/>
                <w:sz w:val="19"/>
              </w:rPr>
              <w:t>빅토리아</w:t>
            </w:r>
          </w:p>
        </w:tc>
        <w:tc>
          <w:tcPr>
            <w:tcW w:type="dxa" w:w="4450"/>
            <w:vAlign w:val="center"/>
            <w:tcMar>
              <w:top w:w="85" w:type="dxa"/>
              <w:bottom w:w="85" w:type="dxa"/>
              <w:left w:w="100" w:type="dxa"/>
              <w:right w:w="100" w:type="dxa"/>
            </w:tcMar>
          </w:tcPr>
          <w:p>
            <w:pPr>
              <w:spacing w:line="280" w:lineRule="exact" w:before="0" w:after="0"/>
              <w:jc w:val="left"/>
            </w:pPr>
            <w:r>
              <w:rPr>
                <w:rFonts w:ascii="NanumGothic" w:hAnsi="NanumGothic"/>
                <w:b w:val="0"/>
                <w:i w:val="0"/>
                <w:color w:val="000000"/>
                <w:sz w:val="19"/>
              </w:rPr>
              <w:t>민사 보호와 MARAM의 피해 확인·기록·연계 지침, 형사법 변화[13][14][15]</w:t>
            </w:r>
          </w:p>
        </w:tc>
        <w:tc>
          <w:tcPr>
            <w:tcW w:type="dxa" w:w="3827"/>
            <w:vAlign w:val="center"/>
            <w:tcMar>
              <w:top w:w="85" w:type="dxa"/>
              <w:bottom w:w="85" w:type="dxa"/>
              <w:left w:w="100" w:type="dxa"/>
              <w:right w:w="100" w:type="dxa"/>
            </w:tcMar>
          </w:tcPr>
          <w:p>
            <w:pPr>
              <w:spacing w:line="280" w:lineRule="exact" w:before="0" w:after="0"/>
              <w:jc w:val="left"/>
            </w:pPr>
            <w:r>
              <w:rPr>
                <w:rFonts w:ascii="NanumGothic" w:hAnsi="NanumGothic"/>
                <w:b w:val="0"/>
                <w:i w:val="0"/>
                <w:color w:val="000000"/>
                <w:sz w:val="19"/>
              </w:rPr>
              <w:t>피해 인식 여부와 지원 필요를 함께 묻는 현장 질문</w:t>
            </w:r>
          </w:p>
        </w:tc>
      </w:tr>
    </w:tbl>
    <w:p>
      <w:pPr>
        <w:wordWrap w:val="0"/>
        <w:spacing w:before="120"/>
      </w:pPr>
      <w:r>
        <w:t>재단의 2024년 스토킹 연구와 2026년 친밀관계폭력·성과관리 연구의 결과를 검토하여 기존 정책제언을 정리하겠습니다. 새 과제는 경제적·기술매개 행위의 시간적 경과와 보호조치 접근을 구체화하는 데 중점을 두겠습니다.[1][2][3]</w:t>
      </w:r>
    </w:p>
    <w:p>
      <w:pPr>
        <w:pStyle w:val="Heading2"/>
        <w:wordWrap w:val="0"/>
      </w:pPr>
      <w:r>
        <w:t>실무자 탐색 면접으로 현장의 판단과 공백 확인</w:t>
      </w:r>
    </w:p>
    <w:p>
      <w:pPr>
        <w:wordWrap w:val="0"/>
      </w:pPr>
      <w:r>
        <w:t>상담·사례관리, 법률지원, 경찰, 주거·생계 연계 담당자 등 6~8명을 목적표집하여 면접하겠습니다. 피해로 포착하기 어려운 경제적·기술매개 행위, 증거와 기록의 한계, 보호·지원 연결이 막히는 지점을 묻겠습니다. 필요한 연구윤리 절차 후 면접을 진행하고, 결과를 판결문 코딩 항목과 보호 공백의 유형에 반영하겠습니다.</w:t>
      </w:r>
    </w:p>
    <w:p>
      <w:pPr>
        <w:pStyle w:val="Heading2"/>
        <w:wordWrap w:val="0"/>
      </w:pPr>
      <w:r>
        <w:t>판결문 예비분석과 자료 구축</w:t>
      </w:r>
    </w:p>
    <w:p>
      <w:pPr>
        <w:wordWrap w:val="0"/>
      </w:pPr>
      <w:r>
        <w:t>보유한 전국 판결문 중 관계 유형과 행위 양상이 다른 30~50건을 예비 코딩하겠습니다. 사건별 날짜, 경제적·기술매개 행위, 생활 영향, 신고·조치의 종류와 시점, 이후 행위의 기재율을 확인하겠습니다. 일부 자료는 독립 코딩하여 판단이 갈리는 항목과 기록상 확인 불가를 구분하겠습니다.</w:t>
      </w:r>
    </w:p>
    <w:p>
      <w:pPr>
        <w:wordWrap w:val="0"/>
      </w:pPr>
      <w:r>
        <w:t>서울에서 발생한 사건을 판결서 열람·제공 절차에 따라 신규 수집하겠습니다. 범행 장소를 기준으로 서울 포함 여부를 판정하고, 서울 소재 법원 여부는 별도 변수로 기록하겠습니다. 사건 기간·검색 범위·심급을 정하고 중복을 제거하며, 코딩 시간과 확보량을 토대로 본분석 규모를 확정하겠습니다. 자료 정리와 공통 항목의 코딩은 첫해부터 진행하겠습니다.</w:t>
      </w:r>
    </w:p>
    <w:p>
      <w:pPr>
        <w:pStyle w:val="Heading2"/>
        <w:wordWrap w:val="0"/>
      </w:pPr>
      <w:r>
        <w:t>첫해 결과물</w:t>
      </w:r>
    </w:p>
    <w:p>
      <w:pPr>
        <w:wordWrap w:val="0"/>
      </w:pPr>
      <w:r>
        <w:t>제도·현장 보호 공백 진단보고서, 예비사례 경과표, 판결문 코딩 지침과 본분석 설계를 완성하겠습니다. 현장에서 추가로 확인할 경제적·기술매개 피해 항목도 제시하겠습니다. 첫해 결과는 제도와 확인 가능한 사례의 진단으로 제시하고, 본격적인 반복 경과 비교는 둘째 해에 수행하겠습니다.</w:t>
      </w:r>
    </w:p>
    <w:p>
      <w:pPr>
        <w:pStyle w:val="Heading1"/>
        <w:pageBreakBefore/>
        <w:wordWrap w:val="0"/>
        <w:spacing w:before="0"/>
      </w:pPr>
      <w:r>
        <w:t>3 둘째 해 판결문 본분석과 보호명령 초기 운영 검토</w:t>
      </w:r>
    </w:p>
    <w:p>
      <w:pPr>
        <w:wordWrap w:val="0"/>
      </w:pPr>
      <w:r>
        <w:t>둘째 해에는 첫해 구축한 자료로 피해의 반복과 변화를 분석하고, 실무자 면접을 통해 실제 보호와 지원으로 이어지기 어려운 지점을 확인하겠습니다. 실증분석과 현장 검토를 같은 쟁점에 맞춰 수행하여 시민조사 문항으로 연결하겠습니다.</w:t>
      </w:r>
    </w:p>
    <w:p>
      <w:pPr>
        <w:pStyle w:val="Heading2"/>
        <w:wordWrap w:val="0"/>
      </w:pPr>
      <w:r>
        <w:t>판결문 본분석</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4450"/>
        <w:gridCol w:w="3827"/>
      </w:tblGrid>
      <w:tr>
        <w:trPr>
          <w:cantSplit/>
          <w:tblHeader/>
        </w:trPr>
        <w:tc>
          <w:tcPr>
            <w:tcW w:type="dxa" w:w="1247"/>
            <w:vAlign w:val="center"/>
            <w:tcMar>
              <w:top w:w="85" w:type="dxa"/>
              <w:bottom w:w="85" w:type="dxa"/>
              <w:left w:w="100" w:type="dxa"/>
              <w:right w:w="100" w:type="dxa"/>
            </w:tcMar>
            <w:shd w:fill="EEEEEE"/>
          </w:tcPr>
          <w:p>
            <w:pPr>
              <w:spacing w:line="280" w:lineRule="exact" w:before="0" w:after="0"/>
              <w:jc w:val="center"/>
            </w:pPr>
            <w:r>
              <w:rPr>
                <w:rFonts w:ascii="NanumGothic" w:hAnsi="NanumGothic"/>
                <w:b/>
                <w:i w:val="0"/>
                <w:color w:val="000000"/>
                <w:sz w:val="19"/>
              </w:rPr>
              <w:t>분석 영역</w:t>
            </w:r>
          </w:p>
        </w:tc>
        <w:tc>
          <w:tcPr>
            <w:tcW w:type="dxa" w:w="4450"/>
            <w:vAlign w:val="center"/>
            <w:tcMar>
              <w:top w:w="85" w:type="dxa"/>
              <w:bottom w:w="85" w:type="dxa"/>
              <w:left w:w="100" w:type="dxa"/>
              <w:right w:w="100" w:type="dxa"/>
            </w:tcMar>
            <w:shd w:fill="EEEEEE"/>
          </w:tcPr>
          <w:p>
            <w:pPr>
              <w:spacing w:line="280" w:lineRule="exact" w:before="0" w:after="0"/>
              <w:jc w:val="center"/>
            </w:pPr>
            <w:r>
              <w:rPr>
                <w:rFonts w:ascii="NanumGothic" w:hAnsi="NanumGothic"/>
                <w:b/>
                <w:i w:val="0"/>
                <w:color w:val="000000"/>
                <w:sz w:val="19"/>
              </w:rPr>
              <w:t>핵심 질문</w:t>
            </w:r>
          </w:p>
        </w:tc>
        <w:tc>
          <w:tcPr>
            <w:tcW w:type="dxa" w:w="3827"/>
            <w:vAlign w:val="center"/>
            <w:tcMar>
              <w:top w:w="85" w:type="dxa"/>
              <w:bottom w:w="85" w:type="dxa"/>
              <w:left w:w="100" w:type="dxa"/>
              <w:right w:w="100" w:type="dxa"/>
            </w:tcMar>
            <w:shd w:fill="EEEEEE"/>
          </w:tcPr>
          <w:p>
            <w:pPr>
              <w:spacing w:line="280" w:lineRule="exact" w:before="0" w:after="0"/>
              <w:jc w:val="center"/>
            </w:pPr>
            <w:r>
              <w:rPr>
                <w:rFonts w:ascii="NanumGothic" w:hAnsi="NanumGothic"/>
                <w:b/>
                <w:i w:val="0"/>
                <w:color w:val="000000"/>
                <w:sz w:val="19"/>
              </w:rPr>
              <w:t>분석 방법</w:t>
            </w:r>
          </w:p>
        </w:tc>
      </w:tr>
      <w:tr>
        <w:trPr>
          <w:cantSplit/>
        </w:trPr>
        <w:tc>
          <w:tcPr>
            <w:tcW w:type="dxa" w:w="1247"/>
            <w:vAlign w:val="center"/>
            <w:tcMar>
              <w:top w:w="85" w:type="dxa"/>
              <w:bottom w:w="85" w:type="dxa"/>
              <w:left w:w="100" w:type="dxa"/>
              <w:right w:w="100" w:type="dxa"/>
            </w:tcMar>
          </w:tcPr>
          <w:p>
            <w:pPr>
              <w:spacing w:line="280" w:lineRule="exact" w:before="0" w:after="0"/>
              <w:jc w:val="center"/>
            </w:pPr>
            <w:r>
              <w:rPr>
                <w:rFonts w:ascii="NanumGothic" w:hAnsi="NanumGothic"/>
                <w:b w:val="0"/>
                <w:i w:val="0"/>
                <w:color w:val="000000"/>
                <w:sz w:val="19"/>
              </w:rPr>
              <w:t>반복 간격</w:t>
            </w:r>
          </w:p>
        </w:tc>
        <w:tc>
          <w:tcPr>
            <w:tcW w:type="dxa" w:w="4450"/>
            <w:vAlign w:val="center"/>
            <w:tcMar>
              <w:top w:w="85" w:type="dxa"/>
              <w:bottom w:w="85" w:type="dxa"/>
              <w:left w:w="100" w:type="dxa"/>
              <w:right w:w="100" w:type="dxa"/>
            </w:tcMar>
          </w:tcPr>
          <w:p>
            <w:pPr>
              <w:spacing w:line="280" w:lineRule="exact" w:before="0" w:after="0"/>
              <w:jc w:val="left"/>
            </w:pPr>
            <w:r>
              <w:rPr>
                <w:rFonts w:ascii="NanumGothic" w:hAnsi="NanumGothic"/>
                <w:b w:val="0"/>
                <w:i w:val="0"/>
                <w:color w:val="000000"/>
                <w:sz w:val="19"/>
              </w:rPr>
              <w:t>앞선 경제적·기술매개 행위와 다음 피해까지의 간격은 어떻게 관련되는가</w:t>
            </w:r>
          </w:p>
        </w:tc>
        <w:tc>
          <w:tcPr>
            <w:tcW w:type="dxa" w:w="3827"/>
            <w:vAlign w:val="center"/>
            <w:tcMar>
              <w:top w:w="85" w:type="dxa"/>
              <w:bottom w:w="85" w:type="dxa"/>
              <w:left w:w="100" w:type="dxa"/>
              <w:right w:w="100" w:type="dxa"/>
            </w:tcMar>
          </w:tcPr>
          <w:p>
            <w:pPr>
              <w:spacing w:line="280" w:lineRule="exact" w:before="0" w:after="0"/>
              <w:jc w:val="left"/>
            </w:pPr>
            <w:r>
              <w:rPr>
                <w:rFonts w:ascii="NanumGothic" w:hAnsi="NanumGothic"/>
                <w:b w:val="0"/>
                <w:i w:val="0"/>
                <w:color w:val="000000"/>
                <w:sz w:val="19"/>
              </w:rPr>
              <w:t>반복사건 생존분석 PWP</w:t>
              <w:br/>
              <w:t>사건 순서와 시간가변 정보를 반영</w:t>
            </w:r>
          </w:p>
        </w:tc>
      </w:tr>
      <w:tr>
        <w:trPr>
          <w:cantSplit/>
        </w:trPr>
        <w:tc>
          <w:tcPr>
            <w:tcW w:type="dxa" w:w="1247"/>
            <w:vAlign w:val="center"/>
            <w:tcMar>
              <w:top w:w="85" w:type="dxa"/>
              <w:bottom w:w="85" w:type="dxa"/>
              <w:left w:w="100" w:type="dxa"/>
              <w:right w:w="100" w:type="dxa"/>
            </w:tcMar>
          </w:tcPr>
          <w:p>
            <w:pPr>
              <w:spacing w:line="280" w:lineRule="exact" w:before="0" w:after="0"/>
              <w:jc w:val="center"/>
            </w:pPr>
            <w:r>
              <w:rPr>
                <w:rFonts w:ascii="NanumGothic" w:hAnsi="NanumGothic"/>
                <w:b w:val="0"/>
                <w:i w:val="0"/>
                <w:color w:val="000000"/>
                <w:sz w:val="19"/>
              </w:rPr>
              <w:t>피해 양상</w:t>
            </w:r>
          </w:p>
        </w:tc>
        <w:tc>
          <w:tcPr>
            <w:tcW w:type="dxa" w:w="4450"/>
            <w:vAlign w:val="center"/>
            <w:tcMar>
              <w:top w:w="85" w:type="dxa"/>
              <w:bottom w:w="85" w:type="dxa"/>
              <w:left w:w="100" w:type="dxa"/>
              <w:right w:w="100" w:type="dxa"/>
            </w:tcMar>
          </w:tcPr>
          <w:p>
            <w:pPr>
              <w:spacing w:line="280" w:lineRule="exact" w:before="0" w:after="0"/>
              <w:jc w:val="left"/>
            </w:pPr>
            <w:r>
              <w:rPr>
                <w:rFonts w:ascii="NanumGothic" w:hAnsi="NanumGothic"/>
                <w:b w:val="0"/>
                <w:i w:val="0"/>
                <w:color w:val="000000"/>
                <w:sz w:val="19"/>
              </w:rPr>
              <w:t>다음 사건에서 위협·손상·생활 제약이 어떻게 달라지는가</w:t>
            </w:r>
          </w:p>
        </w:tc>
        <w:tc>
          <w:tcPr>
            <w:tcW w:type="dxa" w:w="3827"/>
            <w:vAlign w:val="center"/>
            <w:tcMar>
              <w:top w:w="85" w:type="dxa"/>
              <w:bottom w:w="85" w:type="dxa"/>
              <w:left w:w="100" w:type="dxa"/>
              <w:right w:w="100" w:type="dxa"/>
            </w:tcMar>
          </w:tcPr>
          <w:p>
            <w:pPr>
              <w:spacing w:line="280" w:lineRule="exact" w:before="0" w:after="0"/>
              <w:jc w:val="left"/>
            </w:pPr>
            <w:r>
              <w:rPr>
                <w:rFonts w:ascii="NanumGothic" w:hAnsi="NanumGothic"/>
                <w:b w:val="0"/>
                <w:i w:val="0"/>
                <w:color w:val="000000"/>
                <w:sz w:val="19"/>
              </w:rPr>
              <w:t>사건 수준의 범주형·회귀 분석</w:t>
              <w:br/>
              <w:t>관계 내 반복 관측을 반영</w:t>
            </w:r>
          </w:p>
        </w:tc>
      </w:tr>
      <w:tr>
        <w:trPr>
          <w:cantSplit/>
        </w:trPr>
        <w:tc>
          <w:tcPr>
            <w:tcW w:type="dxa" w:w="1247"/>
            <w:vAlign w:val="center"/>
            <w:tcMar>
              <w:top w:w="85" w:type="dxa"/>
              <w:bottom w:w="85" w:type="dxa"/>
              <w:left w:w="100" w:type="dxa"/>
              <w:right w:w="100" w:type="dxa"/>
            </w:tcMar>
          </w:tcPr>
          <w:p>
            <w:pPr>
              <w:spacing w:line="280" w:lineRule="exact" w:before="0" w:after="0"/>
              <w:jc w:val="center"/>
            </w:pPr>
            <w:r>
              <w:rPr>
                <w:rFonts w:ascii="NanumGothic" w:hAnsi="NanumGothic"/>
                <w:b w:val="0"/>
                <w:i w:val="0"/>
                <w:color w:val="000000"/>
                <w:sz w:val="19"/>
              </w:rPr>
              <w:t>조치 이후</w:t>
              <w:br/>
              <w:t>행위 변화</w:t>
            </w:r>
          </w:p>
        </w:tc>
        <w:tc>
          <w:tcPr>
            <w:tcW w:type="dxa" w:w="4450"/>
            <w:vAlign w:val="center"/>
            <w:tcMar>
              <w:top w:w="85" w:type="dxa"/>
              <w:bottom w:w="85" w:type="dxa"/>
              <w:left w:w="100" w:type="dxa"/>
              <w:right w:w="100" w:type="dxa"/>
            </w:tcMar>
          </w:tcPr>
          <w:p>
            <w:pPr>
              <w:spacing w:line="280" w:lineRule="exact" w:before="0" w:after="0"/>
              <w:jc w:val="left"/>
            </w:pPr>
            <w:r>
              <w:rPr>
                <w:rFonts w:ascii="NanumGothic" w:hAnsi="NanumGothic"/>
                <w:b w:val="0"/>
                <w:i w:val="0"/>
                <w:color w:val="000000"/>
                <w:sz w:val="19"/>
              </w:rPr>
              <w:t>조치 이후에도 어떤 접촉 수단·대상·자원 침해가 이어지는가</w:t>
            </w:r>
          </w:p>
        </w:tc>
        <w:tc>
          <w:tcPr>
            <w:tcW w:type="dxa" w:w="3827"/>
            <w:vAlign w:val="center"/>
            <w:tcMar>
              <w:top w:w="85" w:type="dxa"/>
              <w:bottom w:w="85" w:type="dxa"/>
              <w:left w:w="100" w:type="dxa"/>
              <w:right w:w="100" w:type="dxa"/>
            </w:tcMar>
          </w:tcPr>
          <w:p>
            <w:pPr>
              <w:spacing w:line="280" w:lineRule="exact" w:before="0" w:after="0"/>
              <w:jc w:val="left"/>
            </w:pPr>
            <w:r>
              <w:rPr>
                <w:rFonts w:ascii="NanumGothic" w:hAnsi="NanumGothic"/>
                <w:b w:val="0"/>
                <w:i w:val="0"/>
                <w:color w:val="000000"/>
                <w:sz w:val="19"/>
              </w:rPr>
              <w:t>동일 관계의 조치 전후 경과 비교</w:t>
              <w:br/>
              <w:t>행위 변화와 위반 판단을 구분</w:t>
            </w:r>
          </w:p>
        </w:tc>
      </w:tr>
      <w:tr>
        <w:trPr>
          <w:cantSplit/>
        </w:trPr>
        <w:tc>
          <w:tcPr>
            <w:tcW w:type="dxa" w:w="1247"/>
            <w:vAlign w:val="center"/>
            <w:tcMar>
              <w:top w:w="85" w:type="dxa"/>
              <w:bottom w:w="85" w:type="dxa"/>
              <w:left w:w="100" w:type="dxa"/>
              <w:right w:w="100" w:type="dxa"/>
            </w:tcMar>
          </w:tcPr>
          <w:p>
            <w:pPr>
              <w:spacing w:line="280" w:lineRule="exact" w:before="0" w:after="0"/>
              <w:jc w:val="center"/>
            </w:pPr>
            <w:r>
              <w:rPr>
                <w:rFonts w:ascii="NanumGothic" w:hAnsi="NanumGothic"/>
                <w:b w:val="0"/>
                <w:i w:val="0"/>
                <w:color w:val="000000"/>
                <w:sz w:val="19"/>
              </w:rPr>
              <w:t>보호 접근</w:t>
            </w:r>
          </w:p>
        </w:tc>
        <w:tc>
          <w:tcPr>
            <w:tcW w:type="dxa" w:w="4450"/>
            <w:vAlign w:val="center"/>
            <w:tcMar>
              <w:top w:w="85" w:type="dxa"/>
              <w:bottom w:w="85" w:type="dxa"/>
              <w:left w:w="100" w:type="dxa"/>
              <w:right w:w="100" w:type="dxa"/>
            </w:tcMar>
          </w:tcPr>
          <w:p>
            <w:pPr>
              <w:spacing w:line="280" w:lineRule="exact" w:before="0" w:after="0"/>
              <w:jc w:val="left"/>
            </w:pPr>
            <w:r>
              <w:rPr>
                <w:rFonts w:ascii="NanumGothic" w:hAnsi="NanumGothic"/>
                <w:b w:val="0"/>
                <w:i w:val="0"/>
                <w:color w:val="000000"/>
                <w:sz w:val="19"/>
              </w:rPr>
              <w:t>관계·행위별 적용 가능성과 실제 조치 경과에 따라 반복 양상이 어떻게 다른가</w:t>
            </w:r>
          </w:p>
        </w:tc>
        <w:tc>
          <w:tcPr>
            <w:tcW w:type="dxa" w:w="3827"/>
            <w:vAlign w:val="center"/>
            <w:tcMar>
              <w:top w:w="85" w:type="dxa"/>
              <w:bottom w:w="85" w:type="dxa"/>
              <w:left w:w="100" w:type="dxa"/>
              <w:right w:w="100" w:type="dxa"/>
            </w:tcMar>
          </w:tcPr>
          <w:p>
            <w:pPr>
              <w:spacing w:line="280" w:lineRule="exact" w:before="0" w:after="0"/>
              <w:jc w:val="left"/>
            </w:pPr>
            <w:r>
              <w:rPr>
                <w:rFonts w:ascii="NanumGothic" w:hAnsi="NanumGothic"/>
                <w:b w:val="0"/>
                <w:i w:val="0"/>
                <w:color w:val="000000"/>
                <w:sz w:val="19"/>
              </w:rPr>
              <w:t>법률 검토로 적용 가능성 분류</w:t>
              <w:br/>
              <w:t>신청·결정·집행 단계별 사례 비교</w:t>
            </w:r>
          </w:p>
        </w:tc>
      </w:tr>
    </w:tbl>
    <w:p>
      <w:pPr>
        <w:wordWrap w:val="0"/>
        <w:spacing w:before="120"/>
      </w:pPr>
      <w:r>
        <w:t>재발 간격은 이전 사건에서 확인된 행위와 그 이후 날짜가 확인되는 변화를 설명변수로 삼겠습니다. 피해 양상과 심각성은 별도로 분석하고, 한 관계 안의 사건들이 연결되어 있다는 점을 반영하겠습니다. 서울 자료는 지역의 보호·지원 쟁점을 제시하는 데, 전국 자료는 비교 가능한 피해 경로를 넓게 파악하는 데 활용하겠습니다.</w:t>
      </w:r>
    </w:p>
    <w:p>
      <w:pPr>
        <w:pStyle w:val="Heading2"/>
        <w:wordWrap w:val="0"/>
      </w:pPr>
      <w:r>
        <w:t>보호명령 시행 초기의 접근과 운영</w:t>
      </w:r>
    </w:p>
    <w:p>
      <w:pPr>
        <w:wordWrap w:val="0"/>
      </w:pPr>
      <w:r>
        <w:t>스토킹 피해자보호명령 신설 규정은 2027년 4월 22일 시행됩니다. 둘째 해인 2028년에는 초기 운영의 안내·신청·결정·집행과 지원 연계를 살피겠습니다. 신청 요건과 기간, 관계·행위에 따른 적용 가능성을 구분하여 교제폭력 피해자가 새 제도에 접근할 수 있는 조건을 확인하겠습니다.[18]</w:t>
      </w:r>
    </w:p>
    <w:p>
      <w:pPr>
        <w:wordWrap w:val="0"/>
      </w:pPr>
      <w:r>
        <w:t>첫해 참여자의 일부를 후속 면접하고 보호명령 운영 경험이 있는 실무자를 추가 모집하겠습니다. 두 해의 고유 참여자는 직무별 경험을 고려하여 총 12~15명 내외로 구성하겠습니다. 공개 지침·빈 서식·집계자료와 익명으로 재구성한 4~6개 사례 시나리오를 활용하여, 본분석에서 나온 쟁점과 신청·집행·지원 연계의 어려움을 확인하겠습니다. 같은 면접에서 시민조사에 필요한 질문과 응답 선택지도 검토하겠습니다.</w:t>
      </w:r>
    </w:p>
    <w:p>
      <w:pPr>
        <w:pStyle w:val="Heading2"/>
        <w:wordWrap w:val="0"/>
      </w:pPr>
      <w:r>
        <w:t>시민조사 문항과 실행계획 마련</w:t>
      </w:r>
    </w:p>
    <w:p>
      <w:pPr>
        <w:wordWrap w:val="0"/>
      </w:pPr>
      <w:r>
        <w:t>판결문에서 확인하기 어려운 당시의 피해 인식, 미신고 이유, 지원 필요와 실제 이용을 설문으로 측정하도록 문항을 개발하겠습니다. 기존 조사표와 실무자 검토를 거쳐 패널 예비조사를 실시하고, 선별률·응답 시간·문항 이해도와 보호조치 경험자 수를 점검하겠습니다. 피해자 인지면접은 모집과 안전 여건이 갖춰질 때 보완하겠습니다.</w:t>
      </w:r>
    </w:p>
    <w:p>
      <w:pPr>
        <w:wordWrap w:val="0"/>
      </w:pPr>
      <w:r>
        <w:t>연말에는 반복 경과·보호 접근 분석보고서, 현장용 확인·연계 항목안, 예비조사를 반영한 설문지·표본·예산·윤리 절차를 포함한 본조사 설계서를 완성하겠습니다.</w:t>
      </w:r>
    </w:p>
    <w:p>
      <w:pPr>
        <w:pStyle w:val="Heading1"/>
        <w:pageBreakBefore/>
        <w:wordWrap w:val="0"/>
        <w:spacing w:before="0"/>
      </w:pPr>
      <w:r>
        <w:t>4 셋째 해 서울시민 피해경험 조사와 정책 대안</w:t>
      </w:r>
    </w:p>
    <w:p>
      <w:pPr>
        <w:wordWrap w:val="0"/>
      </w:pPr>
      <w:r>
        <w:t>셋째 해에는 판결문에 포함되지 않는 미신고 경험까지 살펴, 경제적·기술매개 폭력의 인식과 보호·지원 이용 사이의 공백을 확인하겠습니다. 두 해 동안 마련한 확인 항목을 시민의 실제 경험에 비추어 보완하고, 서울시가 개선할 지원 경로를 제시하겠습니다.</w:t>
      </w:r>
    </w:p>
    <w:p>
      <w:pPr>
        <w:pStyle w:val="Heading2"/>
        <w:wordWrap w:val="0"/>
      </w:pPr>
      <w:r>
        <w:t>조사 대상과 표본</w:t>
      </w:r>
    </w:p>
    <w:p>
      <w:pPr>
        <w:wordWrap w:val="0"/>
      </w:pPr>
      <w:r>
        <w:t>서울 거주 만 19세 이상 시민을 대상으로 온라인 패널 선별조사를 실시하겠습니다. 최근 3년 이내 현재 또는 과거 배우자·연인에게서 겪은 구체적인 행위를 묻고, 해당 경험자를 본조사 대상으로 선정하겠습니다. 피해자라는 자기 규정이나 경찰 신고 여부는 선별 조건으로 두지 않겠습니다.</w:t>
      </w:r>
    </w:p>
    <w:p>
      <w:pPr>
        <w:wordWrap w:val="0"/>
      </w:pPr>
      <w:r>
        <w:t>경제적·기술매개 행위와 다른 폭력 경험을 함께 선별하여 결합 양상을 비교하겠습니다. 본조사는 최근 관련 경험이 있는 한 상대방을 기준으로 관계의 경과를 묻겠습니다. 피해경험자 완료 표본 400명과 600명을 예산 시나리오로 검토하고, 둘째 해 선별률·완료율과 주요 비교집단의 예상 사례 수를 바탕으로 최종 규모와 별도 선별조사 규모를 정하겠습니다.</w:t>
      </w:r>
    </w:p>
    <w:p>
      <w:pPr>
        <w:pStyle w:val="Heading2"/>
        <w:wordWrap w:val="0"/>
      </w:pPr>
      <w:r>
        <w:t>주요 측정 내용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4450"/>
        <w:gridCol w:w="3827"/>
      </w:tblGrid>
      <w:tr>
        <w:trPr>
          <w:cantSplit/>
          <w:tblHeader/>
        </w:trPr>
        <w:tc>
          <w:tcPr>
            <w:tcW w:type="dxa" w:w="1247"/>
            <w:vAlign w:val="center"/>
            <w:tcMar>
              <w:top w:w="85" w:type="dxa"/>
              <w:bottom w:w="85" w:type="dxa"/>
              <w:left w:w="100" w:type="dxa"/>
              <w:right w:w="100" w:type="dxa"/>
            </w:tcMar>
            <w:shd w:fill="EEEEEE"/>
          </w:tcPr>
          <w:p>
            <w:pPr>
              <w:spacing w:line="280" w:lineRule="exact" w:before="0" w:after="0"/>
              <w:jc w:val="center"/>
            </w:pPr>
            <w:r>
              <w:rPr>
                <w:rFonts w:ascii="NanumGothic" w:hAnsi="NanumGothic"/>
                <w:b/>
                <w:i w:val="0"/>
                <w:color w:val="000000"/>
                <w:sz w:val="19"/>
              </w:rPr>
              <w:t>영역</w:t>
            </w:r>
          </w:p>
        </w:tc>
        <w:tc>
          <w:tcPr>
            <w:tcW w:type="dxa" w:w="4450"/>
            <w:vAlign w:val="center"/>
            <w:tcMar>
              <w:top w:w="85" w:type="dxa"/>
              <w:bottom w:w="85" w:type="dxa"/>
              <w:left w:w="100" w:type="dxa"/>
              <w:right w:w="100" w:type="dxa"/>
            </w:tcMar>
            <w:shd w:fill="EEEEEE"/>
          </w:tcPr>
          <w:p>
            <w:pPr>
              <w:spacing w:line="280" w:lineRule="exact" w:before="0" w:after="0"/>
              <w:jc w:val="center"/>
            </w:pPr>
            <w:r>
              <w:rPr>
                <w:rFonts w:ascii="NanumGothic" w:hAnsi="NanumGothic"/>
                <w:b/>
                <w:i w:val="0"/>
                <w:color w:val="000000"/>
                <w:sz w:val="19"/>
              </w:rPr>
              <w:t>측정할 내용</w:t>
            </w:r>
          </w:p>
        </w:tc>
        <w:tc>
          <w:tcPr>
            <w:tcW w:type="dxa" w:w="3827"/>
            <w:vAlign w:val="center"/>
            <w:tcMar>
              <w:top w:w="85" w:type="dxa"/>
              <w:bottom w:w="85" w:type="dxa"/>
              <w:left w:w="100" w:type="dxa"/>
              <w:right w:w="100" w:type="dxa"/>
            </w:tcMar>
            <w:shd w:fill="EEEEEE"/>
          </w:tcPr>
          <w:p>
            <w:pPr>
              <w:spacing w:line="280" w:lineRule="exact" w:before="0" w:after="0"/>
              <w:jc w:val="center"/>
            </w:pPr>
            <w:r>
              <w:rPr>
                <w:rFonts w:ascii="NanumGothic" w:hAnsi="NanumGothic"/>
                <w:b/>
                <w:i w:val="0"/>
                <w:color w:val="000000"/>
                <w:sz w:val="19"/>
              </w:rPr>
              <w:t>분석에서 구분할 점</w:t>
            </w:r>
          </w:p>
        </w:tc>
      </w:tr>
      <w:tr>
        <w:trPr>
          <w:cantSplit/>
        </w:trPr>
        <w:tc>
          <w:tcPr>
            <w:tcW w:type="dxa" w:w="1247"/>
            <w:vAlign w:val="center"/>
            <w:tcMar>
              <w:top w:w="85" w:type="dxa"/>
              <w:bottom w:w="85" w:type="dxa"/>
              <w:left w:w="100" w:type="dxa"/>
              <w:right w:w="100" w:type="dxa"/>
            </w:tcMar>
          </w:tcPr>
          <w:p>
            <w:pPr>
              <w:spacing w:line="280" w:lineRule="exact" w:before="0" w:after="0"/>
              <w:jc w:val="center"/>
            </w:pPr>
            <w:r>
              <w:rPr>
                <w:rFonts w:ascii="NanumGothic" w:hAnsi="NanumGothic"/>
                <w:b w:val="0"/>
                <w:i w:val="0"/>
                <w:color w:val="000000"/>
                <w:sz w:val="19"/>
              </w:rPr>
              <w:t>행위 경험</w:t>
            </w:r>
          </w:p>
        </w:tc>
        <w:tc>
          <w:tcPr>
            <w:tcW w:type="dxa" w:w="4450"/>
            <w:vAlign w:val="center"/>
            <w:tcMar>
              <w:top w:w="85" w:type="dxa"/>
              <w:bottom w:w="85" w:type="dxa"/>
              <w:left w:w="100" w:type="dxa"/>
              <w:right w:w="100" w:type="dxa"/>
            </w:tcMar>
          </w:tcPr>
          <w:p>
            <w:pPr>
              <w:spacing w:line="280" w:lineRule="exact" w:before="0" w:after="0"/>
              <w:jc w:val="left"/>
            </w:pPr>
            <w:r>
              <w:rPr>
                <w:rFonts w:ascii="NanumGothic" w:hAnsi="NanumGothic"/>
                <w:b w:val="0"/>
                <w:i w:val="0"/>
                <w:color w:val="000000"/>
                <w:sz w:val="19"/>
              </w:rPr>
              <w:t>소득·자산 침해, 취업 방해, 위치·계정 감시, 원치 않는 접촉과 위협</w:t>
            </w:r>
          </w:p>
        </w:tc>
        <w:tc>
          <w:tcPr>
            <w:tcW w:type="dxa" w:w="3827"/>
            <w:vAlign w:val="center"/>
            <w:tcMar>
              <w:top w:w="85" w:type="dxa"/>
              <w:bottom w:w="85" w:type="dxa"/>
              <w:left w:w="100" w:type="dxa"/>
              <w:right w:w="100" w:type="dxa"/>
            </w:tcMar>
          </w:tcPr>
          <w:p>
            <w:pPr>
              <w:spacing w:line="280" w:lineRule="exact" w:before="0" w:after="0"/>
              <w:jc w:val="left"/>
            </w:pPr>
            <w:r>
              <w:rPr>
                <w:rFonts w:ascii="NanumGothic" w:hAnsi="NanumGothic"/>
                <w:b w:val="0"/>
                <w:i w:val="0"/>
                <w:color w:val="000000"/>
                <w:sz w:val="19"/>
              </w:rPr>
              <w:t>동의·거부 가능성·불이익·반복성</w:t>
              <w:br/>
              <w:t>경제적 가해행위와 일반 생활 곤란</w:t>
            </w:r>
          </w:p>
        </w:tc>
      </w:tr>
      <w:tr>
        <w:trPr>
          <w:cantSplit/>
        </w:trPr>
        <w:tc>
          <w:tcPr>
            <w:tcW w:type="dxa" w:w="1247"/>
            <w:vAlign w:val="center"/>
            <w:tcMar>
              <w:top w:w="85" w:type="dxa"/>
              <w:bottom w:w="85" w:type="dxa"/>
              <w:left w:w="100" w:type="dxa"/>
              <w:right w:w="100" w:type="dxa"/>
            </w:tcMar>
          </w:tcPr>
          <w:p>
            <w:pPr>
              <w:spacing w:line="280" w:lineRule="exact" w:before="0" w:after="0"/>
              <w:jc w:val="center"/>
            </w:pPr>
            <w:r>
              <w:rPr>
                <w:rFonts w:ascii="NanumGothic" w:hAnsi="NanumGothic"/>
                <w:b w:val="0"/>
                <w:i w:val="0"/>
                <w:color w:val="000000"/>
                <w:sz w:val="19"/>
              </w:rPr>
              <w:t>피해 경과</w:t>
            </w:r>
          </w:p>
        </w:tc>
        <w:tc>
          <w:tcPr>
            <w:tcW w:type="dxa" w:w="4450"/>
            <w:vAlign w:val="center"/>
            <w:tcMar>
              <w:top w:w="85" w:type="dxa"/>
              <w:bottom w:w="85" w:type="dxa"/>
              <w:left w:w="100" w:type="dxa"/>
              <w:right w:w="100" w:type="dxa"/>
            </w:tcMar>
          </w:tcPr>
          <w:p>
            <w:pPr>
              <w:spacing w:line="280" w:lineRule="exact" w:before="0" w:after="0"/>
              <w:jc w:val="left"/>
            </w:pPr>
            <w:r>
              <w:rPr>
                <w:rFonts w:ascii="NanumGothic" w:hAnsi="NanumGothic"/>
                <w:b w:val="0"/>
                <w:i w:val="0"/>
                <w:color w:val="000000"/>
                <w:sz w:val="19"/>
              </w:rPr>
              <w:t>행위 시작·변화, 관계 종료, 신체폭력 발생, 생활 영향</w:t>
            </w:r>
          </w:p>
        </w:tc>
        <w:tc>
          <w:tcPr>
            <w:tcW w:type="dxa" w:w="3827"/>
            <w:vAlign w:val="center"/>
            <w:tcMar>
              <w:top w:w="85" w:type="dxa"/>
              <w:bottom w:w="85" w:type="dxa"/>
              <w:left w:w="100" w:type="dxa"/>
              <w:right w:w="100" w:type="dxa"/>
            </w:tcMar>
          </w:tcPr>
          <w:p>
            <w:pPr>
              <w:spacing w:line="280" w:lineRule="exact" w:before="0" w:after="0"/>
              <w:jc w:val="left"/>
            </w:pPr>
            <w:r>
              <w:rPr>
                <w:rFonts w:ascii="NanumGothic" w:hAnsi="NanumGothic"/>
                <w:b w:val="0"/>
                <w:i w:val="0"/>
                <w:color w:val="000000"/>
                <w:sz w:val="19"/>
              </w:rPr>
              <w:t>선행·동시·후행 경과</w:t>
              <w:br/>
              <w:t>정확한 시점과 기억의 불확실성</w:t>
            </w:r>
          </w:p>
        </w:tc>
      </w:tr>
      <w:tr>
        <w:trPr>
          <w:cantSplit/>
        </w:trPr>
        <w:tc>
          <w:tcPr>
            <w:tcW w:type="dxa" w:w="1247"/>
            <w:vAlign w:val="center"/>
            <w:tcMar>
              <w:top w:w="85" w:type="dxa"/>
              <w:bottom w:w="85" w:type="dxa"/>
              <w:left w:w="100" w:type="dxa"/>
              <w:right w:w="100" w:type="dxa"/>
            </w:tcMar>
          </w:tcPr>
          <w:p>
            <w:pPr>
              <w:spacing w:line="280" w:lineRule="exact" w:before="0" w:after="0"/>
              <w:jc w:val="center"/>
            </w:pPr>
            <w:r>
              <w:rPr>
                <w:rFonts w:ascii="NanumGothic" w:hAnsi="NanumGothic"/>
                <w:b w:val="0"/>
                <w:i w:val="0"/>
                <w:color w:val="000000"/>
                <w:sz w:val="19"/>
              </w:rPr>
              <w:t>피해 인식</w:t>
            </w:r>
          </w:p>
        </w:tc>
        <w:tc>
          <w:tcPr>
            <w:tcW w:type="dxa" w:w="4450"/>
            <w:vAlign w:val="center"/>
            <w:tcMar>
              <w:top w:w="85" w:type="dxa"/>
              <w:bottom w:w="85" w:type="dxa"/>
              <w:left w:w="100" w:type="dxa"/>
              <w:right w:w="100" w:type="dxa"/>
            </w:tcMar>
          </w:tcPr>
          <w:p>
            <w:pPr>
              <w:spacing w:line="280" w:lineRule="exact" w:before="0" w:after="0"/>
              <w:jc w:val="left"/>
            </w:pPr>
            <w:r>
              <w:rPr>
                <w:rFonts w:ascii="NanumGothic" w:hAnsi="NanumGothic"/>
                <w:b w:val="0"/>
                <w:i w:val="0"/>
                <w:color w:val="000000"/>
                <w:sz w:val="19"/>
              </w:rPr>
              <w:t>당시와 현재의 해석, 도움을 구한 계기, 미신고·미상담 이유</w:t>
            </w:r>
          </w:p>
        </w:tc>
        <w:tc>
          <w:tcPr>
            <w:tcW w:type="dxa" w:w="3827"/>
            <w:vAlign w:val="center"/>
            <w:tcMar>
              <w:top w:w="85" w:type="dxa"/>
              <w:bottom w:w="85" w:type="dxa"/>
              <w:left w:w="100" w:type="dxa"/>
              <w:right w:w="100" w:type="dxa"/>
            </w:tcMar>
          </w:tcPr>
          <w:p>
            <w:pPr>
              <w:spacing w:line="280" w:lineRule="exact" w:before="0" w:after="0"/>
              <w:jc w:val="left"/>
            </w:pPr>
            <w:r>
              <w:rPr>
                <w:rFonts w:ascii="NanumGothic" w:hAnsi="NanumGothic"/>
                <w:b w:val="0"/>
                <w:i w:val="0"/>
                <w:color w:val="000000"/>
                <w:sz w:val="19"/>
              </w:rPr>
              <w:t>당시 인식과 현재 인식</w:t>
              <w:br/>
              <w:t>기관 설명과 응답자의 해석</w:t>
            </w:r>
          </w:p>
        </w:tc>
      </w:tr>
      <w:tr>
        <w:trPr>
          <w:cantSplit/>
        </w:trPr>
        <w:tc>
          <w:tcPr>
            <w:tcW w:type="dxa" w:w="1247"/>
            <w:vAlign w:val="center"/>
            <w:tcMar>
              <w:top w:w="85" w:type="dxa"/>
              <w:bottom w:w="85" w:type="dxa"/>
              <w:left w:w="100" w:type="dxa"/>
              <w:right w:w="100" w:type="dxa"/>
            </w:tcMar>
          </w:tcPr>
          <w:p>
            <w:pPr>
              <w:spacing w:line="280" w:lineRule="exact" w:before="0" w:after="0"/>
              <w:jc w:val="center"/>
            </w:pPr>
            <w:r>
              <w:rPr>
                <w:rFonts w:ascii="NanumGothic" w:hAnsi="NanumGothic"/>
                <w:b w:val="0"/>
                <w:i w:val="0"/>
                <w:color w:val="000000"/>
                <w:sz w:val="19"/>
              </w:rPr>
              <w:t>보호조치</w:t>
            </w:r>
          </w:p>
        </w:tc>
        <w:tc>
          <w:tcPr>
            <w:tcW w:type="dxa" w:w="4450"/>
            <w:vAlign w:val="center"/>
            <w:tcMar>
              <w:top w:w="85" w:type="dxa"/>
              <w:bottom w:w="85" w:type="dxa"/>
              <w:left w:w="100" w:type="dxa"/>
              <w:right w:w="100" w:type="dxa"/>
            </w:tcMar>
          </w:tcPr>
          <w:p>
            <w:pPr>
              <w:spacing w:line="280" w:lineRule="exact" w:before="0" w:after="0"/>
              <w:jc w:val="left"/>
            </w:pPr>
            <w:r>
              <w:rPr>
                <w:rFonts w:ascii="NanumGothic" w:hAnsi="NanumGothic"/>
                <w:b w:val="0"/>
                <w:i w:val="0"/>
                <w:color w:val="000000"/>
                <w:sz w:val="19"/>
              </w:rPr>
              <w:t>인지, 알아봄, 신청, 결정, 집행·이행, 이후의 접촉과 변화</w:t>
            </w:r>
          </w:p>
        </w:tc>
        <w:tc>
          <w:tcPr>
            <w:tcW w:type="dxa" w:w="3827"/>
            <w:vAlign w:val="center"/>
            <w:tcMar>
              <w:top w:w="85" w:type="dxa"/>
              <w:bottom w:w="85" w:type="dxa"/>
              <w:left w:w="100" w:type="dxa"/>
              <w:right w:w="100" w:type="dxa"/>
            </w:tcMar>
          </w:tcPr>
          <w:p>
            <w:pPr>
              <w:spacing w:line="280" w:lineRule="exact" w:before="0" w:after="0"/>
              <w:jc w:val="left"/>
            </w:pPr>
            <w:r>
              <w:rPr>
                <w:rFonts w:ascii="NanumGothic" w:hAnsi="NanumGothic"/>
                <w:b w:val="0"/>
                <w:i w:val="0"/>
                <w:color w:val="000000"/>
                <w:sz w:val="19"/>
              </w:rPr>
              <w:t>인지·의향과 실제 경험</w:t>
              <w:br/>
              <w:t>미신청·기각·미집행 등 단계 차이</w:t>
            </w:r>
          </w:p>
        </w:tc>
      </w:tr>
      <w:tr>
        <w:trPr>
          <w:cantSplit/>
        </w:trPr>
        <w:tc>
          <w:tcPr>
            <w:tcW w:type="dxa" w:w="1247"/>
            <w:vAlign w:val="center"/>
            <w:tcMar>
              <w:top w:w="85" w:type="dxa"/>
              <w:bottom w:w="85" w:type="dxa"/>
              <w:left w:w="100" w:type="dxa"/>
              <w:right w:w="100" w:type="dxa"/>
            </w:tcMar>
          </w:tcPr>
          <w:p>
            <w:pPr>
              <w:spacing w:line="280" w:lineRule="exact" w:before="0" w:after="0"/>
              <w:jc w:val="center"/>
            </w:pPr>
            <w:r>
              <w:rPr>
                <w:rFonts w:ascii="NanumGothic" w:hAnsi="NanumGothic"/>
                <w:b w:val="0"/>
                <w:i w:val="0"/>
                <w:color w:val="000000"/>
                <w:sz w:val="19"/>
              </w:rPr>
              <w:t>지원 이용</w:t>
            </w:r>
          </w:p>
        </w:tc>
        <w:tc>
          <w:tcPr>
            <w:tcW w:type="dxa" w:w="4450"/>
            <w:vAlign w:val="center"/>
            <w:tcMar>
              <w:top w:w="85" w:type="dxa"/>
              <w:bottom w:w="85" w:type="dxa"/>
              <w:left w:w="100" w:type="dxa"/>
              <w:right w:w="100" w:type="dxa"/>
            </w:tcMar>
          </w:tcPr>
          <w:p>
            <w:pPr>
              <w:spacing w:line="280" w:lineRule="exact" w:before="0" w:after="0"/>
              <w:jc w:val="left"/>
            </w:pPr>
            <w:r>
              <w:rPr>
                <w:rFonts w:ascii="NanumGothic" w:hAnsi="NanumGothic"/>
                <w:b w:val="0"/>
                <w:i w:val="0"/>
                <w:color w:val="000000"/>
                <w:sz w:val="19"/>
              </w:rPr>
              <w:t>안전·법률·심리·주거·생계·돌봄의 필요와 실제 이용</w:t>
            </w:r>
          </w:p>
        </w:tc>
        <w:tc>
          <w:tcPr>
            <w:tcW w:type="dxa" w:w="3827"/>
            <w:vAlign w:val="center"/>
            <w:tcMar>
              <w:top w:w="85" w:type="dxa"/>
              <w:bottom w:w="85" w:type="dxa"/>
              <w:left w:w="100" w:type="dxa"/>
              <w:right w:w="100" w:type="dxa"/>
            </w:tcMar>
          </w:tcPr>
          <w:p>
            <w:pPr>
              <w:spacing w:line="280" w:lineRule="exact" w:before="0" w:after="0"/>
              <w:jc w:val="left"/>
            </w:pPr>
            <w:r>
              <w:rPr>
                <w:rFonts w:ascii="NanumGothic" w:hAnsi="NanumGothic"/>
                <w:b w:val="0"/>
                <w:i w:val="0"/>
                <w:color w:val="000000"/>
                <w:sz w:val="19"/>
              </w:rPr>
              <w:t>필요·안내·요청·연계·이용</w:t>
              <w:br/>
              <w:t>지연·중단과 미충족 필요</w:t>
            </w:r>
          </w:p>
        </w:tc>
      </w:tr>
      <w:tr>
        <w:trPr>
          <w:cantSplit/>
        </w:trPr>
        <w:tc>
          <w:tcPr>
            <w:tcW w:type="dxa" w:w="1247"/>
            <w:vAlign w:val="center"/>
            <w:tcMar>
              <w:top w:w="85" w:type="dxa"/>
              <w:bottom w:w="85" w:type="dxa"/>
              <w:left w:w="100" w:type="dxa"/>
              <w:right w:w="100" w:type="dxa"/>
            </w:tcMar>
          </w:tcPr>
          <w:p>
            <w:pPr>
              <w:spacing w:line="280" w:lineRule="exact" w:before="0" w:after="0"/>
              <w:jc w:val="center"/>
            </w:pPr>
            <w:r>
              <w:rPr>
                <w:rFonts w:ascii="NanumGothic" w:hAnsi="NanumGothic"/>
                <w:b w:val="0"/>
                <w:i w:val="0"/>
                <w:color w:val="000000"/>
                <w:sz w:val="19"/>
              </w:rPr>
              <w:t>생활 회복</w:t>
            </w:r>
          </w:p>
        </w:tc>
        <w:tc>
          <w:tcPr>
            <w:tcW w:type="dxa" w:w="4450"/>
            <w:vAlign w:val="center"/>
            <w:tcMar>
              <w:top w:w="85" w:type="dxa"/>
              <w:bottom w:w="85" w:type="dxa"/>
              <w:left w:w="100" w:type="dxa"/>
              <w:right w:w="100" w:type="dxa"/>
            </w:tcMar>
          </w:tcPr>
          <w:p>
            <w:pPr>
              <w:spacing w:line="280" w:lineRule="exact" w:before="0" w:after="0"/>
              <w:jc w:val="left"/>
            </w:pPr>
            <w:r>
              <w:rPr>
                <w:rFonts w:ascii="NanumGothic" w:hAnsi="NanumGothic"/>
                <w:b w:val="0"/>
                <w:i w:val="0"/>
                <w:color w:val="000000"/>
                <w:sz w:val="19"/>
              </w:rPr>
              <w:t>주거·소득·고용·돌봄, 가해자와의 접촉·경제적 의존, 남은 필요</w:t>
            </w:r>
          </w:p>
        </w:tc>
        <w:tc>
          <w:tcPr>
            <w:tcW w:type="dxa" w:w="3827"/>
            <w:vAlign w:val="center"/>
            <w:tcMar>
              <w:top w:w="85" w:type="dxa"/>
              <w:bottom w:w="85" w:type="dxa"/>
              <w:left w:w="100" w:type="dxa"/>
              <w:right w:w="100" w:type="dxa"/>
            </w:tcMar>
          </w:tcPr>
          <w:p>
            <w:pPr>
              <w:spacing w:line="280" w:lineRule="exact" w:before="0" w:after="0"/>
              <w:jc w:val="left"/>
            </w:pPr>
            <w:r>
              <w:rPr>
                <w:rFonts w:ascii="NanumGothic" w:hAnsi="NanumGothic"/>
                <w:b w:val="0"/>
                <w:i w:val="0"/>
                <w:color w:val="000000"/>
                <w:sz w:val="19"/>
              </w:rPr>
              <w:t>현재 안전과 자립 여건</w:t>
              <w:br/>
              <w:t>피해자의 선택과 지원 목표</w:t>
            </w:r>
          </w:p>
        </w:tc>
      </w:tr>
    </w:tbl>
    <w:p>
      <w:pPr>
        <w:pStyle w:val="Heading2"/>
        <w:wordWrap w:val="0"/>
        <w:spacing w:before="120"/>
      </w:pPr>
      <w:r>
        <w:t>분석과 최종 결과물</w:t>
      </w:r>
    </w:p>
    <w:p>
      <w:pPr>
        <w:wordWrap w:val="0"/>
      </w:pPr>
      <w:r>
        <w:t>행위의 결합과 생활 여건에 따른 피해 인식·도움 요청·지원 이용 차이를 분석하겠습니다. 보호조치 경험자가 적으면 단계별 사례 수와 경과를 기술하고, 충분한 사례가 확보되는 항목에서 비교분석을 수행하겠습니다. 지원 영역별 필요는 간단히 묻고, 우선 필요했던 1~2개 영역의 이용 경로를 상세히 확인하겠습니다.</w:t>
      </w:r>
    </w:p>
    <w:p>
      <w:pPr>
        <w:wordWrap w:val="0"/>
      </w:pPr>
      <w:r>
        <w:t>시민조사 보고서와 함께 초기상담 확인 항목, 보호조치 안내·신청 및 전문지원 연계안, 주거·생계·돌봄과 디지털 안전지원의 개선과제, 상황 변화에 따른 재점검안을 제시하겠습니다. 실무자 검토를 통해 담당 주체와 필요한 자원, 작성·점검 부담을 구체화하겠습니다.</w:t>
      </w:r>
    </w:p>
    <w:p>
      <w:pPr>
        <w:pStyle w:val="Heading1"/>
        <w:pageBreakBefore/>
        <w:wordWrap w:val="0"/>
        <w:spacing w:before="0"/>
      </w:pPr>
      <w:r>
        <w:t>5 자료 확보 범위와 자료별 역할</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4450"/>
        <w:gridCol w:w="3827"/>
      </w:tblGrid>
      <w:tr>
        <w:trPr>
          <w:cantSplit/>
          <w:tblHeader/>
        </w:trPr>
        <w:tc>
          <w:tcPr>
            <w:tcW w:type="dxa" w:w="1247"/>
            <w:vAlign w:val="center"/>
            <w:tcMar>
              <w:top w:w="85" w:type="dxa"/>
              <w:bottom w:w="85" w:type="dxa"/>
              <w:left w:w="100" w:type="dxa"/>
              <w:right w:w="100" w:type="dxa"/>
            </w:tcMar>
            <w:shd w:fill="EEEEEE"/>
          </w:tcPr>
          <w:p>
            <w:pPr>
              <w:spacing w:line="280" w:lineRule="exact" w:before="0" w:after="0"/>
              <w:jc w:val="center"/>
            </w:pPr>
            <w:r>
              <w:rPr>
                <w:rFonts w:ascii="NanumGothic" w:hAnsi="NanumGothic"/>
                <w:b/>
                <w:i w:val="0"/>
                <w:color w:val="000000"/>
                <w:sz w:val="19"/>
              </w:rPr>
              <w:t>자료</w:t>
            </w:r>
          </w:p>
        </w:tc>
        <w:tc>
          <w:tcPr>
            <w:tcW w:type="dxa" w:w="4450"/>
            <w:vAlign w:val="center"/>
            <w:tcMar>
              <w:top w:w="85" w:type="dxa"/>
              <w:bottom w:w="85" w:type="dxa"/>
              <w:left w:w="100" w:type="dxa"/>
              <w:right w:w="100" w:type="dxa"/>
            </w:tcMar>
            <w:shd w:fill="EEEEEE"/>
          </w:tcPr>
          <w:p>
            <w:pPr>
              <w:spacing w:line="280" w:lineRule="exact" w:before="0" w:after="0"/>
              <w:jc w:val="center"/>
            </w:pPr>
            <w:r>
              <w:rPr>
                <w:rFonts w:ascii="NanumGothic" w:hAnsi="NanumGothic"/>
                <w:b/>
                <w:i w:val="0"/>
                <w:color w:val="000000"/>
                <w:sz w:val="19"/>
              </w:rPr>
              <w:t>확보 경로와 계획</w:t>
            </w:r>
          </w:p>
        </w:tc>
        <w:tc>
          <w:tcPr>
            <w:tcW w:type="dxa" w:w="3827"/>
            <w:vAlign w:val="center"/>
            <w:tcMar>
              <w:top w:w="85" w:type="dxa"/>
              <w:bottom w:w="85" w:type="dxa"/>
              <w:left w:w="100" w:type="dxa"/>
              <w:right w:w="100" w:type="dxa"/>
            </w:tcMar>
            <w:shd w:fill="EEEEEE"/>
          </w:tcPr>
          <w:p>
            <w:pPr>
              <w:spacing w:line="280" w:lineRule="exact" w:before="0" w:after="0"/>
              <w:jc w:val="center"/>
            </w:pPr>
            <w:r>
              <w:rPr>
                <w:rFonts w:ascii="NanumGothic" w:hAnsi="NanumGothic"/>
                <w:b/>
                <w:i w:val="0"/>
                <w:color w:val="000000"/>
                <w:sz w:val="19"/>
              </w:rPr>
              <w:t>활용 연차와 용도</w:t>
            </w:r>
          </w:p>
        </w:tc>
      </w:tr>
      <w:tr>
        <w:trPr>
          <w:cantSplit/>
        </w:trPr>
        <w:tc>
          <w:tcPr>
            <w:tcW w:type="dxa" w:w="1247"/>
            <w:vAlign w:val="center"/>
            <w:tcMar>
              <w:top w:w="85" w:type="dxa"/>
              <w:bottom w:w="85" w:type="dxa"/>
              <w:left w:w="100" w:type="dxa"/>
              <w:right w:w="100" w:type="dxa"/>
            </w:tcMar>
          </w:tcPr>
          <w:p>
            <w:pPr>
              <w:spacing w:line="280" w:lineRule="exact" w:before="0" w:after="0"/>
              <w:jc w:val="center"/>
            </w:pPr>
            <w:r>
              <w:rPr>
                <w:rFonts w:ascii="NanumGothic" w:hAnsi="NanumGothic"/>
                <w:b w:val="0"/>
                <w:i w:val="0"/>
                <w:color w:val="000000"/>
                <w:sz w:val="19"/>
              </w:rPr>
              <w:t>보유 전국</w:t>
              <w:br/>
              <w:t>판결문</w:t>
            </w:r>
          </w:p>
        </w:tc>
        <w:tc>
          <w:tcPr>
            <w:tcW w:type="dxa" w:w="4450"/>
            <w:vAlign w:val="center"/>
            <w:tcMar>
              <w:top w:w="85" w:type="dxa"/>
              <w:bottom w:w="85" w:type="dxa"/>
              <w:left w:w="100" w:type="dxa"/>
              <w:right w:w="100" w:type="dxa"/>
            </w:tcMar>
          </w:tcPr>
          <w:p>
            <w:pPr>
              <w:spacing w:line="280" w:lineRule="exact" w:before="0" w:after="0"/>
              <w:jc w:val="left"/>
            </w:pPr>
            <w:r>
              <w:rPr>
                <w:rFonts w:ascii="NanumGothic" w:hAnsi="NanumGothic"/>
                <w:b w:val="0"/>
                <w:i w:val="0"/>
                <w:color w:val="000000"/>
                <w:sz w:val="19"/>
              </w:rPr>
              <w:t>준비된 원문·구조화 자료를 재점검하고 새로운 항목을 추가 코딩</w:t>
            </w:r>
          </w:p>
        </w:tc>
        <w:tc>
          <w:tcPr>
            <w:tcW w:type="dxa" w:w="3827"/>
            <w:vAlign w:val="center"/>
            <w:tcMar>
              <w:top w:w="85" w:type="dxa"/>
              <w:bottom w:w="85" w:type="dxa"/>
              <w:left w:w="100" w:type="dxa"/>
              <w:right w:w="100" w:type="dxa"/>
            </w:tcMar>
          </w:tcPr>
          <w:p>
            <w:pPr>
              <w:spacing w:line="280" w:lineRule="exact" w:before="0" w:after="0"/>
              <w:jc w:val="left"/>
            </w:pPr>
            <w:r>
              <w:rPr>
                <w:rFonts w:ascii="NanumGothic" w:hAnsi="NanumGothic"/>
                <w:b w:val="0"/>
                <w:i w:val="0"/>
                <w:color w:val="000000"/>
                <w:sz w:val="19"/>
              </w:rPr>
              <w:t>1년 차 예비분석과 자료 구축</w:t>
              <w:br/>
              <w:t>2년 차 반복·변화의 본분석</w:t>
            </w:r>
          </w:p>
        </w:tc>
      </w:tr>
      <w:tr>
        <w:trPr>
          <w:cantSplit/>
        </w:trPr>
        <w:tc>
          <w:tcPr>
            <w:tcW w:type="dxa" w:w="1247"/>
            <w:vAlign w:val="center"/>
            <w:tcMar>
              <w:top w:w="85" w:type="dxa"/>
              <w:bottom w:w="85" w:type="dxa"/>
              <w:left w:w="100" w:type="dxa"/>
              <w:right w:w="100" w:type="dxa"/>
            </w:tcMar>
          </w:tcPr>
          <w:p>
            <w:pPr>
              <w:spacing w:line="280" w:lineRule="exact" w:before="0" w:after="0"/>
              <w:jc w:val="center"/>
            </w:pPr>
            <w:r>
              <w:rPr>
                <w:rFonts w:ascii="NanumGothic" w:hAnsi="NanumGothic"/>
                <w:b w:val="0"/>
                <w:i w:val="0"/>
                <w:color w:val="000000"/>
                <w:sz w:val="19"/>
              </w:rPr>
              <w:t>서울 발생</w:t>
              <w:br/>
              <w:t>판결문</w:t>
            </w:r>
          </w:p>
        </w:tc>
        <w:tc>
          <w:tcPr>
            <w:tcW w:type="dxa" w:w="4450"/>
            <w:vAlign w:val="center"/>
            <w:tcMar>
              <w:top w:w="85" w:type="dxa"/>
              <w:bottom w:w="85" w:type="dxa"/>
              <w:left w:w="100" w:type="dxa"/>
              <w:right w:w="100" w:type="dxa"/>
            </w:tcMar>
          </w:tcPr>
          <w:p>
            <w:pPr>
              <w:spacing w:line="280" w:lineRule="exact" w:before="0" w:after="0"/>
              <w:jc w:val="left"/>
            </w:pPr>
            <w:r>
              <w:rPr>
                <w:rFonts w:ascii="NanumGothic" w:hAnsi="NanumGothic"/>
                <w:b w:val="0"/>
                <w:i w:val="0"/>
                <w:color w:val="000000"/>
                <w:sz w:val="19"/>
              </w:rPr>
              <w:t>판결서 열람·제공 절차로 신규 수집</w:t>
              <w:br/>
              <w:t>장소·기간·심급·중복을 확인</w:t>
            </w:r>
          </w:p>
        </w:tc>
        <w:tc>
          <w:tcPr>
            <w:tcW w:type="dxa" w:w="3827"/>
            <w:vAlign w:val="center"/>
            <w:tcMar>
              <w:top w:w="85" w:type="dxa"/>
              <w:bottom w:w="85" w:type="dxa"/>
              <w:left w:w="100" w:type="dxa"/>
              <w:right w:w="100" w:type="dxa"/>
            </w:tcMar>
          </w:tcPr>
          <w:p>
            <w:pPr>
              <w:spacing w:line="280" w:lineRule="exact" w:before="0" w:after="0"/>
              <w:jc w:val="left"/>
            </w:pPr>
            <w:r>
              <w:rPr>
                <w:rFonts w:ascii="NanumGothic" w:hAnsi="NanumGothic"/>
                <w:b w:val="0"/>
                <w:i w:val="0"/>
                <w:color w:val="000000"/>
                <w:sz w:val="19"/>
              </w:rPr>
              <w:t>1년 차 수집 착수와 코딩</w:t>
              <w:br/>
              <w:t>2년 차 서울의 사례·보호 경과 분석</w:t>
            </w:r>
          </w:p>
        </w:tc>
      </w:tr>
      <w:tr>
        <w:trPr>
          <w:cantSplit/>
        </w:trPr>
        <w:tc>
          <w:tcPr>
            <w:tcW w:type="dxa" w:w="1247"/>
            <w:vAlign w:val="center"/>
            <w:tcMar>
              <w:top w:w="85" w:type="dxa"/>
              <w:bottom w:w="85" w:type="dxa"/>
              <w:left w:w="100" w:type="dxa"/>
              <w:right w:w="100" w:type="dxa"/>
            </w:tcMar>
          </w:tcPr>
          <w:p>
            <w:pPr>
              <w:spacing w:line="280" w:lineRule="exact" w:before="0" w:after="0"/>
              <w:jc w:val="center"/>
            </w:pPr>
            <w:r>
              <w:rPr>
                <w:rFonts w:ascii="NanumGothic" w:hAnsi="NanumGothic"/>
                <w:b w:val="0"/>
                <w:i w:val="0"/>
                <w:color w:val="000000"/>
                <w:sz w:val="19"/>
              </w:rPr>
              <w:t>서울 스토킹</w:t>
              <w:br/>
              <w:t>2024</w:t>
            </w:r>
          </w:p>
        </w:tc>
        <w:tc>
          <w:tcPr>
            <w:tcW w:type="dxa" w:w="4450"/>
            <w:vAlign w:val="center"/>
            <w:tcMar>
              <w:top w:w="85" w:type="dxa"/>
              <w:bottom w:w="85" w:type="dxa"/>
              <w:left w:w="100" w:type="dxa"/>
              <w:right w:w="100" w:type="dxa"/>
            </w:tcMar>
          </w:tcPr>
          <w:p>
            <w:pPr>
              <w:spacing w:line="280" w:lineRule="exact" w:before="0" w:after="0"/>
              <w:jc w:val="left"/>
            </w:pPr>
            <w:r>
              <w:rPr>
                <w:rFonts w:ascii="NanumGothic" w:hAnsi="NanumGothic"/>
                <w:b w:val="0"/>
                <w:i w:val="0"/>
                <w:color w:val="000000"/>
                <w:sz w:val="19"/>
              </w:rPr>
              <w:t>KOSSDA에 설문지와 SAV·DTA 등록</w:t>
              <w:br/>
              <w:t>회원 이용 및 자료 이용조건 확인[4]</w:t>
            </w:r>
          </w:p>
        </w:tc>
        <w:tc>
          <w:tcPr>
            <w:tcW w:type="dxa" w:w="3827"/>
            <w:vAlign w:val="center"/>
            <w:tcMar>
              <w:top w:w="85" w:type="dxa"/>
              <w:bottom w:w="85" w:type="dxa"/>
              <w:left w:w="100" w:type="dxa"/>
              <w:right w:w="100" w:type="dxa"/>
            </w:tcMar>
          </w:tcPr>
          <w:p>
            <w:pPr>
              <w:spacing w:line="280" w:lineRule="exact" w:before="0" w:after="0"/>
              <w:jc w:val="left"/>
            </w:pPr>
            <w:r>
              <w:rPr>
                <w:rFonts w:ascii="NanumGothic" w:hAnsi="NanumGothic"/>
                <w:b w:val="0"/>
                <w:i w:val="0"/>
                <w:color w:val="000000"/>
                <w:sz w:val="19"/>
              </w:rPr>
              <w:t>1~2년 차 피해·대응 문항과 하위표본 검토, 3년 차 조사와 비교</w:t>
            </w:r>
          </w:p>
        </w:tc>
      </w:tr>
      <w:tr>
        <w:trPr>
          <w:cantSplit/>
        </w:trPr>
        <w:tc>
          <w:tcPr>
            <w:tcW w:type="dxa" w:w="1247"/>
            <w:vAlign w:val="center"/>
            <w:tcMar>
              <w:top w:w="85" w:type="dxa"/>
              <w:bottom w:w="85" w:type="dxa"/>
              <w:left w:w="100" w:type="dxa"/>
              <w:right w:w="100" w:type="dxa"/>
            </w:tcMar>
          </w:tcPr>
          <w:p>
            <w:pPr>
              <w:spacing w:line="280" w:lineRule="exact" w:before="0" w:after="0"/>
              <w:jc w:val="center"/>
            </w:pPr>
            <w:r>
              <w:rPr>
                <w:rFonts w:ascii="NanumGothic" w:hAnsi="NanumGothic"/>
                <w:b w:val="0"/>
                <w:i w:val="0"/>
                <w:color w:val="000000"/>
                <w:sz w:val="19"/>
              </w:rPr>
              <w:t>국가</w:t>
              <w:br/>
              <w:t>실태조사</w:t>
            </w:r>
          </w:p>
        </w:tc>
        <w:tc>
          <w:tcPr>
            <w:tcW w:type="dxa" w:w="4450"/>
            <w:vAlign w:val="center"/>
            <w:tcMar>
              <w:top w:w="85" w:type="dxa"/>
              <w:bottom w:w="85" w:type="dxa"/>
              <w:left w:w="100" w:type="dxa"/>
              <w:right w:w="100" w:type="dxa"/>
            </w:tcMar>
          </w:tcPr>
          <w:p>
            <w:pPr>
              <w:spacing w:line="280" w:lineRule="exact" w:before="0" w:after="0"/>
              <w:jc w:val="left"/>
            </w:pPr>
            <w:r>
              <w:rPr>
                <w:rFonts w:ascii="NanumGothic" w:hAnsi="NanumGothic"/>
                <w:b w:val="0"/>
                <w:i w:val="0"/>
                <w:color w:val="000000"/>
                <w:sz w:val="19"/>
              </w:rPr>
              <w:t>여성폭력 2024 공공용 자료와 가정폭력 2022 공개자료 활용</w:t>
              <w:br/>
              <w:t>가정폭력 2025는 보고서 우선 검토[5][6][7]</w:t>
            </w:r>
          </w:p>
        </w:tc>
        <w:tc>
          <w:tcPr>
            <w:tcW w:type="dxa" w:w="3827"/>
            <w:vAlign w:val="center"/>
            <w:tcMar>
              <w:top w:w="85" w:type="dxa"/>
              <w:bottom w:w="85" w:type="dxa"/>
              <w:left w:w="100" w:type="dxa"/>
              <w:right w:w="100" w:type="dxa"/>
            </w:tcMar>
          </w:tcPr>
          <w:p>
            <w:pPr>
              <w:spacing w:line="280" w:lineRule="exact" w:before="0" w:after="0"/>
              <w:jc w:val="left"/>
            </w:pPr>
            <w:r>
              <w:rPr>
                <w:rFonts w:ascii="NanumGothic" w:hAnsi="NanumGothic"/>
                <w:b w:val="0"/>
                <w:i w:val="0"/>
                <w:color w:val="000000"/>
                <w:sz w:val="19"/>
              </w:rPr>
              <w:t>1~2년 차 행위·생활·도움 요청의 2차 분석과 문항 개발</w:t>
            </w:r>
          </w:p>
        </w:tc>
      </w:tr>
      <w:tr>
        <w:trPr>
          <w:cantSplit/>
        </w:trPr>
        <w:tc>
          <w:tcPr>
            <w:tcW w:type="dxa" w:w="1247"/>
            <w:vAlign w:val="center"/>
            <w:tcMar>
              <w:top w:w="85" w:type="dxa"/>
              <w:bottom w:w="85" w:type="dxa"/>
              <w:left w:w="100" w:type="dxa"/>
              <w:right w:w="100" w:type="dxa"/>
            </w:tcMar>
          </w:tcPr>
          <w:p>
            <w:pPr>
              <w:spacing w:line="280" w:lineRule="exact" w:before="0" w:after="0"/>
              <w:jc w:val="center"/>
            </w:pPr>
            <w:r>
              <w:rPr>
                <w:rFonts w:ascii="NanumGothic" w:hAnsi="NanumGothic"/>
                <w:b w:val="0"/>
                <w:i w:val="0"/>
                <w:color w:val="000000"/>
                <w:sz w:val="19"/>
              </w:rPr>
              <w:t>재단 후속</w:t>
              <w:br/>
              <w:t>연구</w:t>
            </w:r>
          </w:p>
        </w:tc>
        <w:tc>
          <w:tcPr>
            <w:tcW w:type="dxa" w:w="4450"/>
            <w:vAlign w:val="center"/>
            <w:tcMar>
              <w:top w:w="85" w:type="dxa"/>
              <w:bottom w:w="85" w:type="dxa"/>
              <w:left w:w="100" w:type="dxa"/>
              <w:right w:w="100" w:type="dxa"/>
            </w:tcMar>
          </w:tcPr>
          <w:p>
            <w:pPr>
              <w:spacing w:line="280" w:lineRule="exact" w:before="0" w:after="0"/>
              <w:jc w:val="left"/>
            </w:pPr>
            <w:r>
              <w:rPr>
                <w:rFonts w:ascii="NanumGothic" w:hAnsi="NanumGothic"/>
                <w:b w:val="0"/>
                <w:i w:val="0"/>
                <w:color w:val="000000"/>
                <w:sz w:val="19"/>
              </w:rPr>
              <w:t>2026년 친밀관계폭력·성과관리 연구의 최종 결과·조사표 검토</w:t>
              <w:br/>
              <w:t>원자료는 이용 승인 협의[2][3]</w:t>
            </w:r>
          </w:p>
        </w:tc>
        <w:tc>
          <w:tcPr>
            <w:tcW w:type="dxa" w:w="3827"/>
            <w:vAlign w:val="center"/>
            <w:tcMar>
              <w:top w:w="85" w:type="dxa"/>
              <w:bottom w:w="85" w:type="dxa"/>
              <w:left w:w="100" w:type="dxa"/>
              <w:right w:w="100" w:type="dxa"/>
            </w:tcMar>
          </w:tcPr>
          <w:p>
            <w:pPr>
              <w:spacing w:line="280" w:lineRule="exact" w:before="0" w:after="0"/>
              <w:jc w:val="left"/>
            </w:pPr>
            <w:r>
              <w:rPr>
                <w:rFonts w:ascii="NanumGothic" w:hAnsi="NanumGothic"/>
                <w:b w:val="0"/>
                <w:i w:val="0"/>
                <w:color w:val="000000"/>
                <w:sz w:val="19"/>
              </w:rPr>
              <w:t>기존 정책제언·지표·문항과 중복 조정</w:t>
              <w:br/>
              <w:t>승인된 자료에 한해 추가 분석</w:t>
            </w:r>
          </w:p>
        </w:tc>
      </w:tr>
      <w:tr>
        <w:trPr>
          <w:cantSplit/>
        </w:trPr>
        <w:tc>
          <w:tcPr>
            <w:tcW w:type="dxa" w:w="1247"/>
            <w:vAlign w:val="center"/>
            <w:tcMar>
              <w:top w:w="85" w:type="dxa"/>
              <w:bottom w:w="85" w:type="dxa"/>
              <w:left w:w="100" w:type="dxa"/>
              <w:right w:w="100" w:type="dxa"/>
            </w:tcMar>
          </w:tcPr>
          <w:p>
            <w:pPr>
              <w:spacing w:line="280" w:lineRule="exact" w:before="0" w:after="0"/>
              <w:jc w:val="center"/>
            </w:pPr>
            <w:r>
              <w:rPr>
                <w:rFonts w:ascii="NanumGothic" w:hAnsi="NanumGothic"/>
                <w:b w:val="0"/>
                <w:i w:val="0"/>
                <w:color w:val="000000"/>
                <w:sz w:val="19"/>
              </w:rPr>
              <w:t>현장과</w:t>
              <w:br/>
              <w:t>운영자료</w:t>
            </w:r>
          </w:p>
        </w:tc>
        <w:tc>
          <w:tcPr>
            <w:tcW w:type="dxa" w:w="4450"/>
            <w:vAlign w:val="center"/>
            <w:tcMar>
              <w:top w:w="85" w:type="dxa"/>
              <w:bottom w:w="85" w:type="dxa"/>
              <w:left w:w="100" w:type="dxa"/>
              <w:right w:w="100" w:type="dxa"/>
            </w:tcMar>
          </w:tcPr>
          <w:p>
            <w:pPr>
              <w:spacing w:line="280" w:lineRule="exact" w:before="0" w:after="0"/>
              <w:jc w:val="left"/>
            </w:pPr>
            <w:r>
              <w:rPr>
                <w:rFonts w:ascii="NanumGothic" w:hAnsi="NanumGothic"/>
                <w:b w:val="0"/>
                <w:i w:val="0"/>
                <w:color w:val="000000"/>
                <w:sz w:val="19"/>
              </w:rPr>
              <w:t>공개 지침·빈 서식·집계자료</w:t>
              <w:br/>
              <w:t>1년 차 탐색, 2년 차 후속·추가 면접</w:t>
              <w:br/>
              <w:t>개별 기록은 승인 후 보완</w:t>
            </w:r>
          </w:p>
        </w:tc>
        <w:tc>
          <w:tcPr>
            <w:tcW w:type="dxa" w:w="3827"/>
            <w:vAlign w:val="center"/>
            <w:tcMar>
              <w:top w:w="85" w:type="dxa"/>
              <w:bottom w:w="85" w:type="dxa"/>
              <w:left w:w="100" w:type="dxa"/>
              <w:right w:w="100" w:type="dxa"/>
            </w:tcMar>
          </w:tcPr>
          <w:p>
            <w:pPr>
              <w:spacing w:line="280" w:lineRule="exact" w:before="0" w:after="0"/>
              <w:jc w:val="left"/>
            </w:pPr>
            <w:r>
              <w:rPr>
                <w:rFonts w:ascii="NanumGothic" w:hAnsi="NanumGothic"/>
                <w:b w:val="0"/>
                <w:i w:val="0"/>
                <w:color w:val="000000"/>
                <w:sz w:val="19"/>
              </w:rPr>
              <w:t>1년 차 보호 공백·코딩 항목 도출</w:t>
              <w:br/>
              <w:t>2년 차 초기 운영과 접근 장벽</w:t>
              <w:br/>
              <w:t>3년 차 정책안 현장 검토</w:t>
            </w:r>
          </w:p>
        </w:tc>
      </w:tr>
      <w:tr>
        <w:trPr>
          <w:cantSplit/>
        </w:trPr>
        <w:tc>
          <w:tcPr>
            <w:tcW w:type="dxa" w:w="1247"/>
            <w:vAlign w:val="center"/>
            <w:tcMar>
              <w:top w:w="85" w:type="dxa"/>
              <w:bottom w:w="85" w:type="dxa"/>
              <w:left w:w="100" w:type="dxa"/>
              <w:right w:w="100" w:type="dxa"/>
            </w:tcMar>
          </w:tcPr>
          <w:p>
            <w:pPr>
              <w:spacing w:line="280" w:lineRule="exact" w:before="0" w:after="0"/>
              <w:jc w:val="center"/>
            </w:pPr>
            <w:r>
              <w:rPr>
                <w:rFonts w:ascii="NanumGothic" w:hAnsi="NanumGothic"/>
                <w:b w:val="0"/>
                <w:i w:val="0"/>
                <w:color w:val="000000"/>
                <w:sz w:val="19"/>
              </w:rPr>
              <w:t>신규 조사</w:t>
            </w:r>
          </w:p>
        </w:tc>
        <w:tc>
          <w:tcPr>
            <w:tcW w:type="dxa" w:w="4450"/>
            <w:vAlign w:val="center"/>
            <w:tcMar>
              <w:top w:w="85" w:type="dxa"/>
              <w:bottom w:w="85" w:type="dxa"/>
              <w:left w:w="100" w:type="dxa"/>
              <w:right w:w="100" w:type="dxa"/>
            </w:tcMar>
          </w:tcPr>
          <w:p>
            <w:pPr>
              <w:spacing w:line="280" w:lineRule="exact" w:before="0" w:after="0"/>
              <w:jc w:val="left"/>
            </w:pPr>
            <w:r>
              <w:rPr>
                <w:rFonts w:ascii="NanumGothic" w:hAnsi="NanumGothic"/>
                <w:b w:val="0"/>
                <w:i w:val="0"/>
                <w:color w:val="000000"/>
                <w:sz w:val="19"/>
              </w:rPr>
              <w:t>조사 예산·윤리 절차·계약을 마련하여 온라인 패널 조사 추진</w:t>
            </w:r>
          </w:p>
        </w:tc>
        <w:tc>
          <w:tcPr>
            <w:tcW w:type="dxa" w:w="3827"/>
            <w:vAlign w:val="center"/>
            <w:tcMar>
              <w:top w:w="85" w:type="dxa"/>
              <w:bottom w:w="85" w:type="dxa"/>
              <w:left w:w="100" w:type="dxa"/>
              <w:right w:w="100" w:type="dxa"/>
            </w:tcMar>
          </w:tcPr>
          <w:p>
            <w:pPr>
              <w:spacing w:line="280" w:lineRule="exact" w:before="0" w:after="0"/>
              <w:jc w:val="left"/>
            </w:pPr>
            <w:r>
              <w:rPr>
                <w:rFonts w:ascii="NanumGothic" w:hAnsi="NanumGothic"/>
                <w:b w:val="0"/>
                <w:i w:val="0"/>
                <w:color w:val="000000"/>
                <w:sz w:val="19"/>
              </w:rPr>
              <w:t>2년 차 예비조사와 설계 확정</w:t>
              <w:br/>
              <w:t>3년 차 시민 본조사</w:t>
            </w:r>
          </w:p>
        </w:tc>
      </w:tr>
      <w:tr>
        <w:trPr>
          <w:cantSplit/>
        </w:trPr>
        <w:tc>
          <w:tcPr>
            <w:tcW w:type="dxa" w:w="1247"/>
            <w:vAlign w:val="center"/>
            <w:tcMar>
              <w:top w:w="85" w:type="dxa"/>
              <w:bottom w:w="85" w:type="dxa"/>
              <w:left w:w="100" w:type="dxa"/>
              <w:right w:w="100" w:type="dxa"/>
            </w:tcMar>
          </w:tcPr>
          <w:p>
            <w:pPr>
              <w:spacing w:line="280" w:lineRule="exact" w:before="0" w:after="0"/>
              <w:jc w:val="center"/>
            </w:pPr>
            <w:r>
              <w:rPr>
                <w:rFonts w:ascii="NanumGothic" w:hAnsi="NanumGothic"/>
                <w:b w:val="0"/>
                <w:i w:val="0"/>
                <w:color w:val="000000"/>
                <w:sz w:val="19"/>
              </w:rPr>
              <w:t>뉴스와</w:t>
              <w:br/>
              <w:t>보도자료</w:t>
            </w:r>
          </w:p>
        </w:tc>
        <w:tc>
          <w:tcPr>
            <w:tcW w:type="dxa" w:w="4450"/>
            <w:vAlign w:val="center"/>
            <w:tcMar>
              <w:top w:w="85" w:type="dxa"/>
              <w:bottom w:w="85" w:type="dxa"/>
              <w:left w:w="100" w:type="dxa"/>
              <w:right w:w="100" w:type="dxa"/>
            </w:tcMar>
          </w:tcPr>
          <w:p>
            <w:pPr>
              <w:spacing w:line="280" w:lineRule="exact" w:before="0" w:after="0"/>
              <w:jc w:val="left"/>
            </w:pPr>
            <w:r>
              <w:rPr>
                <w:rFonts w:ascii="NanumGothic" w:hAnsi="NanumGothic"/>
                <w:b w:val="0"/>
                <w:i w:val="0"/>
                <w:color w:val="000000"/>
                <w:sz w:val="19"/>
              </w:rPr>
              <w:t>빅카인즈 제공 기능과 이용조건, 공식 발표·공개 판례·의회 자료[9]</w:t>
            </w:r>
          </w:p>
        </w:tc>
        <w:tc>
          <w:tcPr>
            <w:tcW w:type="dxa" w:w="3827"/>
            <w:vAlign w:val="center"/>
            <w:tcMar>
              <w:top w:w="85" w:type="dxa"/>
              <w:bottom w:w="85" w:type="dxa"/>
              <w:left w:w="100" w:type="dxa"/>
              <w:right w:w="100" w:type="dxa"/>
            </w:tcMar>
          </w:tcPr>
          <w:p>
            <w:pPr>
              <w:spacing w:line="280" w:lineRule="exact" w:before="0" w:after="0"/>
              <w:jc w:val="left"/>
            </w:pPr>
            <w:r>
              <w:rPr>
                <w:rFonts w:ascii="NanumGothic" w:hAnsi="NanumGothic"/>
                <w:b w:val="0"/>
                <w:i w:val="0"/>
                <w:color w:val="000000"/>
                <w:sz w:val="19"/>
              </w:rPr>
              <w:t>최근 수단·제도 쟁점 확인</w:t>
              <w:br/>
              <w:t>사례 시나리오와 자료 검색 보완</w:t>
            </w:r>
          </w:p>
        </w:tc>
      </w:tr>
    </w:tbl>
    <w:p>
      <w:pPr>
        <w:pStyle w:val="Heading2"/>
        <w:wordWrap w:val="0"/>
        <w:spacing w:before="120"/>
      </w:pPr>
      <w:r>
        <w:t>서울 스토킹 조사와 새 조사의 차별화</w:t>
      </w:r>
    </w:p>
    <w:p>
      <w:pPr>
        <w:wordWrap w:val="0"/>
      </w:pPr>
      <w:r>
        <w:t>2024년 서울 조사는 피해 맥락·영향·신고·지원 경험을 분석하는 지역 근거로 활용하겠습니다. 설문지와 코드북의 응답 분기, 경찰 조치 선택지, 이용 경험과 의향의 구분을 먼저 확인하겠습니다. 신규 조사는 경제적·기술매개 행위의 맥락과 상대적 선후, 당시의 인식, 보호조치의 단계, 지원 필요에서 실제 이용까지를 더 세밀하게 묻겠습니다.[1][4]</w:t>
      </w:r>
    </w:p>
    <w:p>
      <w:pPr>
        <w:wordWrap w:val="0"/>
      </w:pPr>
      <w:r>
        <w:t>2025년 가정폭력 원자료, 2026년 재단 원자료와 향후 통합실태조사는 제공·이용 조건을 확인한 뒤 추가하겠습니다. 기본 분석은 이미 준비된 판결문과 이용 가능한 공개자료로 구성하겠습니다. 2027년 통합조사 계획은 문항 중복을 점검하는 참고로 활용하겠습니다.[7][8]</w:t>
      </w:r>
    </w:p>
    <w:p>
      <w:pPr>
        <w:pStyle w:val="Heading2"/>
        <w:wordWrap w:val="0"/>
      </w:pPr>
      <w:r>
        <w:t>뉴스와 보도자료의 역할</w:t>
      </w:r>
    </w:p>
    <w:p>
      <w:pPr>
        <w:wordWrap w:val="0"/>
      </w:pPr>
      <w:r>
        <w:t>검색 기간·언론사·검색식을 정하고 기사와 사건의 중복, 사건일과 보도일, 주장과 확인된 사실을 구분하겠습니다. 보도자료는 새로운 행위와 제도 쟁점을 찾는 보조 근거로 사용하고, 피해의 발생률이나 반복 확률은 해당 자료로 계산하지 않겠습니다.</w:t>
      </w:r>
    </w:p>
    <w:p>
      <w:pPr>
        <w:pStyle w:val="Heading1"/>
        <w:pageBreakBefore/>
        <w:wordWrap w:val="0"/>
        <w:spacing w:before="0"/>
      </w:pPr>
      <w:r>
        <w:t>6 추진 일정과 정책 활용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4450"/>
        <w:gridCol w:w="3827"/>
      </w:tblGrid>
      <w:tr>
        <w:trPr>
          <w:cantSplit/>
          <w:tblHeader/>
        </w:trPr>
        <w:tc>
          <w:tcPr>
            <w:tcW w:type="dxa" w:w="1247"/>
            <w:vAlign w:val="center"/>
            <w:tcMar>
              <w:top w:w="85" w:type="dxa"/>
              <w:bottom w:w="85" w:type="dxa"/>
              <w:left w:w="100" w:type="dxa"/>
              <w:right w:w="100" w:type="dxa"/>
            </w:tcMar>
            <w:shd w:fill="EEEEEE"/>
          </w:tcPr>
          <w:p>
            <w:pPr>
              <w:spacing w:line="280" w:lineRule="exact" w:before="0" w:after="0"/>
              <w:jc w:val="center"/>
            </w:pPr>
            <w:r>
              <w:rPr>
                <w:rFonts w:ascii="NanumGothic" w:hAnsi="NanumGothic"/>
                <w:b/>
                <w:i w:val="0"/>
                <w:color w:val="000000"/>
                <w:sz w:val="19"/>
              </w:rPr>
              <w:t>연차</w:t>
            </w:r>
          </w:p>
        </w:tc>
        <w:tc>
          <w:tcPr>
            <w:tcW w:type="dxa" w:w="4450"/>
            <w:vAlign w:val="center"/>
            <w:tcMar>
              <w:top w:w="85" w:type="dxa"/>
              <w:bottom w:w="85" w:type="dxa"/>
              <w:left w:w="100" w:type="dxa"/>
              <w:right w:w="100" w:type="dxa"/>
            </w:tcMar>
            <w:shd w:fill="EEEEEE"/>
          </w:tcPr>
          <w:p>
            <w:pPr>
              <w:spacing w:line="280" w:lineRule="exact" w:before="0" w:after="0"/>
              <w:jc w:val="center"/>
            </w:pPr>
            <w:r>
              <w:rPr>
                <w:rFonts w:ascii="NanumGothic" w:hAnsi="NanumGothic"/>
                <w:b/>
                <w:i w:val="0"/>
                <w:color w:val="000000"/>
                <w:sz w:val="19"/>
              </w:rPr>
              <w:t>상반기</w:t>
            </w:r>
          </w:p>
        </w:tc>
        <w:tc>
          <w:tcPr>
            <w:tcW w:type="dxa" w:w="3827"/>
            <w:vAlign w:val="center"/>
            <w:tcMar>
              <w:top w:w="85" w:type="dxa"/>
              <w:bottom w:w="85" w:type="dxa"/>
              <w:left w:w="100" w:type="dxa"/>
              <w:right w:w="100" w:type="dxa"/>
            </w:tcMar>
            <w:shd w:fill="EEEEEE"/>
          </w:tcPr>
          <w:p>
            <w:pPr>
              <w:spacing w:line="280" w:lineRule="exact" w:before="0" w:after="0"/>
              <w:jc w:val="center"/>
            </w:pPr>
            <w:r>
              <w:rPr>
                <w:rFonts w:ascii="NanumGothic" w:hAnsi="NanumGothic"/>
                <w:b/>
                <w:i w:val="0"/>
                <w:color w:val="000000"/>
                <w:sz w:val="19"/>
              </w:rPr>
              <w:t>하반기</w:t>
            </w:r>
          </w:p>
        </w:tc>
      </w:tr>
      <w:tr>
        <w:trPr>
          <w:cantSplit/>
        </w:trPr>
        <w:tc>
          <w:tcPr>
            <w:tcW w:type="dxa" w:w="1247"/>
            <w:vAlign w:val="center"/>
            <w:tcMar>
              <w:top w:w="85" w:type="dxa"/>
              <w:bottom w:w="85" w:type="dxa"/>
              <w:left w:w="100" w:type="dxa"/>
              <w:right w:w="100" w:type="dxa"/>
            </w:tcMar>
          </w:tcPr>
          <w:p>
            <w:pPr>
              <w:spacing w:line="280" w:lineRule="exact" w:before="0" w:after="0"/>
              <w:jc w:val="center"/>
            </w:pPr>
            <w:r>
              <w:rPr>
                <w:rFonts w:ascii="NanumGothic" w:hAnsi="NanumGothic"/>
                <w:b w:val="0"/>
                <w:i w:val="0"/>
                <w:color w:val="000000"/>
                <w:sz w:val="19"/>
              </w:rPr>
              <w:t>1년 차</w:t>
            </w:r>
          </w:p>
        </w:tc>
        <w:tc>
          <w:tcPr>
            <w:tcW w:type="dxa" w:w="4450"/>
            <w:vAlign w:val="center"/>
            <w:tcMar>
              <w:top w:w="85" w:type="dxa"/>
              <w:bottom w:w="85" w:type="dxa"/>
              <w:left w:w="100" w:type="dxa"/>
              <w:right w:w="100" w:type="dxa"/>
            </w:tcMar>
          </w:tcPr>
          <w:p>
            <w:pPr>
              <w:spacing w:line="280" w:lineRule="exact" w:before="0" w:after="0"/>
              <w:jc w:val="left"/>
            </w:pPr>
            <w:r>
              <w:rPr>
                <w:rFonts w:ascii="NanumGothic" w:hAnsi="NanumGothic"/>
                <w:b w:val="0"/>
                <w:i w:val="0"/>
                <w:color w:val="000000"/>
                <w:sz w:val="19"/>
              </w:rPr>
              <w:t>제도 검토·윤리 절차·탐색 면접</w:t>
              <w:br/>
              <w:t>판결문 30~50건 예비 코딩</w:t>
            </w:r>
          </w:p>
        </w:tc>
        <w:tc>
          <w:tcPr>
            <w:tcW w:type="dxa" w:w="3827"/>
            <w:vAlign w:val="center"/>
            <w:tcMar>
              <w:top w:w="85" w:type="dxa"/>
              <w:bottom w:w="85" w:type="dxa"/>
              <w:left w:w="100" w:type="dxa"/>
              <w:right w:w="100" w:type="dxa"/>
            </w:tcMar>
          </w:tcPr>
          <w:p>
            <w:pPr>
              <w:spacing w:line="280" w:lineRule="exact" w:before="0" w:after="0"/>
              <w:jc w:val="left"/>
            </w:pPr>
            <w:r>
              <w:rPr>
                <w:rFonts w:ascii="NanumGothic" w:hAnsi="NanumGothic"/>
                <w:b w:val="0"/>
                <w:i w:val="0"/>
                <w:color w:val="000000"/>
                <w:sz w:val="19"/>
              </w:rPr>
              <w:t>서울 판결문 수집·공통 코딩</w:t>
              <w:br/>
              <w:t>보호 공백 유형·본분석 설계 확정</w:t>
            </w:r>
          </w:p>
        </w:tc>
      </w:tr>
      <w:tr>
        <w:trPr>
          <w:cantSplit/>
        </w:trPr>
        <w:tc>
          <w:tcPr>
            <w:tcW w:type="dxa" w:w="1247"/>
            <w:vAlign w:val="center"/>
            <w:tcMar>
              <w:top w:w="85" w:type="dxa"/>
              <w:bottom w:w="85" w:type="dxa"/>
              <w:left w:w="100" w:type="dxa"/>
              <w:right w:w="100" w:type="dxa"/>
            </w:tcMar>
          </w:tcPr>
          <w:p>
            <w:pPr>
              <w:spacing w:line="280" w:lineRule="exact" w:before="0" w:after="0"/>
              <w:jc w:val="center"/>
            </w:pPr>
            <w:r>
              <w:rPr>
                <w:rFonts w:ascii="NanumGothic" w:hAnsi="NanumGothic"/>
                <w:b w:val="0"/>
                <w:i w:val="0"/>
                <w:color w:val="000000"/>
                <w:sz w:val="19"/>
              </w:rPr>
              <w:t>2년 차</w:t>
            </w:r>
          </w:p>
        </w:tc>
        <w:tc>
          <w:tcPr>
            <w:tcW w:type="dxa" w:w="4450"/>
            <w:vAlign w:val="center"/>
            <w:tcMar>
              <w:top w:w="85" w:type="dxa"/>
              <w:bottom w:w="85" w:type="dxa"/>
              <w:left w:w="100" w:type="dxa"/>
              <w:right w:w="100" w:type="dxa"/>
            </w:tcMar>
          </w:tcPr>
          <w:p>
            <w:pPr>
              <w:spacing w:line="280" w:lineRule="exact" w:before="0" w:after="0"/>
              <w:jc w:val="left"/>
            </w:pPr>
            <w:r>
              <w:rPr>
                <w:rFonts w:ascii="NanumGothic" w:hAnsi="NanumGothic"/>
                <w:b w:val="0"/>
                <w:i w:val="0"/>
                <w:color w:val="000000"/>
                <w:sz w:val="19"/>
              </w:rPr>
              <w:t>판결문 본분석·실무자 후속 면접</w:t>
              <w:br/>
              <w:t>제도 갱신·예비조사 실행 준비</w:t>
            </w:r>
          </w:p>
        </w:tc>
        <w:tc>
          <w:tcPr>
            <w:tcW w:type="dxa" w:w="3827"/>
            <w:vAlign w:val="center"/>
            <w:tcMar>
              <w:top w:w="85" w:type="dxa"/>
              <w:bottom w:w="85" w:type="dxa"/>
              <w:left w:w="100" w:type="dxa"/>
              <w:right w:w="100" w:type="dxa"/>
            </w:tcMar>
          </w:tcPr>
          <w:p>
            <w:pPr>
              <w:spacing w:line="280" w:lineRule="exact" w:before="0" w:after="0"/>
              <w:jc w:val="left"/>
            </w:pPr>
            <w:r>
              <w:rPr>
                <w:rFonts w:ascii="NanumGothic" w:hAnsi="NanumGothic"/>
                <w:b w:val="0"/>
                <w:i w:val="0"/>
                <w:color w:val="000000"/>
                <w:sz w:val="19"/>
              </w:rPr>
              <w:t>조사 문항 개발·패널 예비조사</w:t>
              <w:br/>
              <w:t>본조사 예산·설계와 정책보고서 확정</w:t>
            </w:r>
          </w:p>
        </w:tc>
      </w:tr>
      <w:tr>
        <w:trPr>
          <w:cantSplit/>
        </w:trPr>
        <w:tc>
          <w:tcPr>
            <w:tcW w:type="dxa" w:w="1247"/>
            <w:vAlign w:val="center"/>
            <w:tcMar>
              <w:top w:w="85" w:type="dxa"/>
              <w:bottom w:w="85" w:type="dxa"/>
              <w:left w:w="100" w:type="dxa"/>
              <w:right w:w="100" w:type="dxa"/>
            </w:tcMar>
          </w:tcPr>
          <w:p>
            <w:pPr>
              <w:spacing w:line="280" w:lineRule="exact" w:before="0" w:after="0"/>
              <w:jc w:val="center"/>
            </w:pPr>
            <w:r>
              <w:rPr>
                <w:rFonts w:ascii="NanumGothic" w:hAnsi="NanumGothic"/>
                <w:b w:val="0"/>
                <w:i w:val="0"/>
                <w:color w:val="000000"/>
                <w:sz w:val="19"/>
              </w:rPr>
              <w:t>3년 차</w:t>
            </w:r>
          </w:p>
        </w:tc>
        <w:tc>
          <w:tcPr>
            <w:tcW w:type="dxa" w:w="4450"/>
            <w:vAlign w:val="center"/>
            <w:tcMar>
              <w:top w:w="85" w:type="dxa"/>
              <w:bottom w:w="85" w:type="dxa"/>
              <w:left w:w="100" w:type="dxa"/>
              <w:right w:w="100" w:type="dxa"/>
            </w:tcMar>
          </w:tcPr>
          <w:p>
            <w:pPr>
              <w:spacing w:line="280" w:lineRule="exact" w:before="0" w:after="0"/>
              <w:jc w:val="left"/>
            </w:pPr>
            <w:r>
              <w:rPr>
                <w:rFonts w:ascii="NanumGothic" w:hAnsi="NanumGothic"/>
                <w:b w:val="0"/>
                <w:i w:val="0"/>
                <w:color w:val="000000"/>
                <w:sz w:val="19"/>
              </w:rPr>
              <w:t>본조사 계약·윤리 절차 확정</w:t>
              <w:br/>
              <w:t>서울시민 선별조사·본조사</w:t>
            </w:r>
          </w:p>
        </w:tc>
        <w:tc>
          <w:tcPr>
            <w:tcW w:type="dxa" w:w="3827"/>
            <w:vAlign w:val="center"/>
            <w:tcMar>
              <w:top w:w="85" w:type="dxa"/>
              <w:bottom w:w="85" w:type="dxa"/>
              <w:left w:w="100" w:type="dxa"/>
              <w:right w:w="100" w:type="dxa"/>
            </w:tcMar>
          </w:tcPr>
          <w:p>
            <w:pPr>
              <w:spacing w:line="280" w:lineRule="exact" w:before="0" w:after="0"/>
              <w:jc w:val="left"/>
            </w:pPr>
            <w:r>
              <w:rPr>
                <w:rFonts w:ascii="NanumGothic" w:hAnsi="NanumGothic"/>
                <w:b w:val="0"/>
                <w:i w:val="0"/>
                <w:color w:val="000000"/>
                <w:sz w:val="19"/>
              </w:rPr>
              <w:t>피해 인식·보호·지원 공백 분석</w:t>
              <w:br/>
              <w:t>현장 검토와 최종 정책안 제시</w:t>
            </w:r>
          </w:p>
        </w:tc>
      </w:tr>
    </w:tbl>
    <w:p>
      <w:pPr>
        <w:pStyle w:val="Heading2"/>
        <w:wordWrap w:val="0"/>
        <w:spacing w:before="120"/>
      </w:pPr>
      <w:r>
        <w:t>서울시에서 활용할 결과</w:t>
      </w:r>
    </w:p>
    <w:p>
      <w:pPr>
        <w:wordWrap w:val="0"/>
      </w:pPr>
      <w:r>
        <w:t>초기상담에서는 경제적·기술매개 행위와 동의·거부 가능성, 누적된 생활 제약을 함께 확인하는 질문을 제안하겠습니다. 확인된 행위와 즉시 필요한 안전조치, 주거·생계·돌봄 등 생활지원 필요를 구분하여 상담과 전문기관 연계에 활용하도록 하겠습니다.</w:t>
      </w:r>
    </w:p>
    <w:p>
      <w:pPr>
        <w:wordWrap w:val="0"/>
      </w:pPr>
      <w:r>
        <w:t>보호 접근에서는 관계·행위에 맞는 법률지원, 신청 안내, 조치 이후의 안전계획과 지원 연계를 제안하겠습니다. 이별·재접근·새로운 통제 방식·조치 만료처럼 상황이 바뀔 때 다시 확인할 항목과 담당 기능을 정리하겠습니다. 특정 센터의 수탁 지속보다 서울시 지원기관 사이의 기능과 연결 절차를 중심으로 설계하겠습니다.</w:t>
      </w:r>
    </w:p>
    <w:p>
      <w:pPr>
        <w:wordWrap w:val="0"/>
      </w:pPr>
      <w:r>
        <w:t>성과 확인은 기존 재단 연구의 지표에 연결하겠습니다. 지원 필요가 있었던 사람의 안내·요청·이용 및 남은 필요를 구분하고, 본인이 원한 종료·원치 않은 중단·연락 불가를 나누어 기록하도록 제안하겠습니다. 법령 개정이 필요한 과제와 서울시 차원의 안내·기록·기관 연계 개선과제를 구별하겠습니다.</w:t>
      </w:r>
    </w:p>
    <w:p>
      <w:pPr>
        <w:pStyle w:val="Heading2"/>
        <w:wordWrap w:val="0"/>
      </w:pPr>
      <w:r>
        <w:t>분석의 타당성과 실행 조건</w:t>
      </w:r>
    </w:p>
    <w:p>
      <w:pPr>
        <w:wordWrap w:val="0"/>
      </w:pPr>
      <w:r>
        <w:t>판결문 분석은 기록된 사건의 경과를 대상으로 하겠습니다. 시간분석의 위험집합과 관찰 종료 기준, 시점의 정확성은 예비분석에서 점검하고 그 결과에 맞춰 분석대상과 모형을 확정하겠습니다. 최종 사건 이후를 임의의 무피해 기간으로 두거나 뒤에 알게 된 정보를 앞선 시점에 넣지 않겠습니다. 미기재는 확인 불가로 처리하고, 보호조치를 받은 사례의 위험 수준 차이를 고려하여 경과 비교와 인과적 효과를 구분하겠습니다.</w:t>
      </w:r>
    </w:p>
    <w:p>
      <w:pPr>
        <w:wordWrap w:val="0"/>
      </w:pPr>
      <w:r>
        <w:t>온라인 패널의 모집·선정 방식과 비교집단 크기에 맞춰 해석 범위를 명시하겠습니다. 보호조치 경험이 드물어도 인지·접근 장벽과 지원 필요의 분석은 수행할 수 있도록 문항을 구성하겠습니다. 위험 예측도구는 추적자료와 별도 검증 여건이 마련될 때 후속 과제로 검토하겠습니다.</w:t>
      </w:r>
    </w:p>
    <w:p>
      <w:pPr>
        <w:wordWrap w:val="0"/>
      </w:pPr>
      <w:r>
        <w:t>면접과 예비조사 전에 필요한 연구윤리 절차를 거치고, 본조사에는 별도 예산·계약과 변경 심의 여부를 확인하겠습니다. 안전한 응답 환경, 문항 건너뛰기·중단, 비밀보장, 지원기관 안내를 마련하고 후속 연락정보는 응답과 분리하겠습니다. 기관의 개인별 기록은 승인된 범위에서만 보완자료로 활용하겠습니다.</w:t>
      </w:r>
    </w:p>
    <w:p>
      <w:pPr>
        <w:pStyle w:val="Heading1"/>
        <w:pageBreakBefore/>
        <w:wordWrap w:val="0"/>
        <w:spacing w:before="0"/>
      </w:pPr>
      <w:r>
        <w:t>7 주요 참고자료</w:t>
      </w:r>
    </w:p>
    <w:p>
      <w:pPr>
        <w:wordWrap w:val="0"/>
      </w:pPr>
      <w:r>
        <w:t>법령과 자료 제공 현황은 2026년 10월 28일을 기준으로 정리하였으며, 각 연차 착수 시 개정 및 제공 사항을 갱신하겠습니다.</w:t>
      </w:r>
    </w:p>
    <w:p>
      <w:pPr>
        <w:keepNext/>
        <w:spacing w:line="300" w:lineRule="exact" w:after="80"/>
        <w:jc w:val="left"/>
      </w:pPr>
      <w:hyperlink r:id="rId9">
        <w:r>
          <w:rPr>
            <w:rFonts w:ascii="NanumGothic" w:hAnsi="NanumGothic" w:eastAsia="NanumGothic"/>
            <w:sz w:val="20"/>
            <w:color w:val="333333"/>
          </w:rPr>
          <w:t>[1] 서울시 스토킹 피해 실태조사 및 정책개발 연구 2024</w:t>
        </w:r>
      </w:hyperlink>
    </w:p>
    <w:p>
      <w:pPr>
        <w:keepNext/>
        <w:spacing w:line="300" w:lineRule="exact" w:after="80"/>
        <w:jc w:val="left"/>
      </w:pPr>
      <w:hyperlink r:id="rId10">
        <w:r>
          <w:rPr>
            <w:rFonts w:ascii="NanumGothic" w:hAnsi="NanumGothic" w:eastAsia="NanumGothic"/>
            <w:sz w:val="20"/>
            <w:color w:val="333333"/>
          </w:rPr>
          <w:t>[2] 서울시 친밀관계폭력 피해실태 및 정책과제 2026</w:t>
        </w:r>
      </w:hyperlink>
    </w:p>
    <w:p>
      <w:pPr>
        <w:keepNext/>
        <w:spacing w:line="300" w:lineRule="exact" w:after="80"/>
        <w:jc w:val="left"/>
      </w:pPr>
      <w:hyperlink r:id="rId11">
        <w:r>
          <w:rPr>
            <w:rFonts w:ascii="NanumGothic" w:hAnsi="NanumGothic" w:eastAsia="NanumGothic"/>
            <w:sz w:val="20"/>
            <w:color w:val="333333"/>
          </w:rPr>
          <w:t>[3] 서울시 젠더기반폭력 피해 지원사업 성과관리 연구 2026</w:t>
        </w:r>
      </w:hyperlink>
    </w:p>
    <w:p>
      <w:pPr>
        <w:keepNext/>
        <w:spacing w:line="300" w:lineRule="exact" w:after="80"/>
        <w:jc w:val="left"/>
      </w:pPr>
      <w:hyperlink r:id="rId12">
        <w:r>
          <w:rPr>
            <w:rFonts w:ascii="NanumGothic" w:hAnsi="NanumGothic" w:eastAsia="NanumGothic"/>
            <w:sz w:val="20"/>
            <w:color w:val="333333"/>
          </w:rPr>
          <w:t>[4] KOSSDA 서울시민 스토킹 인식 및 피해 실태조사 2024</w:t>
        </w:r>
      </w:hyperlink>
    </w:p>
    <w:p>
      <w:pPr>
        <w:keepNext/>
        <w:spacing w:line="300" w:lineRule="exact" w:after="80"/>
        <w:jc w:val="left"/>
      </w:pPr>
      <w:hyperlink r:id="rId13">
        <w:r>
          <w:rPr>
            <w:rFonts w:ascii="NanumGothic" w:hAnsi="NanumGothic" w:eastAsia="NanumGothic"/>
            <w:sz w:val="20"/>
            <w:color w:val="333333"/>
          </w:rPr>
          <w:t>[5] MDIS 2024년 여성폭력실태조사 원자료 제공 공지</w:t>
        </w:r>
      </w:hyperlink>
    </w:p>
    <w:p>
      <w:pPr>
        <w:keepNext/>
        <w:spacing w:line="300" w:lineRule="exact" w:after="80"/>
        <w:jc w:val="left"/>
      </w:pPr>
      <w:hyperlink r:id="rId14">
        <w:r>
          <w:rPr>
            <w:rFonts w:ascii="NanumGothic" w:hAnsi="NanumGothic" w:eastAsia="NanumGothic"/>
            <w:sz w:val="20"/>
            <w:color w:val="333333"/>
          </w:rPr>
          <w:t>[6] MDIS 제공자료 목록</w:t>
        </w:r>
      </w:hyperlink>
    </w:p>
    <w:p>
      <w:pPr>
        <w:keepNext/>
        <w:spacing w:line="300" w:lineRule="exact" w:after="80"/>
        <w:jc w:val="left"/>
      </w:pPr>
      <w:hyperlink r:id="rId15">
        <w:r>
          <w:rPr>
            <w:rFonts w:ascii="NanumGothic" w:hAnsi="NanumGothic" w:eastAsia="NanumGothic"/>
            <w:sz w:val="20"/>
            <w:color w:val="333333"/>
          </w:rPr>
          <w:t>[7] 성평등가족부 2025년 가정폭력 실태조사 보고서</w:t>
        </w:r>
      </w:hyperlink>
    </w:p>
    <w:p>
      <w:pPr>
        <w:keepNext/>
        <w:spacing w:line="300" w:lineRule="exact" w:after="80"/>
        <w:jc w:val="left"/>
      </w:pPr>
      <w:hyperlink r:id="rId16">
        <w:r>
          <w:rPr>
            <w:rFonts w:ascii="NanumGothic" w:hAnsi="NanumGothic" w:eastAsia="NanumGothic"/>
            <w:sz w:val="20"/>
            <w:color w:val="333333"/>
          </w:rPr>
          <w:t>[8] 여성폭력 관련 실태조사 통합 추진 계획 2026</w:t>
        </w:r>
      </w:hyperlink>
    </w:p>
    <w:p>
      <w:pPr>
        <w:keepNext/>
        <w:spacing w:line="300" w:lineRule="exact" w:after="80"/>
        <w:jc w:val="left"/>
      </w:pPr>
      <w:hyperlink r:id="rId17">
        <w:r>
          <w:rPr>
            <w:rFonts w:ascii="NanumGothic" w:hAnsi="NanumGothic" w:eastAsia="NanumGothic"/>
            <w:sz w:val="20"/>
            <w:color w:val="333333"/>
          </w:rPr>
          <w:t>[9] 빅카인즈 공식 서비스 안내</w:t>
        </w:r>
      </w:hyperlink>
    </w:p>
    <w:p>
      <w:pPr>
        <w:keepNext/>
        <w:spacing w:line="300" w:lineRule="exact" w:after="80"/>
        <w:jc w:val="left"/>
      </w:pPr>
      <w:hyperlink r:id="rId18">
        <w:r>
          <w:rPr>
            <w:rFonts w:ascii="NanumGothic" w:hAnsi="NanumGothic" w:eastAsia="NanumGothic"/>
            <w:sz w:val="20"/>
            <w:color w:val="333333"/>
          </w:rPr>
          <w:t>[10] Home Office 강압적 통제 법정지침 2023</w:t>
        </w:r>
      </w:hyperlink>
    </w:p>
    <w:p>
      <w:pPr>
        <w:keepNext/>
        <w:spacing w:line="300" w:lineRule="exact" w:after="80"/>
        <w:jc w:val="left"/>
      </w:pPr>
      <w:hyperlink r:id="rId19">
        <w:r>
          <w:rPr>
            <w:rFonts w:ascii="NanumGothic" w:hAnsi="NanumGothic" w:eastAsia="NanumGothic"/>
            <w:sz w:val="20"/>
            <w:color w:val="333333"/>
          </w:rPr>
          <w:t>[11] CPS 강압적 통제 기소지침 2025 개정</w:t>
        </w:r>
      </w:hyperlink>
    </w:p>
    <w:p>
      <w:pPr>
        <w:keepNext/>
        <w:spacing w:line="300" w:lineRule="exact" w:after="80"/>
        <w:jc w:val="left"/>
      </w:pPr>
      <w:hyperlink r:id="rId20">
        <w:r>
          <w:rPr>
            <w:rFonts w:ascii="NanumGothic" w:hAnsi="NanumGothic" w:eastAsia="NanumGothic"/>
            <w:sz w:val="20"/>
            <w:color w:val="333333"/>
          </w:rPr>
          <w:t>[12] NSW Judicial Commission 친밀관계 상대에 대한 학대행위 재판지침</w:t>
        </w:r>
      </w:hyperlink>
    </w:p>
    <w:p>
      <w:pPr>
        <w:keepNext/>
        <w:spacing w:line="300" w:lineRule="exact" w:after="80"/>
        <w:jc w:val="left"/>
      </w:pPr>
      <w:hyperlink r:id="rId21">
        <w:r>
          <w:rPr>
            <w:rFonts w:ascii="NanumGothic" w:hAnsi="NanumGothic" w:eastAsia="NanumGothic"/>
            <w:sz w:val="20"/>
            <w:color w:val="333333"/>
          </w:rPr>
          <w:t>[13] Victoria Family Violence Protection Act 현행 통합본</w:t>
        </w:r>
      </w:hyperlink>
    </w:p>
    <w:p>
      <w:pPr>
        <w:keepNext/>
        <w:spacing w:line="300" w:lineRule="exact" w:after="80"/>
        <w:jc w:val="left"/>
      </w:pPr>
      <w:hyperlink r:id="rId22">
        <w:r>
          <w:rPr>
            <w:rFonts w:ascii="NanumGothic" w:hAnsi="NanumGothic" w:eastAsia="NanumGothic"/>
            <w:sz w:val="20"/>
            <w:color w:val="333333"/>
          </w:rPr>
          <w:t>[14-1] Victoria MARAM 피해 확인 및 위험관리 실무지침</w:t>
        </w:r>
      </w:hyperlink>
    </w:p>
    <w:p>
      <w:pPr>
        <w:keepNext/>
        <w:spacing w:line="300" w:lineRule="exact" w:after="80"/>
        <w:jc w:val="left"/>
      </w:pPr>
      <w:hyperlink r:id="rId23">
        <w:r>
          <w:rPr>
            <w:rFonts w:ascii="NanumGothic" w:hAnsi="NanumGothic" w:eastAsia="NanumGothic"/>
            <w:sz w:val="20"/>
            <w:color w:val="333333"/>
          </w:rPr>
          <w:t>[14-2] Victoria MARAM 기록과 안전계획 및 연계</w:t>
        </w:r>
      </w:hyperlink>
    </w:p>
    <w:p>
      <w:pPr>
        <w:keepNext/>
        <w:spacing w:line="300" w:lineRule="exact" w:after="80"/>
        <w:jc w:val="left"/>
      </w:pPr>
      <w:hyperlink r:id="rId24">
        <w:r>
          <w:rPr>
            <w:rFonts w:ascii="NanumGothic" w:hAnsi="NanumGothic" w:eastAsia="NanumGothic"/>
            <w:sz w:val="20"/>
            <w:color w:val="333333"/>
          </w:rPr>
          <w:t>[15] Victoria Parliament 강압통제 형사법 개정 통과 2026</w:t>
        </w:r>
      </w:hyperlink>
    </w:p>
    <w:p>
      <w:pPr>
        <w:keepNext/>
        <w:spacing w:line="300" w:lineRule="exact" w:after="80"/>
        <w:jc w:val="left"/>
      </w:pPr>
      <w:hyperlink r:id="rId25">
        <w:r>
          <w:rPr>
            <w:rFonts w:ascii="NanumGothic" w:hAnsi="NanumGothic" w:eastAsia="NanumGothic"/>
            <w:sz w:val="20"/>
            <w:color w:val="333333"/>
          </w:rPr>
          <w:t>[16] 가정폭력범죄의 처벌 등에 관한 특례법 정의 조항</w:t>
        </w:r>
      </w:hyperlink>
    </w:p>
    <w:p>
      <w:pPr>
        <w:keepNext/>
        <w:spacing w:line="300" w:lineRule="exact" w:after="80"/>
        <w:jc w:val="left"/>
      </w:pPr>
      <w:hyperlink r:id="rId26">
        <w:r>
          <w:rPr>
            <w:rFonts w:ascii="NanumGothic" w:hAnsi="NanumGothic" w:eastAsia="NanumGothic"/>
            <w:sz w:val="20"/>
            <w:color w:val="333333"/>
          </w:rPr>
          <w:t>[17] 관계부처 합동 스토킹 교제폭력 대응 강화 방안 2026</w:t>
        </w:r>
      </w:hyperlink>
    </w:p>
    <w:p>
      <w:pPr>
        <w:keepNext/>
        <w:spacing w:line="300" w:lineRule="exact" w:after="80"/>
        <w:jc w:val="left"/>
      </w:pPr>
      <w:hyperlink r:id="rId27">
        <w:r>
          <w:rPr>
            <w:rFonts w:ascii="NanumGothic" w:hAnsi="NanumGothic" w:eastAsia="NanumGothic"/>
            <w:sz w:val="20"/>
            <w:color w:val="333333"/>
          </w:rPr>
          <w:t>[18] 스토킹범죄 처벌법 개정문과 피해자보호명령 시행일</w:t>
        </w:r>
      </w:hyperlink>
    </w:p>
    <w:sectPr w:rsidR="00FC693F" w:rsidRPr="0006063C" w:rsidSect="00034616">
      <w:footerReference w:type="default" r:id="rId28"/>
      <w:pgSz w:w="11906" w:h="16838"/>
      <w:pgMar w:top="1077" w:right="1191" w:bottom="1020" w:left="1191"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anumGothic" w:hAnsi="NanumGothic"/>
        <w:b w:val="0"/>
        <w:i w:val="0"/>
        <w:color w:val="000000"/>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44" w:lineRule="exact" w:after="120"/>
      <w:jc w:val="both"/>
    </w:pPr>
    <w:rPr>
      <w:rFonts w:ascii="NanumGothic" w:hAnsi="NanumGothic" w:eastAsia="NanumGothic" w:cs="NanumGothic"/>
      <w:b w:val="0"/>
      <w:i w:val="0"/>
      <w:color w:val="000000"/>
      <w:sz w:val="22"/>
      <w:lang w:val="ko-KR" w:eastAsia="ko-KR"/>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anumGothic" w:hAnsi="NanumGothic" w:eastAsia="NanumGothic" w:cs="NanumGothic"/>
      <w:b w:val="0"/>
      <w:i w:val="0"/>
      <w:color w:val="000000"/>
      <w:sz w:val="22"/>
      <w:lang w:val="ko-KR" w:eastAsia="ko-KR"/>
    </w:rPr>
  </w:style>
  <w:style w:type="character" w:customStyle="1" w:styleId="HeaderChar">
    <w:name w:val="Header Char"/>
    <w:basedOn w:val="DefaultParagraphFont"/>
    <w:link w:val="Header"/>
    <w:uiPriority w:val="99"/>
    <w:rsid w:val="00E618BF"/>
    <w:rPr>
      <w:rFonts w:ascii="NanumGothic" w:hAnsi="NanumGothic" w:eastAsia="NanumGothic" w:cs="NanumGothic"/>
      <w:b w:val="0"/>
      <w:i w:val="0"/>
      <w:color w:val="000000"/>
      <w:sz w:val="22"/>
      <w:lang w:val="ko-KR" w:eastAsia="ko-KR"/>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anumGothic" w:hAnsi="NanumGothic" w:eastAsia="NanumGothic" w:cs="NanumGothic"/>
      <w:b w:val="0"/>
      <w:i w:val="0"/>
      <w:color w:val="000000"/>
      <w:sz w:val="22"/>
      <w:lang w:val="ko-KR" w:eastAsia="ko-KR"/>
    </w:rPr>
  </w:style>
  <w:style w:type="character" w:customStyle="1" w:styleId="FooterChar">
    <w:name w:val="Footer Char"/>
    <w:basedOn w:val="DefaultParagraphFont"/>
    <w:link w:val="Footer"/>
    <w:uiPriority w:val="99"/>
    <w:rsid w:val="00E618BF"/>
    <w:rPr>
      <w:rFonts w:ascii="NanumGothic" w:hAnsi="NanumGothic" w:eastAsia="NanumGothic" w:cs="NanumGothic"/>
      <w:b w:val="0"/>
      <w:i w:val="0"/>
      <w:color w:val="000000"/>
      <w:sz w:val="22"/>
      <w:lang w:val="ko-KR" w:eastAsia="ko-KR"/>
    </w:rPr>
  </w:style>
  <w:style w:type="paragraph" w:styleId="Heading1">
    <w:name w:val="heading 1"/>
    <w:basedOn w:val="Normal"/>
    <w:next w:val="Normal"/>
    <w:link w:val="Heading1Char"/>
    <w:uiPriority w:val="9"/>
    <w:qFormat/>
    <w:rsid w:val="00FC693F"/>
    <w:pPr>
      <w:keepNext/>
      <w:keepLines/>
      <w:spacing w:before="220" w:after="120" w:line="276" w:lineRule="auto"/>
      <w:jc w:val="left"/>
      <w:outlineLvl w:val="0"/>
    </w:pPr>
    <w:rPr>
      <w:rFonts w:asciiTheme="majorHAnsi" w:eastAsiaTheme="majorEastAsia" w:hAnsiTheme="majorHAnsi" w:cstheme="majorBidi" w:ascii="NanumGothic" w:hAnsi="NanumGothic" w:eastAsia="NanumGothic" w:cs="NanumGothic"/>
      <w:b/>
      <w:bCs/>
      <w:i w:val="0"/>
      <w:color w:val="000000"/>
      <w:sz w:val="26"/>
      <w:szCs w:val="28"/>
      <w:lang w:val="ko-KR" w:eastAsia="ko-KR"/>
    </w:rPr>
  </w:style>
  <w:style w:type="paragraph" w:styleId="Heading2">
    <w:name w:val="heading 2"/>
    <w:basedOn w:val="Normal"/>
    <w:next w:val="Normal"/>
    <w:link w:val="Heading2Char"/>
    <w:uiPriority w:val="9"/>
    <w:unhideWhenUsed/>
    <w:qFormat/>
    <w:rsid w:val="00FC693F"/>
    <w:pPr>
      <w:keepNext/>
      <w:keepLines/>
      <w:spacing w:before="160" w:after="100" w:line="276" w:lineRule="auto"/>
      <w:jc w:val="left"/>
      <w:outlineLvl w:val="1"/>
    </w:pPr>
    <w:rPr>
      <w:rFonts w:asciiTheme="majorHAnsi" w:eastAsiaTheme="majorEastAsia" w:hAnsiTheme="majorHAnsi" w:cstheme="majorBidi" w:ascii="NanumGothic" w:hAnsi="NanumGothic" w:eastAsia="NanumGothic" w:cs="NanumGothic"/>
      <w:b/>
      <w:bCs/>
      <w:i w:val="0"/>
      <w:color w:val="000000"/>
      <w:sz w:val="23"/>
      <w:szCs w:val="26"/>
      <w:lang w:val="ko-KR" w:eastAsia="ko-KR"/>
    </w:rPr>
  </w:style>
  <w:style w:type="paragraph" w:styleId="Heading3">
    <w:name w:val="heading 3"/>
    <w:basedOn w:val="Normal"/>
    <w:next w:val="Normal"/>
    <w:link w:val="Heading3Char"/>
    <w:uiPriority w:val="9"/>
    <w:unhideWhenUsed/>
    <w:qFormat/>
    <w:rsid w:val="00FC693F"/>
    <w:pPr>
      <w:keepNext/>
      <w:keepLines/>
      <w:spacing w:before="120" w:after="80" w:line="276" w:lineRule="auto"/>
      <w:jc w:val="left"/>
      <w:outlineLvl w:val="2"/>
    </w:pPr>
    <w:rPr>
      <w:rFonts w:asciiTheme="majorHAnsi" w:eastAsiaTheme="majorEastAsia" w:hAnsiTheme="majorHAnsi" w:cstheme="majorBidi" w:ascii="NanumGothic" w:hAnsi="NanumGothic" w:eastAsia="NanumGothic" w:cs="NanumGothic"/>
      <w:b/>
      <w:bCs/>
      <w:i w:val="0"/>
      <w:color w:val="000000"/>
      <w:sz w:val="22"/>
      <w:lang w:val="ko-KR" w:eastAsia="ko-K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anumGothic" w:hAnsi="NanumGothic" w:eastAsia="NanumGothic" w:cs="NanumGothic"/>
      <w:b w:val="0"/>
      <w:bCs/>
      <w:i w:val="0"/>
      <w:iCs/>
      <w:color w:val="000000"/>
      <w:sz w:val="22"/>
      <w:lang w:val="ko-KR" w:eastAsia="ko-KR"/>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NanumGothic" w:hAnsi="NanumGothic" w:eastAsia="NanumGothic" w:cs="NanumGothic"/>
      <w:b w:val="0"/>
      <w:i w:val="0"/>
      <w:color w:val="000000"/>
      <w:sz w:val="22"/>
      <w:lang w:val="ko-KR" w:eastAsia="ko-KR"/>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NanumGothic" w:hAnsi="NanumGothic" w:eastAsia="NanumGothic" w:cs="NanumGothic"/>
      <w:b w:val="0"/>
      <w:i w:val="0"/>
      <w:iCs/>
      <w:color w:val="000000"/>
      <w:sz w:val="22"/>
      <w:lang w:val="ko-KR" w:eastAsia="ko-KR"/>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NanumGothic" w:hAnsi="NanumGothic" w:eastAsia="NanumGothic" w:cs="NanumGothic"/>
      <w:b w:val="0"/>
      <w:i w:val="0"/>
      <w:iCs/>
      <w:color w:val="000000"/>
      <w:sz w:val="22"/>
      <w:lang w:val="ko-KR" w:eastAsia="ko-KR"/>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NanumGothic" w:hAnsi="NanumGothic" w:eastAsia="NanumGothic" w:cs="NanumGothic"/>
      <w:b w:val="0"/>
      <w:i w:val="0"/>
      <w:color w:val="000000"/>
      <w:sz w:val="22"/>
      <w:szCs w:val="20"/>
      <w:lang w:val="ko-KR" w:eastAsia="ko-KR"/>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NanumGothic" w:hAnsi="NanumGothic" w:eastAsia="NanumGothic" w:cs="NanumGothic"/>
      <w:b w:val="0"/>
      <w:i w:val="0"/>
      <w:iCs/>
      <w:color w:val="000000"/>
      <w:sz w:val="22"/>
      <w:szCs w:val="20"/>
      <w:lang w:val="ko-KR" w:eastAsia="ko-KR"/>
    </w:rPr>
  </w:style>
  <w:style w:type="character" w:default="1" w:styleId="DefaultParagraphFont">
    <w:name w:val="Default Paragraph Font"/>
    <w:uiPriority w:val="1"/>
    <w:semiHidden/>
    <w:unhideWhenUsed/>
    <w:rPr>
      <w:rFonts w:ascii="NanumGothic" w:hAnsi="NanumGothic" w:eastAsia="NanumGothic" w:cs="NanumGothic"/>
      <w:b w:val="0"/>
      <w:i w:val="0"/>
      <w:color w:val="000000"/>
      <w:sz w:val="22"/>
      <w:lang w:val="ko-KR" w:eastAsia="ko-KR"/>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NanumGothic" w:hAnsi="NanumGothic" w:eastAsia="NanumGothic" w:cs="NanumGothic"/>
      <w:b w:val="0"/>
      <w:i w:val="0"/>
      <w:color w:val="000000"/>
      <w:sz w:val="22"/>
      <w:lang w:val="ko-KR" w:eastAsia="ko-K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NanumGothic" w:hAnsi="NanumGothic" w:eastAsia="NanumGothic" w:cs="NanumGothic"/>
      <w:b w:val="0"/>
      <w:bCs/>
      <w:i w:val="0"/>
      <w:color w:val="000000"/>
      <w:sz w:val="22"/>
      <w:szCs w:val="28"/>
      <w:lang w:val="ko-KR" w:eastAsia="ko-KR"/>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NanumGothic" w:hAnsi="NanumGothic" w:eastAsia="NanumGothic" w:cs="NanumGothic"/>
      <w:b w:val="0"/>
      <w:bCs/>
      <w:i w:val="0"/>
      <w:color w:val="000000"/>
      <w:sz w:val="22"/>
      <w:szCs w:val="26"/>
      <w:lang w:val="ko-KR" w:eastAsia="ko-KR"/>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NanumGothic" w:hAnsi="NanumGothic" w:eastAsia="NanumGothic" w:cs="NanumGothic"/>
      <w:b w:val="0"/>
      <w:bCs/>
      <w:i w:val="0"/>
      <w:color w:val="000000"/>
      <w:sz w:val="22"/>
      <w:lang w:val="ko-KR" w:eastAsia="ko-KR"/>
    </w:rPr>
  </w:style>
  <w:style w:type="paragraph" w:styleId="Title">
    <w:name w:val="Title"/>
    <w:basedOn w:val="Normal"/>
    <w:next w:val="Normal"/>
    <w:link w:val="TitleChar"/>
    <w:uiPriority w:val="10"/>
    <w:qFormat/>
    <w:rsid w:val="00FC693F"/>
    <w:pPr>
      <w:keepNext/>
      <w:spacing w:after="140" w:line="276" w:lineRule="auto" w:before="0"/>
      <w:contextualSpacing/>
      <w:jc w:val="center"/>
    </w:pPr>
    <w:rPr>
      <w:rFonts w:asciiTheme="majorHAnsi" w:eastAsiaTheme="majorEastAsia" w:hAnsiTheme="majorHAnsi" w:cstheme="majorBidi" w:ascii="NanumGothic" w:hAnsi="NanumGothic" w:eastAsia="NanumGothic" w:cs="NanumGothic"/>
      <w:b/>
      <w:i w:val="0"/>
      <w:color w:val="000000"/>
      <w:spacing w:val="5"/>
      <w:kern w:val="28"/>
      <w:sz w:val="36"/>
      <w:szCs w:val="52"/>
      <w:lang w:val="ko-KR" w:eastAsia="ko-K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NanumGothic" w:hAnsi="NanumGothic" w:eastAsia="NanumGothic" w:cs="NanumGothic"/>
      <w:b w:val="0"/>
      <w:i w:val="0"/>
      <w:color w:val="000000"/>
      <w:spacing w:val="5"/>
      <w:kern w:val="28"/>
      <w:sz w:val="22"/>
      <w:szCs w:val="52"/>
      <w:lang w:val="ko-KR" w:eastAsia="ko-KR"/>
    </w:rPr>
  </w:style>
  <w:style w:type="paragraph" w:styleId="Subtitle">
    <w:name w:val="Subtitle"/>
    <w:basedOn w:val="Normal"/>
    <w:next w:val="Normal"/>
    <w:link w:val="SubtitleChar"/>
    <w:uiPriority w:val="11"/>
    <w:qFormat/>
    <w:rsid w:val="00FC693F"/>
    <w:pPr>
      <w:keepNext/>
      <w:numPr>
        <w:ilvl w:val="1"/>
      </w:numPr>
      <w:spacing w:before="0" w:after="260" w:line="276" w:lineRule="auto"/>
      <w:jc w:val="center"/>
    </w:pPr>
    <w:rPr>
      <w:rFonts w:asciiTheme="majorHAnsi" w:eastAsiaTheme="majorEastAsia" w:hAnsiTheme="majorHAnsi" w:cstheme="majorBidi" w:ascii="NanumGothic" w:hAnsi="NanumGothic" w:eastAsia="NanumGothic" w:cs="NanumGothic"/>
      <w:b w:val="0"/>
      <w:i w:val="0"/>
      <w:iCs/>
      <w:color w:val="000000"/>
      <w:spacing w:val="15"/>
      <w:sz w:val="21"/>
      <w:szCs w:val="24"/>
      <w:lang w:val="ko-KR" w:eastAsia="ko-K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NanumGothic" w:hAnsi="NanumGothic" w:eastAsia="NanumGothic" w:cs="NanumGothic"/>
      <w:b w:val="0"/>
      <w:i w:val="0"/>
      <w:iCs/>
      <w:color w:val="000000"/>
      <w:spacing w:val="15"/>
      <w:sz w:val="22"/>
      <w:szCs w:val="24"/>
      <w:lang w:val="ko-KR" w:eastAsia="ko-KR"/>
    </w:rPr>
  </w:style>
  <w:style w:type="paragraph" w:styleId="ListParagraph">
    <w:name w:val="List Paragraph"/>
    <w:basedOn w:val="Normal"/>
    <w:uiPriority w:val="34"/>
    <w:qFormat/>
    <w:rsid w:val="00FC693F"/>
    <w:pPr>
      <w:ind w:left="720"/>
      <w:contextualSpacing/>
    </w:pPr>
    <w:rPr>
      <w:rFonts w:ascii="NanumGothic" w:hAnsi="NanumGothic" w:eastAsia="NanumGothic" w:cs="NanumGothic"/>
      <w:b w:val="0"/>
      <w:i w:val="0"/>
      <w:color w:val="000000"/>
      <w:sz w:val="22"/>
      <w:lang w:val="ko-KR" w:eastAsia="ko-KR"/>
    </w:rPr>
  </w:style>
  <w:style w:type="paragraph" w:styleId="BodyText">
    <w:name w:val="Body Text"/>
    <w:basedOn w:val="Normal"/>
    <w:link w:val="BodyTextChar"/>
    <w:uiPriority w:val="99"/>
    <w:unhideWhenUsed/>
    <w:rsid w:val="00AA1D8D"/>
    <w:pPr>
      <w:spacing w:after="120"/>
    </w:pPr>
    <w:rPr>
      <w:rFonts w:ascii="NanumGothic" w:hAnsi="NanumGothic" w:eastAsia="NanumGothic" w:cs="NanumGothic"/>
      <w:b w:val="0"/>
      <w:i w:val="0"/>
      <w:color w:val="000000"/>
      <w:sz w:val="22"/>
      <w:lang w:val="ko-KR" w:eastAsia="ko-KR"/>
    </w:rPr>
  </w:style>
  <w:style w:type="character" w:customStyle="1" w:styleId="BodyTextChar">
    <w:name w:val="Body Text Char"/>
    <w:basedOn w:val="DefaultParagraphFont"/>
    <w:link w:val="BodyText"/>
    <w:uiPriority w:val="99"/>
    <w:rsid w:val="00AA1D8D"/>
    <w:rPr>
      <w:rFonts w:ascii="NanumGothic" w:hAnsi="NanumGothic" w:eastAsia="NanumGothic" w:cs="NanumGothic"/>
      <w:b w:val="0"/>
      <w:i w:val="0"/>
      <w:color w:val="000000"/>
      <w:sz w:val="22"/>
      <w:lang w:val="ko-KR" w:eastAsia="ko-KR"/>
    </w:rPr>
  </w:style>
  <w:style w:type="paragraph" w:styleId="BodyText2">
    <w:name w:val="Body Text 2"/>
    <w:basedOn w:val="Normal"/>
    <w:link w:val="BodyText2Char"/>
    <w:uiPriority w:val="99"/>
    <w:unhideWhenUsed/>
    <w:rsid w:val="00AA1D8D"/>
    <w:pPr>
      <w:spacing w:after="120" w:line="480" w:lineRule="auto"/>
    </w:pPr>
    <w:rPr>
      <w:rFonts w:ascii="NanumGothic" w:hAnsi="NanumGothic" w:eastAsia="NanumGothic" w:cs="NanumGothic"/>
      <w:b w:val="0"/>
      <w:i w:val="0"/>
      <w:color w:val="000000"/>
      <w:sz w:val="22"/>
      <w:lang w:val="ko-KR" w:eastAsia="ko-KR"/>
    </w:rPr>
  </w:style>
  <w:style w:type="character" w:customStyle="1" w:styleId="BodyText2Char">
    <w:name w:val="Body Text 2 Char"/>
    <w:basedOn w:val="DefaultParagraphFont"/>
    <w:link w:val="BodyText2"/>
    <w:uiPriority w:val="99"/>
    <w:rsid w:val="00AA1D8D"/>
    <w:rPr>
      <w:rFonts w:ascii="NanumGothic" w:hAnsi="NanumGothic" w:eastAsia="NanumGothic" w:cs="NanumGothic"/>
      <w:b w:val="0"/>
      <w:i w:val="0"/>
      <w:color w:val="000000"/>
      <w:sz w:val="22"/>
      <w:lang w:val="ko-KR" w:eastAsia="ko-KR"/>
    </w:rPr>
  </w:style>
  <w:style w:type="paragraph" w:styleId="BodyText3">
    <w:name w:val="Body Text 3"/>
    <w:basedOn w:val="Normal"/>
    <w:link w:val="BodyText3Char"/>
    <w:uiPriority w:val="99"/>
    <w:unhideWhenUsed/>
    <w:rsid w:val="00AA1D8D"/>
    <w:pPr>
      <w:spacing w:after="120"/>
    </w:pPr>
    <w:rPr>
      <w:rFonts w:ascii="NanumGothic" w:hAnsi="NanumGothic" w:eastAsia="NanumGothic" w:cs="NanumGothic"/>
      <w:b w:val="0"/>
      <w:i w:val="0"/>
      <w:color w:val="000000"/>
      <w:sz w:val="22"/>
      <w:szCs w:val="16"/>
      <w:lang w:val="ko-KR" w:eastAsia="ko-KR"/>
    </w:rPr>
  </w:style>
  <w:style w:type="character" w:customStyle="1" w:styleId="BodyText3Char">
    <w:name w:val="Body Text 3 Char"/>
    <w:basedOn w:val="DefaultParagraphFont"/>
    <w:link w:val="BodyText3"/>
    <w:uiPriority w:val="99"/>
    <w:rsid w:val="00AA1D8D"/>
    <w:rPr>
      <w:rFonts w:ascii="NanumGothic" w:hAnsi="NanumGothic" w:eastAsia="NanumGothic" w:cs="NanumGothic"/>
      <w:b w:val="0"/>
      <w:i w:val="0"/>
      <w:color w:val="000000"/>
      <w:sz w:val="22"/>
      <w:szCs w:val="16"/>
      <w:lang w:val="ko-KR" w:eastAsia="ko-KR"/>
    </w:rPr>
  </w:style>
  <w:style w:type="paragraph" w:styleId="List">
    <w:name w:val="List"/>
    <w:basedOn w:val="Normal"/>
    <w:uiPriority w:val="99"/>
    <w:unhideWhenUsed/>
    <w:rsid w:val="00AA1D8D"/>
    <w:pPr>
      <w:ind w:left="360" w:hanging="360"/>
      <w:contextualSpacing/>
    </w:pPr>
    <w:rPr>
      <w:rFonts w:ascii="NanumGothic" w:hAnsi="NanumGothic" w:eastAsia="NanumGothic" w:cs="NanumGothic"/>
      <w:b w:val="0"/>
      <w:i w:val="0"/>
      <w:color w:val="000000"/>
      <w:sz w:val="22"/>
      <w:lang w:val="ko-KR" w:eastAsia="ko-KR"/>
    </w:rPr>
  </w:style>
  <w:style w:type="paragraph" w:styleId="List2">
    <w:name w:val="List 2"/>
    <w:basedOn w:val="Normal"/>
    <w:uiPriority w:val="99"/>
    <w:unhideWhenUsed/>
    <w:rsid w:val="00326F90"/>
    <w:pPr>
      <w:ind w:left="720" w:hanging="360"/>
      <w:contextualSpacing/>
    </w:pPr>
    <w:rPr>
      <w:rFonts w:ascii="NanumGothic" w:hAnsi="NanumGothic" w:eastAsia="NanumGothic" w:cs="NanumGothic"/>
      <w:b w:val="0"/>
      <w:i w:val="0"/>
      <w:color w:val="000000"/>
      <w:sz w:val="22"/>
      <w:lang w:val="ko-KR" w:eastAsia="ko-KR"/>
    </w:rPr>
  </w:style>
  <w:style w:type="paragraph" w:styleId="List3">
    <w:name w:val="List 3"/>
    <w:basedOn w:val="Normal"/>
    <w:uiPriority w:val="99"/>
    <w:unhideWhenUsed/>
    <w:rsid w:val="00326F90"/>
    <w:pPr>
      <w:ind w:left="1080" w:hanging="360"/>
      <w:contextualSpacing/>
    </w:pPr>
    <w:rPr>
      <w:rFonts w:ascii="NanumGothic" w:hAnsi="NanumGothic" w:eastAsia="NanumGothic" w:cs="NanumGothic"/>
      <w:b w:val="0"/>
      <w:i w:val="0"/>
      <w:color w:val="000000"/>
      <w:sz w:val="22"/>
      <w:lang w:val="ko-KR" w:eastAsia="ko-KR"/>
    </w:rPr>
  </w:style>
  <w:style w:type="paragraph" w:styleId="ListBullet">
    <w:name w:val="List Bullet"/>
    <w:basedOn w:val="Normal"/>
    <w:uiPriority w:val="99"/>
    <w:unhideWhenUsed/>
    <w:rsid w:val="00326F90"/>
    <w:pPr>
      <w:numPr>
        <w:numId w:val="1"/>
      </w:numPr>
      <w:contextualSpacing/>
    </w:pPr>
    <w:rPr>
      <w:rFonts w:ascii="NanumGothic" w:hAnsi="NanumGothic" w:eastAsia="NanumGothic" w:cs="NanumGothic"/>
      <w:b w:val="0"/>
      <w:i w:val="0"/>
      <w:color w:val="000000"/>
      <w:sz w:val="22"/>
      <w:lang w:val="ko-KR" w:eastAsia="ko-KR"/>
    </w:rPr>
  </w:style>
  <w:style w:type="paragraph" w:styleId="ListBullet2">
    <w:name w:val="List Bullet 2"/>
    <w:basedOn w:val="Normal"/>
    <w:uiPriority w:val="99"/>
    <w:unhideWhenUsed/>
    <w:rsid w:val="00326F90"/>
    <w:pPr>
      <w:numPr>
        <w:numId w:val="2"/>
      </w:numPr>
      <w:contextualSpacing/>
    </w:pPr>
    <w:rPr>
      <w:rFonts w:ascii="NanumGothic" w:hAnsi="NanumGothic" w:eastAsia="NanumGothic" w:cs="NanumGothic"/>
      <w:b w:val="0"/>
      <w:i w:val="0"/>
      <w:color w:val="000000"/>
      <w:sz w:val="22"/>
      <w:lang w:val="ko-KR" w:eastAsia="ko-KR"/>
    </w:rPr>
  </w:style>
  <w:style w:type="paragraph" w:styleId="ListBullet3">
    <w:name w:val="List Bullet 3"/>
    <w:basedOn w:val="Normal"/>
    <w:uiPriority w:val="99"/>
    <w:unhideWhenUsed/>
    <w:rsid w:val="00326F90"/>
    <w:pPr>
      <w:numPr>
        <w:numId w:val="3"/>
      </w:numPr>
      <w:contextualSpacing/>
    </w:pPr>
    <w:rPr>
      <w:rFonts w:ascii="NanumGothic" w:hAnsi="NanumGothic" w:eastAsia="NanumGothic" w:cs="NanumGothic"/>
      <w:b w:val="0"/>
      <w:i w:val="0"/>
      <w:color w:val="000000"/>
      <w:sz w:val="22"/>
      <w:lang w:val="ko-KR" w:eastAsia="ko-KR"/>
    </w:rPr>
  </w:style>
  <w:style w:type="paragraph" w:styleId="ListNumber">
    <w:name w:val="List Number"/>
    <w:basedOn w:val="Normal"/>
    <w:uiPriority w:val="99"/>
    <w:unhideWhenUsed/>
    <w:rsid w:val="00326F90"/>
    <w:pPr>
      <w:numPr>
        <w:numId w:val="5"/>
      </w:numPr>
      <w:contextualSpacing/>
    </w:pPr>
    <w:rPr>
      <w:rFonts w:ascii="NanumGothic" w:hAnsi="NanumGothic" w:eastAsia="NanumGothic" w:cs="NanumGothic"/>
      <w:b w:val="0"/>
      <w:i w:val="0"/>
      <w:color w:val="000000"/>
      <w:sz w:val="22"/>
      <w:lang w:val="ko-KR" w:eastAsia="ko-KR"/>
    </w:rPr>
  </w:style>
  <w:style w:type="paragraph" w:styleId="ListNumber2">
    <w:name w:val="List Number 2"/>
    <w:basedOn w:val="Normal"/>
    <w:uiPriority w:val="99"/>
    <w:unhideWhenUsed/>
    <w:rsid w:val="0029639D"/>
    <w:pPr>
      <w:numPr>
        <w:numId w:val="6"/>
      </w:numPr>
      <w:contextualSpacing/>
    </w:pPr>
    <w:rPr>
      <w:rFonts w:ascii="NanumGothic" w:hAnsi="NanumGothic" w:eastAsia="NanumGothic" w:cs="NanumGothic"/>
      <w:b w:val="0"/>
      <w:i w:val="0"/>
      <w:color w:val="000000"/>
      <w:sz w:val="22"/>
      <w:lang w:val="ko-KR" w:eastAsia="ko-KR"/>
    </w:rPr>
  </w:style>
  <w:style w:type="paragraph" w:styleId="ListNumber3">
    <w:name w:val="List Number 3"/>
    <w:basedOn w:val="Normal"/>
    <w:uiPriority w:val="99"/>
    <w:unhideWhenUsed/>
    <w:rsid w:val="0029639D"/>
    <w:pPr>
      <w:numPr>
        <w:numId w:val="7"/>
      </w:numPr>
      <w:contextualSpacing/>
    </w:pPr>
    <w:rPr>
      <w:rFonts w:ascii="NanumGothic" w:hAnsi="NanumGothic" w:eastAsia="NanumGothic" w:cs="NanumGothic"/>
      <w:b w:val="0"/>
      <w:i w:val="0"/>
      <w:color w:val="000000"/>
      <w:sz w:val="22"/>
      <w:lang w:val="ko-KR" w:eastAsia="ko-KR"/>
    </w:rPr>
  </w:style>
  <w:style w:type="paragraph" w:styleId="ListContinue">
    <w:name w:val="List Continue"/>
    <w:basedOn w:val="Normal"/>
    <w:uiPriority w:val="99"/>
    <w:unhideWhenUsed/>
    <w:rsid w:val="0029639D"/>
    <w:pPr>
      <w:spacing w:after="120"/>
      <w:ind w:left="360"/>
      <w:contextualSpacing/>
    </w:pPr>
    <w:rPr>
      <w:rFonts w:ascii="NanumGothic" w:hAnsi="NanumGothic" w:eastAsia="NanumGothic" w:cs="NanumGothic"/>
      <w:b w:val="0"/>
      <w:i w:val="0"/>
      <w:color w:val="000000"/>
      <w:sz w:val="22"/>
      <w:lang w:val="ko-KR" w:eastAsia="ko-KR"/>
    </w:rPr>
  </w:style>
  <w:style w:type="paragraph" w:styleId="ListContinue2">
    <w:name w:val="List Continue 2"/>
    <w:basedOn w:val="Normal"/>
    <w:uiPriority w:val="99"/>
    <w:unhideWhenUsed/>
    <w:rsid w:val="0029639D"/>
    <w:pPr>
      <w:spacing w:after="120"/>
      <w:ind w:left="720"/>
      <w:contextualSpacing/>
    </w:pPr>
    <w:rPr>
      <w:rFonts w:ascii="NanumGothic" w:hAnsi="NanumGothic" w:eastAsia="NanumGothic" w:cs="NanumGothic"/>
      <w:b w:val="0"/>
      <w:i w:val="0"/>
      <w:color w:val="000000"/>
      <w:sz w:val="22"/>
      <w:lang w:val="ko-KR" w:eastAsia="ko-KR"/>
    </w:rPr>
  </w:style>
  <w:style w:type="paragraph" w:styleId="ListContinue3">
    <w:name w:val="List Continue 3"/>
    <w:basedOn w:val="Normal"/>
    <w:uiPriority w:val="99"/>
    <w:unhideWhenUsed/>
    <w:rsid w:val="0029639D"/>
    <w:pPr>
      <w:spacing w:after="120"/>
      <w:ind w:left="1080"/>
      <w:contextualSpacing/>
    </w:pPr>
    <w:rPr>
      <w:rFonts w:ascii="NanumGothic" w:hAnsi="NanumGothic" w:eastAsia="NanumGothic" w:cs="NanumGothic"/>
      <w:b w:val="0"/>
      <w:i w:val="0"/>
      <w:color w:val="000000"/>
      <w:sz w:val="22"/>
      <w:lang w:val="ko-KR" w:eastAsia="ko-K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anumGothic" w:hAnsi="NanumGothic" w:eastAsia="NanumGothic" w:cs="NanumGothic"/>
      <w:b w:val="0"/>
      <w:i w:val="0"/>
      <w:color w:val="000000"/>
      <w:sz w:val="22"/>
      <w:szCs w:val="20"/>
      <w:lang w:val="ko-KR" w:eastAsia="ko-KR"/>
    </w:rPr>
  </w:style>
  <w:style w:type="character" w:customStyle="1" w:styleId="MacroTextChar">
    <w:name w:val="Macro Text Char"/>
    <w:basedOn w:val="DefaultParagraphFont"/>
    <w:link w:val="MacroText"/>
    <w:uiPriority w:val="99"/>
    <w:rsid w:val="0029639D"/>
    <w:rPr>
      <w:rFonts w:ascii="NanumGothic" w:hAnsi="NanumGothic" w:eastAsia="NanumGothic" w:cs="NanumGothic"/>
      <w:b w:val="0"/>
      <w:i w:val="0"/>
      <w:color w:val="000000"/>
      <w:sz w:val="22"/>
      <w:szCs w:val="20"/>
      <w:lang w:val="ko-KR" w:eastAsia="ko-KR"/>
    </w:rPr>
  </w:style>
  <w:style w:type="paragraph" w:styleId="Quote">
    <w:name w:val="Quote"/>
    <w:basedOn w:val="Normal"/>
    <w:next w:val="Normal"/>
    <w:link w:val="QuoteChar"/>
    <w:uiPriority w:val="29"/>
    <w:qFormat/>
    <w:rsid w:val="00FC693F"/>
    <w:rPr>
      <w:rFonts w:ascii="NanumGothic" w:hAnsi="NanumGothic" w:eastAsia="NanumGothic" w:cs="NanumGothic"/>
      <w:b w:val="0"/>
      <w:i w:val="0"/>
      <w:iCs/>
      <w:color w:val="000000"/>
      <w:sz w:val="22"/>
      <w:lang w:val="ko-KR" w:eastAsia="ko-KR"/>
    </w:rPr>
  </w:style>
  <w:style w:type="character" w:customStyle="1" w:styleId="QuoteChar">
    <w:name w:val="Quote Char"/>
    <w:basedOn w:val="DefaultParagraphFont"/>
    <w:link w:val="Quote"/>
    <w:uiPriority w:val="29"/>
    <w:rsid w:val="00FC693F"/>
    <w:rPr>
      <w:rFonts w:ascii="NanumGothic" w:hAnsi="NanumGothic" w:eastAsia="NanumGothic" w:cs="NanumGothic"/>
      <w:b w:val="0"/>
      <w:i w:val="0"/>
      <w:iCs/>
      <w:color w:val="000000"/>
      <w:sz w:val="22"/>
      <w:lang w:val="ko-KR" w:eastAsia="ko-KR"/>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NanumGothic" w:hAnsi="NanumGothic" w:eastAsia="NanumGothic" w:cs="NanumGothic"/>
      <w:b w:val="0"/>
      <w:bCs/>
      <w:i w:val="0"/>
      <w:iCs/>
      <w:color w:val="000000"/>
      <w:sz w:val="22"/>
      <w:lang w:val="ko-KR" w:eastAsia="ko-KR"/>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NanumGothic" w:hAnsi="NanumGothic" w:eastAsia="NanumGothic" w:cs="NanumGothic"/>
      <w:b w:val="0"/>
      <w:i w:val="0"/>
      <w:color w:val="000000"/>
      <w:sz w:val="22"/>
      <w:lang w:val="ko-KR" w:eastAsia="ko-KR"/>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NanumGothic" w:hAnsi="NanumGothic" w:eastAsia="NanumGothic" w:cs="NanumGothic"/>
      <w:b w:val="0"/>
      <w:i w:val="0"/>
      <w:iCs/>
      <w:color w:val="000000"/>
      <w:sz w:val="22"/>
      <w:lang w:val="ko-KR" w:eastAsia="ko-KR"/>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NanumGothic" w:hAnsi="NanumGothic" w:eastAsia="NanumGothic" w:cs="NanumGothic"/>
      <w:b w:val="0"/>
      <w:i w:val="0"/>
      <w:iCs/>
      <w:color w:val="000000"/>
      <w:sz w:val="22"/>
      <w:lang w:val="ko-KR" w:eastAsia="ko-KR"/>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NanumGothic" w:hAnsi="NanumGothic" w:eastAsia="NanumGothic" w:cs="NanumGothic"/>
      <w:b w:val="0"/>
      <w:i w:val="0"/>
      <w:color w:val="000000"/>
      <w:sz w:val="22"/>
      <w:szCs w:val="20"/>
      <w:lang w:val="ko-KR" w:eastAsia="ko-KR"/>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NanumGothic" w:hAnsi="NanumGothic" w:eastAsia="NanumGothic" w:cs="NanumGothic"/>
      <w:b w:val="0"/>
      <w:i w:val="0"/>
      <w:iCs/>
      <w:color w:val="000000"/>
      <w:sz w:val="22"/>
      <w:szCs w:val="20"/>
      <w:lang w:val="ko-KR" w:eastAsia="ko-KR"/>
    </w:rPr>
  </w:style>
  <w:style w:type="paragraph" w:styleId="Caption">
    <w:name w:val="caption"/>
    <w:basedOn w:val="Normal"/>
    <w:next w:val="Normal"/>
    <w:uiPriority w:val="35"/>
    <w:semiHidden/>
    <w:unhideWhenUsed/>
    <w:qFormat/>
    <w:rsid w:val="00FC693F"/>
    <w:pPr>
      <w:spacing w:line="240" w:lineRule="auto"/>
    </w:pPr>
    <w:rPr>
      <w:rFonts w:ascii="NanumGothic" w:hAnsi="NanumGothic" w:eastAsia="NanumGothic" w:cs="NanumGothic"/>
      <w:b w:val="0"/>
      <w:bCs/>
      <w:i w:val="0"/>
      <w:color w:val="000000"/>
      <w:sz w:val="22"/>
      <w:szCs w:val="18"/>
      <w:lang w:val="ko-KR" w:eastAsia="ko-KR"/>
    </w:rPr>
  </w:style>
  <w:style w:type="character" w:styleId="Strong">
    <w:name w:val="Strong"/>
    <w:basedOn w:val="DefaultParagraphFont"/>
    <w:uiPriority w:val="22"/>
    <w:qFormat/>
    <w:rsid w:val="00FC693F"/>
    <w:rPr>
      <w:rFonts w:ascii="NanumGothic" w:hAnsi="NanumGothic" w:eastAsia="NanumGothic" w:cs="NanumGothic"/>
      <w:b w:val="0"/>
      <w:bCs/>
      <w:i w:val="0"/>
      <w:color w:val="000000"/>
      <w:sz w:val="22"/>
      <w:lang w:val="ko-KR" w:eastAsia="ko-KR"/>
    </w:rPr>
  </w:style>
  <w:style w:type="character" w:styleId="Emphasis">
    <w:name w:val="Emphasis"/>
    <w:basedOn w:val="DefaultParagraphFont"/>
    <w:uiPriority w:val="20"/>
    <w:qFormat/>
    <w:rsid w:val="00FC693F"/>
    <w:rPr>
      <w:rFonts w:ascii="NanumGothic" w:hAnsi="NanumGothic" w:eastAsia="NanumGothic" w:cs="NanumGothic"/>
      <w:b w:val="0"/>
      <w:i w:val="0"/>
      <w:iCs/>
      <w:color w:val="000000"/>
      <w:sz w:val="22"/>
      <w:lang w:val="ko-KR" w:eastAsia="ko-KR"/>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NanumGothic" w:hAnsi="NanumGothic" w:eastAsia="NanumGothic" w:cs="NanumGothic"/>
      <w:b w:val="0"/>
      <w:bCs/>
      <w:i w:val="0"/>
      <w:iCs/>
      <w:color w:val="000000"/>
      <w:sz w:val="22"/>
      <w:lang w:val="ko-KR" w:eastAsia="ko-KR"/>
    </w:rPr>
  </w:style>
  <w:style w:type="character" w:customStyle="1" w:styleId="IntenseQuoteChar">
    <w:name w:val="Intense Quote Char"/>
    <w:basedOn w:val="DefaultParagraphFont"/>
    <w:link w:val="IntenseQuote"/>
    <w:uiPriority w:val="30"/>
    <w:rsid w:val="00FC693F"/>
    <w:rPr>
      <w:rFonts w:ascii="NanumGothic" w:hAnsi="NanumGothic" w:eastAsia="NanumGothic" w:cs="NanumGothic"/>
      <w:b w:val="0"/>
      <w:bCs/>
      <w:i w:val="0"/>
      <w:iCs/>
      <w:color w:val="000000"/>
      <w:sz w:val="22"/>
      <w:lang w:val="ko-KR" w:eastAsia="ko-KR"/>
    </w:rPr>
  </w:style>
  <w:style w:type="character" w:styleId="SubtleEmphasis">
    <w:name w:val="Subtle Emphasis"/>
    <w:basedOn w:val="DefaultParagraphFont"/>
    <w:uiPriority w:val="19"/>
    <w:qFormat/>
    <w:rsid w:val="00FC693F"/>
    <w:rPr>
      <w:rFonts w:ascii="NanumGothic" w:hAnsi="NanumGothic" w:eastAsia="NanumGothic" w:cs="NanumGothic"/>
      <w:b w:val="0"/>
      <w:i w:val="0"/>
      <w:iCs/>
      <w:color w:val="000000"/>
      <w:sz w:val="22"/>
      <w:lang w:val="ko-KR" w:eastAsia="ko-KR"/>
    </w:rPr>
  </w:style>
  <w:style w:type="character" w:styleId="IntenseEmphasis">
    <w:name w:val="Intense Emphasis"/>
    <w:basedOn w:val="DefaultParagraphFont"/>
    <w:uiPriority w:val="21"/>
    <w:qFormat/>
    <w:rsid w:val="00FC693F"/>
    <w:rPr>
      <w:rFonts w:ascii="NanumGothic" w:hAnsi="NanumGothic" w:eastAsia="NanumGothic" w:cs="NanumGothic"/>
      <w:b w:val="0"/>
      <w:bCs/>
      <w:i w:val="0"/>
      <w:iCs/>
      <w:color w:val="000000"/>
      <w:sz w:val="22"/>
      <w:lang w:val="ko-KR" w:eastAsia="ko-KR"/>
    </w:rPr>
  </w:style>
  <w:style w:type="character" w:styleId="SubtleReference">
    <w:name w:val="Subtle Reference"/>
    <w:basedOn w:val="DefaultParagraphFont"/>
    <w:uiPriority w:val="31"/>
    <w:qFormat/>
    <w:rsid w:val="00FC693F"/>
    <w:rPr>
      <w:rFonts w:ascii="NanumGothic" w:hAnsi="NanumGothic" w:eastAsia="NanumGothic" w:cs="NanumGothic"/>
      <w:b w:val="0"/>
      <w:i w:val="0"/>
      <w:smallCaps/>
      <w:color w:val="000000"/>
      <w:sz w:val="22"/>
      <w:u w:val="single"/>
      <w:lang w:val="ko-KR" w:eastAsia="ko-KR"/>
    </w:rPr>
  </w:style>
  <w:style w:type="character" w:styleId="IntenseReference">
    <w:name w:val="Intense Reference"/>
    <w:basedOn w:val="DefaultParagraphFont"/>
    <w:uiPriority w:val="32"/>
    <w:qFormat/>
    <w:rsid w:val="00FC693F"/>
    <w:rPr>
      <w:rFonts w:ascii="NanumGothic" w:hAnsi="NanumGothic" w:eastAsia="NanumGothic" w:cs="NanumGothic"/>
      <w:b w:val="0"/>
      <w:bCs/>
      <w:i w:val="0"/>
      <w:smallCaps/>
      <w:color w:val="000000"/>
      <w:spacing w:val="5"/>
      <w:sz w:val="22"/>
      <w:u w:val="single"/>
      <w:lang w:val="ko-KR" w:eastAsia="ko-KR"/>
    </w:rPr>
  </w:style>
  <w:style w:type="character" w:styleId="BookTitle">
    <w:name w:val="Book Title"/>
    <w:basedOn w:val="DefaultParagraphFont"/>
    <w:uiPriority w:val="33"/>
    <w:qFormat/>
    <w:rsid w:val="00FC693F"/>
    <w:rPr>
      <w:rFonts w:ascii="NanumGothic" w:hAnsi="NanumGothic" w:eastAsia="NanumGothic" w:cs="NanumGothic"/>
      <w:b w:val="0"/>
      <w:bCs/>
      <w:i w:val="0"/>
      <w:smallCaps/>
      <w:color w:val="000000"/>
      <w:spacing w:val="5"/>
      <w:sz w:val="22"/>
      <w:lang w:val="ko-KR" w:eastAsia="ko-KR"/>
    </w:rPr>
  </w:style>
  <w:style w:type="paragraph" w:styleId="TOCHeading">
    <w:name w:val="TOC Heading"/>
    <w:basedOn w:val="Heading1"/>
    <w:next w:val="Normal"/>
    <w:uiPriority w:val="39"/>
    <w:semiHidden/>
    <w:unhideWhenUsed/>
    <w:qFormat/>
    <w:rsid w:val="00FC693F"/>
    <w:pPr>
      <w:outlineLvl w:val="9"/>
    </w:pPr>
    <w:rPr>
      <w:rFonts w:ascii="NanumGothic" w:hAnsi="NanumGothic" w:eastAsia="NanumGothic" w:cs="NanumGothic"/>
      <w:b w:val="0"/>
      <w:i w:val="0"/>
      <w:color w:val="000000"/>
      <w:sz w:val="22"/>
      <w:lang w:val="ko-KR" w:eastAsia="ko-KR"/>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pic">
    <w:name w:val="Topic"/>
    <w:basedOn w:val="Normal"/>
    <w:pPr>
      <w:keepNext/>
      <w:spacing w:before="0" w:after="120" w:line="288" w:lineRule="auto"/>
      <w:jc w:val="center"/>
    </w:pPr>
    <w:rPr>
      <w:rFonts w:ascii="NanumGothic" w:hAnsi="NanumGothic"/>
      <w:b/>
      <w:i w:val="0"/>
      <w:color w:val="000000"/>
      <w:sz w:val="26"/>
    </w:rPr>
  </w:style>
  <w:style w:type="paragraph" w:customStyle="1" w:styleId="Focus">
    <w:name w:val="Focus"/>
    <w:basedOn w:val="Normal"/>
    <w:pPr>
      <w:keepNext/>
      <w:spacing w:before="0" w:after="220" w:line="288" w:lineRule="auto"/>
      <w:jc w:val="center"/>
    </w:pPr>
    <w:rPr>
      <w:rFonts w:ascii="NanumGothic" w:hAnsi="NanumGothic"/>
      <w:b w:val="0"/>
      <w:i w:val="0"/>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eoulwomen.or.kr/sfwf/contents/sfwf-policyResearch.do" TargetMode="External"/><Relationship Id="rId10" Type="http://schemas.openxmlformats.org/officeDocument/2006/relationships/hyperlink" Target="https://www.seoulwomen.or.kr/sfwf/contents/sfwf-policyResearch.do?id=31030&amp;schM=view" TargetMode="External"/><Relationship Id="rId11" Type="http://schemas.openxmlformats.org/officeDocument/2006/relationships/hyperlink" Target="https://www.seoulwomen.or.kr/sfwf/contents/sfwf-policyResearch.do?id=30896&amp;schM=view" TargetMode="External"/><Relationship Id="rId12" Type="http://schemas.openxmlformats.org/officeDocument/2006/relationships/hyperlink" Target="https://kossda.snu.ac.kr/handle/20.500.12236/31166" TargetMode="External"/><Relationship Id="rId13" Type="http://schemas.openxmlformats.org/officeDocument/2006/relationships/hyperlink" Target="https://mdis.mods.go.kr/bbs/boardDetail.do?boardId=BBSMSTR_000000000003&amp;curMenuNo=UI_POR_P9026&amp;postId=BI_00000000000119653" TargetMode="External"/><Relationship Id="rId14" Type="http://schemas.openxmlformats.org/officeDocument/2006/relationships/hyperlink" Target="https://mdis.mods.go.kr/ofrData/selectOrgOfrData.do" TargetMode="External"/><Relationship Id="rId15" Type="http://schemas.openxmlformats.org/officeDocument/2006/relationships/hyperlink" Target="https://www.mogef.go.kr/io/ind/io_ind_s005d.do?bbtSn=83&amp;mid=old919" TargetMode="External"/><Relationship Id="rId16" Type="http://schemas.openxmlformats.org/officeDocument/2006/relationships/hyperlink" Target="https://www.mogef.go.kr/nw/enw/nw_enw_s001d.do?bbtSn=713770&amp;mid=mda700" TargetMode="External"/><Relationship Id="rId17" Type="http://schemas.openxmlformats.org/officeDocument/2006/relationships/hyperlink" Target="https://www.bigkinds.or.kr/v2/intro/service.do" TargetMode="External"/><Relationship Id="rId18" Type="http://schemas.openxmlformats.org/officeDocument/2006/relationships/hyperlink" Target="https://www.gov.uk/government/publications/controlling-or-coercive-behaviour-statutory-guidance-framework/controlling-or-coercive-behaviour-statutory-guidance-framework-accessible" TargetMode="External"/><Relationship Id="rId19" Type="http://schemas.openxmlformats.org/officeDocument/2006/relationships/hyperlink" Target="https://www.cps.gov.uk/prosecution-guidance/controlling-or-coercive-behaviour-intimate-or-family-relationship" TargetMode="External"/><Relationship Id="rId20" Type="http://schemas.openxmlformats.org/officeDocument/2006/relationships/hyperlink" Target="https://www.judcom.nsw.gov.au/publications/benchbks/criminal/abusive_behaviour_towards_intimate_partners.html" TargetMode="External"/><Relationship Id="rId21" Type="http://schemas.openxmlformats.org/officeDocument/2006/relationships/hyperlink" Target="https://content.legislation.vic.gov.au/sites/default/files/2026-10/08-52aa070-authorised.pdf" TargetMode="External"/><Relationship Id="rId22" Type="http://schemas.openxmlformats.org/officeDocument/2006/relationships/hyperlink" Target="https://www.vic.gov.au/maram-practice-guides-and-resources/responsibility-2" TargetMode="External"/><Relationship Id="rId23" Type="http://schemas.openxmlformats.org/officeDocument/2006/relationships/hyperlink" Target="https://www.vic.gov.au/maram-practice-guides-and-resources/responsibility-4" TargetMode="External"/><Relationship Id="rId24" Type="http://schemas.openxmlformats.org/officeDocument/2006/relationships/hyperlink" Target="https://www.parliament.vic.gov.au/news/society/coercive-control/" TargetMode="External"/><Relationship Id="rId25" Type="http://schemas.openxmlformats.org/officeDocument/2006/relationships/hyperlink" Target="https://www.law.go.kr/lsLinkCommonInfo.do?chrClsCd=010202&amp;lsJoLnkSeq=1028650203" TargetMode="External"/><Relationship Id="rId26" Type="http://schemas.openxmlformats.org/officeDocument/2006/relationships/hyperlink" Target="https://www.korea.kr/news/policyNewsView.do?newsId=148968067" TargetMode="External"/><Relationship Id="rId27" Type="http://schemas.openxmlformats.org/officeDocument/2006/relationships/hyperlink" Target="https://law.go.kr/LSW/lsRvsDocListP.do?chrClsCd=010202&amp;lsId=014070&amp;lsRvsGubun=all" TargetMode="External"/><Relationship Id="rId2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직무수행계획서 3년 연구계획</dc:title>
  <dc:subject>연구 3급 여성 가족정책연구 직무수행계획</dc:subject>
  <dc:creator>권준성</dc:creator>
  <cp:keywords>서울시여성가족재단, 직무수행계획서</cp:keywords>
  <dc:description/>
  <cp:lastModifiedBy/>
  <cp:revision>1</cp:revision>
  <dcterms:created xsi:type="dcterms:W3CDTF">2013-12-23T23:15:00Z</dcterms:created>
  <dcterms:modified xsi:type="dcterms:W3CDTF">2013-12-23T23:15:00Z</dcterms:modified>
  <cp:category/>
</cp:coreProperties>
</file>