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6-01  더 무겁게 다룰 사건의 기준</w:t>
      </w:r>
    </w:p>
    <w:p>
      <w:pPr>
        <w:pStyle w:val="Heading2"/>
      </w:pPr>
      <w:r>
        <w:t>PPT 구성안</w:t>
      </w:r>
    </w:p>
    <w:p>
      <w:r>
        <w:rPr>
          <w:b/>
        </w:rPr>
        <w:t xml:space="preserve">상단 문장  </w:t>
      </w:r>
      <w:r>
        <w:rPr>
          <w:b/>
        </w:rPr>
        <w:t>발생 장소와 교육활동으로 적용할 사건을 구분하고, 구체적인 위험과 피해를 함께 살펴 제재의 정도를 판단할 수 있다.</w:t>
      </w:r>
    </w:p>
    <w:tbl>
      <w:tblPr>
        <w:tblW w:type="auto" w:w="0"/>
        <w:jc w:val="center"/>
        <w:tblLayout w:type="fixed"/>
        <w:tblLook w:firstColumn="1" w:firstRow="1" w:lastColumn="0" w:lastRow="0" w:noHBand="0" w:noVBand="1" w:val="04A0"/>
        <w:tblBorders>
          <w:top w:val="single" w:sz="4" w:color="D4DCE5"/>
          <w:bottom w:val="single" w:sz="4" w:color="D4DCE5"/>
          <w:left w:val="single" w:sz="4" w:color="D4DCE5"/>
          <w:right w:val="single" w:sz="4" w:color="D4DCE5"/>
          <w:insideH w:val="single" w:sz="4" w:color="D4DCE5"/>
          <w:insideV w:val="single" w:sz="4" w:color="D4DCE5"/>
        </w:tblBorders>
      </w:tblPr>
      <w:tblGrid>
        <w:gridCol w:w="1529"/>
        <w:gridCol w:w="3059"/>
        <w:gridCol w:w="5390"/>
      </w:tblGrid>
      <w:tr>
        <w:trPr>
          <w:cantSplit/>
          <w:tblHeader/>
        </w:trPr>
        <w:tc>
          <w:tcPr>
            <w:tcW w:type="dxa" w:w="1529"/>
            <w:vAlign w:val="center"/>
            <w:shd w:fill="25365A"/>
            <w:tcMar>
              <w:top w:w="90" w:type="dxa"/>
              <w:bottom w:w="90" w:type="dxa"/>
              <w:left w:w="105" w:type="dxa"/>
              <w:right w:w="105" w:type="dxa"/>
            </w:tcMar>
          </w:tcPr>
          <w:p>
            <w:pPr>
              <w:spacing w:after="0" w:line="257" w:lineRule="auto"/>
            </w:pPr>
            <w:r>
              <w:rPr>
                <w:b/>
                <w:color w:val="FFFFFF"/>
                <w:sz w:val="19"/>
              </w:rPr>
              <w:t>기준</w:t>
            </w:r>
          </w:p>
        </w:tc>
        <w:tc>
          <w:tcPr>
            <w:tcW w:type="dxa" w:w="3059"/>
            <w:vAlign w:val="center"/>
            <w:shd w:fill="25365A"/>
            <w:tcMar>
              <w:top w:w="90" w:type="dxa"/>
              <w:bottom w:w="90" w:type="dxa"/>
              <w:left w:w="105" w:type="dxa"/>
              <w:right w:w="105" w:type="dxa"/>
            </w:tcMar>
          </w:tcPr>
          <w:p>
            <w:pPr>
              <w:spacing w:after="0" w:line="257" w:lineRule="auto"/>
            </w:pPr>
            <w:r>
              <w:rPr>
                <w:b/>
                <w:color w:val="FFFFFF"/>
                <w:sz w:val="19"/>
              </w:rPr>
              <w:t>살펴볼 내용</w:t>
            </w:r>
          </w:p>
        </w:tc>
        <w:tc>
          <w:tcPr>
            <w:tcW w:type="dxa" w:w="5390"/>
            <w:vAlign w:val="center"/>
            <w:shd w:fill="25365A"/>
            <w:tcMar>
              <w:top w:w="90" w:type="dxa"/>
              <w:bottom w:w="90" w:type="dxa"/>
              <w:left w:w="105" w:type="dxa"/>
              <w:right w:w="105" w:type="dxa"/>
            </w:tcMar>
          </w:tcPr>
          <w:p>
            <w:pPr>
              <w:spacing w:after="0" w:line="257" w:lineRule="auto"/>
            </w:pPr>
            <w:r>
              <w:rPr>
                <w:b/>
                <w:color w:val="FFFFFF"/>
                <w:sz w:val="19"/>
              </w:rPr>
              <w:t>기준을 적용하면 달라지는 점</w:t>
            </w:r>
          </w:p>
        </w:tc>
      </w:tr>
      <w:tr>
        <w:trPr>
          <w:cantSplit/>
        </w:trPr>
        <w:tc>
          <w:tcPr>
            <w:tcW w:type="dxa" w:w="1529"/>
            <w:vAlign w:val="center"/>
            <w:shd w:fill="FFFFFF"/>
            <w:tcMar>
              <w:top w:w="90" w:type="dxa"/>
              <w:bottom w:w="90" w:type="dxa"/>
              <w:left w:w="105" w:type="dxa"/>
              <w:right w:w="105" w:type="dxa"/>
            </w:tcMar>
          </w:tcPr>
          <w:p>
            <w:pPr>
              <w:spacing w:after="0" w:line="257" w:lineRule="auto"/>
            </w:pPr>
            <w:r>
              <w:rPr>
                <w:sz w:val="19"/>
              </w:rPr>
              <w:t>발생 장소</w:t>
            </w:r>
          </w:p>
        </w:tc>
        <w:tc>
          <w:tcPr>
            <w:tcW w:type="dxa" w:w="3059"/>
            <w:vAlign w:val="center"/>
            <w:shd w:fill="FFFFFF"/>
            <w:tcMar>
              <w:top w:w="90" w:type="dxa"/>
              <w:bottom w:w="90" w:type="dxa"/>
              <w:left w:w="105" w:type="dxa"/>
              <w:right w:w="105" w:type="dxa"/>
            </w:tcMar>
          </w:tcPr>
          <w:p>
            <w:pPr>
              <w:spacing w:after="0" w:line="257" w:lineRule="auto"/>
            </w:pPr>
            <w:r>
              <w:rPr>
                <w:sz w:val="19"/>
              </w:rPr>
              <w:t>학교시설 안에서 발생했는가</w:t>
            </w:r>
          </w:p>
        </w:tc>
        <w:tc>
          <w:tcPr>
            <w:tcW w:type="dxa" w:w="5390"/>
            <w:vAlign w:val="center"/>
            <w:shd w:fill="FFFFFF"/>
            <w:tcMar>
              <w:top w:w="90" w:type="dxa"/>
              <w:bottom w:w="90" w:type="dxa"/>
              <w:left w:w="105" w:type="dxa"/>
              <w:right w:w="105" w:type="dxa"/>
            </w:tcMar>
          </w:tcPr>
          <w:p>
            <w:pPr>
              <w:spacing w:after="0" w:line="257" w:lineRule="auto"/>
            </w:pPr>
            <w:r>
              <w:rPr>
                <w:sz w:val="19"/>
              </w:rPr>
              <w:t>교내 사건을 가중 대상으로 삼는다. 학교 밖 교육활동 중의 사건은 이 장소 기준에 포함되지 않는다.</w:t>
            </w:r>
          </w:p>
        </w:tc>
      </w:tr>
      <w:tr>
        <w:trPr>
          <w:cantSplit/>
        </w:trPr>
        <w:tc>
          <w:tcPr>
            <w:tcW w:type="dxa" w:w="1529"/>
            <w:vAlign w:val="center"/>
            <w:shd w:fill="F3F5F8"/>
            <w:tcMar>
              <w:top w:w="90" w:type="dxa"/>
              <w:bottom w:w="90" w:type="dxa"/>
              <w:left w:w="105" w:type="dxa"/>
              <w:right w:w="105" w:type="dxa"/>
            </w:tcMar>
          </w:tcPr>
          <w:p>
            <w:pPr>
              <w:spacing w:after="0" w:line="257" w:lineRule="auto"/>
            </w:pPr>
            <w:r>
              <w:rPr>
                <w:sz w:val="19"/>
              </w:rPr>
              <w:t>교육활동</w:t>
            </w:r>
          </w:p>
        </w:tc>
        <w:tc>
          <w:tcPr>
            <w:tcW w:type="dxa" w:w="3059"/>
            <w:vAlign w:val="center"/>
            <w:shd w:fill="F3F5F8"/>
            <w:tcMar>
              <w:top w:w="90" w:type="dxa"/>
              <w:bottom w:w="90" w:type="dxa"/>
              <w:left w:w="105" w:type="dxa"/>
              <w:right w:w="105" w:type="dxa"/>
            </w:tcMar>
          </w:tcPr>
          <w:p>
            <w:pPr>
              <w:spacing w:after="0" w:line="257" w:lineRule="auto"/>
            </w:pPr>
            <w:r>
              <w:rPr>
                <w:sz w:val="19"/>
              </w:rPr>
              <w:t>수업이나 학교가 운영하는 체험학습 중에 발생했는가</w:t>
            </w:r>
          </w:p>
        </w:tc>
        <w:tc>
          <w:tcPr>
            <w:tcW w:type="dxa" w:w="5390"/>
            <w:vAlign w:val="center"/>
            <w:shd w:fill="F3F5F8"/>
            <w:tcMar>
              <w:top w:w="90" w:type="dxa"/>
              <w:bottom w:w="90" w:type="dxa"/>
              <w:left w:w="105" w:type="dxa"/>
              <w:right w:w="105" w:type="dxa"/>
            </w:tcMar>
          </w:tcPr>
          <w:p>
            <w:pPr>
              <w:spacing w:after="0" w:line="257" w:lineRule="auto"/>
            </w:pPr>
            <w:r>
              <w:rPr>
                <w:sz w:val="19"/>
              </w:rPr>
              <w:t>교외 교육활동 중의 사건도 포함한다. 교내에서 발생했더라도 교육활동과 무관한 사건은 구별한다.</w:t>
            </w:r>
          </w:p>
        </w:tc>
      </w:tr>
      <w:tr>
        <w:trPr>
          <w:cantSplit/>
        </w:trPr>
        <w:tc>
          <w:tcPr>
            <w:tcW w:type="dxa" w:w="1529"/>
            <w:vAlign w:val="center"/>
            <w:shd w:fill="FFFFFF"/>
            <w:tcMar>
              <w:top w:w="90" w:type="dxa"/>
              <w:bottom w:w="90" w:type="dxa"/>
              <w:left w:w="105" w:type="dxa"/>
              <w:right w:w="105" w:type="dxa"/>
            </w:tcMar>
          </w:tcPr>
          <w:p>
            <w:pPr>
              <w:spacing w:after="0" w:line="257" w:lineRule="auto"/>
            </w:pPr>
            <w:r>
              <w:rPr>
                <w:sz w:val="19"/>
              </w:rPr>
              <w:t>위험과 피해</w:t>
            </w:r>
          </w:p>
        </w:tc>
        <w:tc>
          <w:tcPr>
            <w:tcW w:type="dxa" w:w="3059"/>
            <w:vAlign w:val="center"/>
            <w:shd w:fill="FFFFFF"/>
            <w:tcMar>
              <w:top w:w="90" w:type="dxa"/>
              <w:bottom w:w="90" w:type="dxa"/>
              <w:left w:w="105" w:type="dxa"/>
              <w:right w:w="105" w:type="dxa"/>
            </w:tcMar>
          </w:tcPr>
          <w:p>
            <w:pPr>
              <w:spacing w:after="0" w:line="257" w:lineRule="auto"/>
            </w:pPr>
            <w:r>
              <w:rPr>
                <w:sz w:val="19"/>
              </w:rPr>
              <w:t>반복적으로 마주칠 위험, 수업 방해, 등교·학습의 어려움</w:t>
            </w:r>
          </w:p>
        </w:tc>
        <w:tc>
          <w:tcPr>
            <w:tcW w:type="dxa" w:w="5390"/>
            <w:vAlign w:val="center"/>
            <w:shd w:fill="FFFFFF"/>
            <w:tcMar>
              <w:top w:w="90" w:type="dxa"/>
              <w:bottom w:w="90" w:type="dxa"/>
              <w:left w:w="105" w:type="dxa"/>
              <w:right w:w="105" w:type="dxa"/>
            </w:tcMar>
          </w:tcPr>
          <w:p>
            <w:pPr>
              <w:spacing w:after="0" w:line="257" w:lineRule="auto"/>
            </w:pPr>
            <w:r>
              <w:rPr>
                <w:sz w:val="19"/>
              </w:rPr>
              <w:t>학교 안팎의 사건에서 실제 위험과 피해를 비교하여 제재의 정도를 판단한다.</w:t>
            </w:r>
          </w:p>
        </w:tc>
      </w:tr>
    </w:tbl>
    <w:p>
      <w:r>
        <w:rPr>
          <w:b w:val="0"/>
          <w:sz w:val="19"/>
        </w:rPr>
        <w:t>오늘 논제는 ‘교내 발생’을 더 무거운 처벌의 이유로 삼을 수 있는지 묻는다. 교육활동과 위험·피해는 함께 비교할 기준이다.</w:t>
      </w:r>
    </w:p>
    <w:p>
      <w:pPr>
        <w:pStyle w:val="Heading2"/>
      </w:pPr>
      <w:r>
        <w:t>낭독 대본</w:t>
      </w:r>
    </w:p>
    <w:p>
      <w:r>
        <w:rPr>
          <w:b w:val="0"/>
        </w:rPr>
        <w:t>5장에서는 제재와 교육이 폭력을 줄이는 데 어떤 역할을 하는지 살펴봤습니다. 이번 6장에서는 어떤 사건을 더 무겁게 다룰지, 그때 학생에게 어떤 제한과 부담을 줄 수 있는지 살펴보겠습니다.</w:t>
      </w:r>
    </w:p>
    <w:p>
      <w:r>
        <w:rPr>
          <w:b w:val="0"/>
        </w:rPr>
        <w:t>오늘 논제는 학교시설 안에서 발생했다는 점을 학교 밖의 유사한 폭력보다 더 무겁게 처벌할 이유로 삼을 것인지 묻습니다. 이 장소 기준을 적용하면 교내 사건이 가중 대상이 됩니다. 학교 밖에서 이루어진 체험학습 중의 사건은 이 기준에 들어가지 않습니다.</w:t>
      </w:r>
    </w:p>
    <w:p>
      <w:r>
        <w:rPr>
          <w:b w:val="0"/>
        </w:rPr>
        <w:t>학교 교육활동을 기준으로 삼으면 포함되는 사건이 달라집니다. 학교가 운영하는 교외 체험학습 중의 사건도 포함할 수 있습니다. 반면 교내에서 발생했더라도 교육활동과 무관한 사건은 구별하게 됩니다.</w:t>
      </w:r>
    </w:p>
    <w:p>
      <w:r>
        <w:rPr>
          <w:b w:val="0"/>
        </w:rPr>
        <w:t>이렇게 적용할 사건을 구분하는 것과 함께, 구체적인 위험과 피해를 살펴 제재의 정도를 판단할 수도 있습니다. 피해학생이 가해학생을 반복해서 마주칠 위험이 있는지, 수업이나 등교에 어떤 어려움이 생겼는지 등을 보는 것입니다. 학교 밖 사건에도 비슷한 위험과 피해가 있는지 비교해야 합니다.</w:t>
      </w:r>
    </w:p>
    <w:p>
      <w:r>
        <w:rPr>
          <w:b w:val="0"/>
        </w:rPr>
        <w:t>따라서 장소, 교육활동, 위험과 피해는 함께 검토할 수 있습니다. 국내에서도 장소와 교육활동을 기준으로 학교폭력법을 적용할 사건의 범위를 다시 정하자는 제안이 있었습니다.</w:t>
      </w:r>
    </w:p>
    <w:p>
      <w:r>
        <w:br w:type="page"/>
      </w:r>
    </w:p>
    <w:p>
      <w:pPr>
        <w:pStyle w:val="Heading1"/>
      </w:pPr>
      <w:r>
        <w:t>6-02  학교폭력법을 적용할 사건의 범위</w:t>
      </w:r>
    </w:p>
    <w:p>
      <w:pPr>
        <w:pStyle w:val="Heading2"/>
      </w:pPr>
      <w:r>
        <w:t>PPT 구성안</w:t>
      </w:r>
    </w:p>
    <w:p>
      <w:r>
        <w:rPr>
          <w:b/>
        </w:rPr>
        <w:t xml:space="preserve">상단 문장  </w:t>
      </w:r>
      <w:r>
        <w:rPr>
          <w:b/>
        </w:rPr>
        <w:t>김의성 변호사는 법의 적용 대상을 ‘학교 안에서 발생한 사건’ 또는 ‘교육활동 중 발생한 사건’으로 한정하는 방안을 제안했다.</w:t>
      </w:r>
    </w:p>
    <w:p>
      <w:r>
        <w:rPr>
          <w:b/>
        </w:rPr>
        <w:t xml:space="preserve">본문 맥락  </w:t>
      </w:r>
      <w:r>
        <w:rPr>
          <w:b w:val="0"/>
          <w:sz w:val="19"/>
        </w:rPr>
        <w:t>2020.7.10. 국회 「학교 폭력 살인 근절법 마련을 위한 정책 토론회」</w:t>
        <w:br/>
        <w:t>김의성 · 당시 대전광역시교육청 변호사</w:t>
      </w:r>
    </w:p>
    <w:tbl>
      <w:tblPr>
        <w:tblW w:type="auto" w:w="0"/>
        <w:jc w:val="center"/>
        <w:tblLayout w:type="fixed"/>
        <w:tblLook w:firstColumn="1" w:firstRow="1" w:lastColumn="0" w:lastRow="0" w:noHBand="0" w:noVBand="1" w:val="04A0"/>
        <w:tblBorders>
          <w:top w:val="single" w:sz="4" w:color="D4DCE5"/>
          <w:bottom w:val="single" w:sz="4" w:color="D4DCE5"/>
          <w:left w:val="single" w:sz="4" w:color="D4DCE5"/>
          <w:right w:val="single" w:sz="4" w:color="D4DCE5"/>
          <w:insideH w:val="single" w:sz="4" w:color="D4DCE5"/>
          <w:insideV w:val="single" w:sz="4" w:color="D4DCE5"/>
        </w:tblBorders>
      </w:tblPr>
      <w:tblGrid>
        <w:gridCol w:w="1821"/>
        <w:gridCol w:w="8157"/>
      </w:tblGrid>
      <w:tr>
        <w:trPr>
          <w:cantSplit/>
          <w:tblHeader/>
        </w:trPr>
        <w:tc>
          <w:tcPr>
            <w:tcW w:type="dxa" w:w="1821"/>
            <w:vAlign w:val="center"/>
            <w:shd w:fill="25365A"/>
            <w:tcMar>
              <w:top w:w="90" w:type="dxa"/>
              <w:bottom w:w="90" w:type="dxa"/>
              <w:left w:w="105" w:type="dxa"/>
              <w:right w:w="105" w:type="dxa"/>
            </w:tcMar>
          </w:tcPr>
          <w:p>
            <w:pPr>
              <w:spacing w:after="0" w:line="257" w:lineRule="auto"/>
            </w:pPr>
            <w:r>
              <w:rPr>
                <w:b/>
                <w:color w:val="FFFFFF"/>
                <w:sz w:val="19"/>
              </w:rPr>
              <w:t>구분</w:t>
            </w:r>
          </w:p>
        </w:tc>
        <w:tc>
          <w:tcPr>
            <w:tcW w:type="dxa" w:w="8157"/>
            <w:vAlign w:val="center"/>
            <w:shd w:fill="25365A"/>
            <w:tcMar>
              <w:top w:w="90" w:type="dxa"/>
              <w:bottom w:w="90" w:type="dxa"/>
              <w:left w:w="105" w:type="dxa"/>
              <w:right w:w="105" w:type="dxa"/>
            </w:tcMar>
          </w:tcPr>
          <w:p>
            <w:pPr>
              <w:spacing w:after="0" w:line="257" w:lineRule="auto"/>
            </w:pPr>
            <w:r>
              <w:rPr>
                <w:b/>
                <w:color w:val="FFFFFF"/>
                <w:sz w:val="19"/>
              </w:rPr>
              <w:t>발표자의 문제 제기와 제안</w:t>
            </w:r>
          </w:p>
        </w:tc>
      </w:tr>
      <w:tr>
        <w:trPr>
          <w:cantSplit/>
        </w:trPr>
        <w:tc>
          <w:tcPr>
            <w:tcW w:type="dxa" w:w="1821"/>
            <w:vAlign w:val="center"/>
            <w:shd w:fill="FFFFFF"/>
            <w:tcMar>
              <w:top w:w="90" w:type="dxa"/>
              <w:bottom w:w="90" w:type="dxa"/>
              <w:left w:w="105" w:type="dxa"/>
              <w:right w:w="105" w:type="dxa"/>
            </w:tcMar>
          </w:tcPr>
          <w:p>
            <w:pPr>
              <w:spacing w:after="0" w:line="257" w:lineRule="auto"/>
            </w:pPr>
            <w:r>
              <w:rPr>
                <w:b/>
                <w:sz w:val="19"/>
              </w:rPr>
              <w:t>제안의 배경</w:t>
            </w:r>
          </w:p>
        </w:tc>
        <w:tc>
          <w:tcPr>
            <w:tcW w:type="dxa" w:w="8157"/>
            <w:vAlign w:val="center"/>
            <w:shd w:fill="FFFFFF"/>
            <w:tcMar>
              <w:top w:w="90" w:type="dxa"/>
              <w:bottom w:w="90" w:type="dxa"/>
              <w:left w:w="105" w:type="dxa"/>
              <w:right w:w="105" w:type="dxa"/>
            </w:tcMar>
          </w:tcPr>
          <w:p>
            <w:pPr>
              <w:spacing w:after="0" w:line="257" w:lineRule="auto"/>
            </w:pPr>
            <w:r>
              <w:rPr>
                <w:sz w:val="19"/>
              </w:rPr>
              <w:t>학교 밖 사건까지 ‘학교폭력’으로 부르면 학교만 책임져야 한다고 오해할 수 있다. 학교가 교외 사건의 사실관계를 조사하기도 어렵다.</w:t>
            </w:r>
          </w:p>
        </w:tc>
      </w:tr>
      <w:tr>
        <w:trPr>
          <w:cantSplit/>
        </w:trPr>
        <w:tc>
          <w:tcPr>
            <w:tcW w:type="dxa" w:w="1821"/>
            <w:vAlign w:val="center"/>
            <w:shd w:fill="F3F5F8"/>
            <w:tcMar>
              <w:top w:w="90" w:type="dxa"/>
              <w:bottom w:w="90" w:type="dxa"/>
              <w:left w:w="105" w:type="dxa"/>
              <w:right w:w="105" w:type="dxa"/>
            </w:tcMar>
          </w:tcPr>
          <w:p>
            <w:pPr>
              <w:spacing w:after="0" w:line="257" w:lineRule="auto"/>
            </w:pPr>
            <w:r>
              <w:rPr>
                <w:b/>
                <w:sz w:val="19"/>
              </w:rPr>
              <w:t>장소를 기준으로</w:t>
            </w:r>
          </w:p>
        </w:tc>
        <w:tc>
          <w:tcPr>
            <w:tcW w:type="dxa" w:w="8157"/>
            <w:vAlign w:val="center"/>
            <w:shd w:fill="F3F5F8"/>
            <w:tcMar>
              <w:top w:w="90" w:type="dxa"/>
              <w:bottom w:w="90" w:type="dxa"/>
              <w:left w:w="105" w:type="dxa"/>
              <w:right w:w="105" w:type="dxa"/>
            </w:tcMar>
          </w:tcPr>
          <w:p>
            <w:pPr>
              <w:spacing w:after="0" w:line="257" w:lineRule="auto"/>
            </w:pPr>
            <w:r>
              <w:rPr>
                <w:sz w:val="19"/>
              </w:rPr>
              <w:t>학교폭력법의 적용 대상을 학교 안에서 발생한 사건으로 한정하는 방안을 검토한다.</w:t>
            </w:r>
          </w:p>
        </w:tc>
      </w:tr>
      <w:tr>
        <w:trPr>
          <w:cantSplit/>
        </w:trPr>
        <w:tc>
          <w:tcPr>
            <w:tcW w:type="dxa" w:w="1821"/>
            <w:vAlign w:val="center"/>
            <w:shd w:fill="FFFFFF"/>
            <w:tcMar>
              <w:top w:w="90" w:type="dxa"/>
              <w:bottom w:w="90" w:type="dxa"/>
              <w:left w:w="105" w:type="dxa"/>
              <w:right w:w="105" w:type="dxa"/>
            </w:tcMar>
          </w:tcPr>
          <w:p>
            <w:pPr>
              <w:spacing w:after="0" w:line="257" w:lineRule="auto"/>
            </w:pPr>
            <w:r>
              <w:rPr>
                <w:b/>
                <w:sz w:val="19"/>
              </w:rPr>
              <w:t>교육활동을 기준으로</w:t>
            </w:r>
          </w:p>
        </w:tc>
        <w:tc>
          <w:tcPr>
            <w:tcW w:type="dxa" w:w="8157"/>
            <w:vAlign w:val="center"/>
            <w:shd w:fill="FFFFFF"/>
            <w:tcMar>
              <w:top w:w="90" w:type="dxa"/>
              <w:bottom w:w="90" w:type="dxa"/>
              <w:left w:w="105" w:type="dxa"/>
              <w:right w:w="105" w:type="dxa"/>
            </w:tcMar>
          </w:tcPr>
          <w:p>
            <w:pPr>
              <w:spacing w:after="0" w:line="257" w:lineRule="auto"/>
            </w:pPr>
            <w:r>
              <w:rPr>
                <w:sz w:val="19"/>
              </w:rPr>
              <w:t>발생 장소 대신 학교 교육활동 중 발생한 사건인지를 기준으로 삼는 방안을 검토한다.</w:t>
            </w:r>
          </w:p>
        </w:tc>
      </w:tr>
      <w:tr>
        <w:trPr>
          <w:cantSplit/>
        </w:trPr>
        <w:tc>
          <w:tcPr>
            <w:tcW w:type="dxa" w:w="1821"/>
            <w:vAlign w:val="center"/>
            <w:shd w:fill="F3F5F8"/>
            <w:tcMar>
              <w:top w:w="90" w:type="dxa"/>
              <w:bottom w:w="90" w:type="dxa"/>
              <w:left w:w="105" w:type="dxa"/>
              <w:right w:w="105" w:type="dxa"/>
            </w:tcMar>
          </w:tcPr>
          <w:p>
            <w:pPr>
              <w:spacing w:after="0" w:line="257" w:lineRule="auto"/>
            </w:pPr>
            <w:r>
              <w:rPr>
                <w:b/>
                <w:sz w:val="19"/>
              </w:rPr>
              <w:t>함께 해결할 문제</w:t>
            </w:r>
          </w:p>
        </w:tc>
        <w:tc>
          <w:tcPr>
            <w:tcW w:type="dxa" w:w="8157"/>
            <w:vAlign w:val="center"/>
            <w:shd w:fill="F3F5F8"/>
            <w:tcMar>
              <w:top w:w="90" w:type="dxa"/>
              <w:bottom w:w="90" w:type="dxa"/>
              <w:left w:w="105" w:type="dxa"/>
              <w:right w:w="105" w:type="dxa"/>
            </w:tcMar>
          </w:tcPr>
          <w:p>
            <w:pPr>
              <w:spacing w:after="0" w:line="257" w:lineRule="auto"/>
            </w:pPr>
            <w:r>
              <w:rPr>
                <w:sz w:val="19"/>
              </w:rPr>
              <w:t>적용 대상에서 빠지는 심각한 폭력·사이버폭력에 대한 대응책이 필요하다. 사건을 다르게 처리하면서 징계의 형평성을 어떻게 확보할지도 검토해야 한다.</w:t>
            </w:r>
          </w:p>
        </w:tc>
      </w:tr>
    </w:tbl>
    <w:p>
      <w:r>
        <w:rPr>
          <w:b w:val="0"/>
          <w:sz w:val="19"/>
        </w:rPr>
        <w:t>법을 적용할 사건을 한정하려면, 적용 대상에서 빠지는 사건의 처리와 학생 보호 방안도 함께 마련해야 한다.</w:t>
      </w:r>
    </w:p>
    <w:p>
      <w:pPr>
        <w:pStyle w:val="Heading2"/>
      </w:pPr>
      <w:r>
        <w:t>낭독 대본</w:t>
      </w:r>
    </w:p>
    <w:p>
      <w:r>
        <w:rPr>
          <w:b w:val="0"/>
        </w:rPr>
        <w:t>2020년 국회 정책토론회에서 당시 대전교육청 변호사였던 김의성이 이 문제를 제기했습니다. 학교폭력예방법을 적용할 사건을 장소나 교육활동을 기준으로 한정하는 방안을 검토하자는 제안이었습니다.</w:t>
      </w:r>
    </w:p>
    <w:p>
      <w:r>
        <w:rPr>
          <w:b w:val="0"/>
        </w:rPr>
        <w:t>발표자는 학교 밖에서 발생한 사건까지 모두 학교폭력이라고 부르면, 학교가 그 문제를 전부 책임져야 한다고 받아들일 수 있다고 지적했습니다. 학교가 교외 사건의 사실관계를 조사하기 어렵다는 문제도 제기했습니다. 가정과 사회도 함께 책임져야 한다는 취지였습니다.</w:t>
      </w:r>
    </w:p>
    <w:p>
      <w:r>
        <w:rPr>
          <w:b w:val="0"/>
        </w:rPr>
        <w:t>이를 바탕으로 두 가지 방안을 검토하자고 제안했습니다. 하나는 학교폭력법을 적용할 사건을 학교 안에서 발생한 사건으로 한정하는 것입니다. 다른 하나는 발생 장소 대신 학교 교육활동 중에 일어난 사건인지를 기준으로 삼는 것입니다. 교육활동을 기준으로 하면 학교가 운영하는 교외 체험학습 중의 사건도 포함할 수 있습니다.</w:t>
      </w:r>
    </w:p>
    <w:p>
      <w:r>
        <w:rPr>
          <w:b w:val="0"/>
        </w:rPr>
        <w:t>이렇게 적용 대상을 한정하면, 그 기준에 포함되지 않는 사건을 어떻게 처리할 것인지가 남습니다. 발표자도 학교 밖에서 발생했다는 이유로 학생을 보호하고 가해행동을 바로잡을 필요가 줄어드는 것은 아니라고 보았습니다. 특히 심각한 교외 폭력과 사이버폭력에 대한 대응책을 함께 마련해야 한다고 강조했습니다. 사건이 발생한 장소나 활동에 따라 징계를 다르게 하는 것이 공정한지도 살펴야 한다는 것입니다.</w:t>
      </w:r>
    </w:p>
    <w:p>
      <w:r>
        <w:rPr>
          <w:b w:val="0"/>
        </w:rPr>
        <w:t>이 제안은 어떤 사건을 학교폭력법으로 처리할 것인지에 관한 논의였습니다. 다음에는 발생 장소를 형벌의 차이로 연결한 사례를 보겠습니다. 미국 위스콘신주에서는 학교와 그 주변에서 발생한 일정한 폭력범죄에 대해 법이 정한 형의 상한을 높였습니다.</w:t>
      </w:r>
    </w:p>
    <w:p>
      <w:r>
        <w:br w:type="page"/>
      </w:r>
    </w:p>
    <w:p>
      <w:pPr>
        <w:pStyle w:val="Heading1"/>
      </w:pPr>
      <w:r>
        <w:t>6-03  학교 주변 폭력범죄의 형 가중</w:t>
      </w:r>
    </w:p>
    <w:p>
      <w:pPr>
        <w:pStyle w:val="Heading2"/>
      </w:pPr>
      <w:r>
        <w:t>PPT 구성안</w:t>
      </w:r>
    </w:p>
    <w:p>
      <w:r>
        <w:rPr>
          <w:b/>
        </w:rPr>
        <w:t xml:space="preserve">상단 문장  </w:t>
      </w:r>
      <w:r>
        <w:rPr>
          <w:b/>
        </w:rPr>
        <w:t>당시 위스콘신주법은 학교와 그 주변의 일정 폭력범죄에 대해 자유형의 상한, 즉 선고할 수 있는 최대 기간을 늘렸다.</w:t>
      </w:r>
    </w:p>
    <w:p>
      <w:r>
        <w:rPr>
          <w:b/>
        </w:rPr>
        <w:t xml:space="preserve">본문 맥락  </w:t>
      </w:r>
      <w:r>
        <w:rPr>
          <w:b w:val="0"/>
          <w:sz w:val="19"/>
        </w:rPr>
        <w:t>미국 위스콘신주 대법원 · State v. Quintana, 2008 WI 33</w:t>
        <w:br/>
        <w:t>2008.5.1. 판결에서 다룬 2003~2004년판 위스콘신주법 §939.632</w:t>
      </w:r>
    </w:p>
    <w:tbl>
      <w:tblPr>
        <w:tblW w:type="auto" w:w="0"/>
        <w:jc w:val="center"/>
        <w:tblLayout w:type="fixed"/>
        <w:tblLook w:firstColumn="1" w:firstRow="1" w:lastColumn="0" w:lastRow="0" w:noHBand="0" w:noVBand="1" w:val="04A0"/>
        <w:tblBorders>
          <w:top w:val="single" w:sz="4" w:color="D4DCE5"/>
          <w:bottom w:val="single" w:sz="4" w:color="D4DCE5"/>
          <w:left w:val="single" w:sz="4" w:color="D4DCE5"/>
          <w:right w:val="single" w:sz="4" w:color="D4DCE5"/>
          <w:insideH w:val="single" w:sz="4" w:color="D4DCE5"/>
          <w:insideV w:val="single" w:sz="4" w:color="D4DCE5"/>
        </w:tblBorders>
      </w:tblPr>
      <w:tblGrid>
        <w:gridCol w:w="1821"/>
        <w:gridCol w:w="8157"/>
      </w:tblGrid>
      <w:tr>
        <w:trPr>
          <w:cantSplit/>
          <w:tblHeader/>
        </w:trPr>
        <w:tc>
          <w:tcPr>
            <w:tcW w:type="dxa" w:w="1821"/>
            <w:vAlign w:val="center"/>
            <w:shd w:fill="25365A"/>
            <w:tcMar>
              <w:top w:w="90" w:type="dxa"/>
              <w:bottom w:w="90" w:type="dxa"/>
              <w:left w:w="105" w:type="dxa"/>
              <w:right w:w="105" w:type="dxa"/>
            </w:tcMar>
          </w:tcPr>
          <w:p>
            <w:pPr>
              <w:spacing w:after="0" w:line="257" w:lineRule="auto"/>
            </w:pPr>
            <w:r>
              <w:rPr>
                <w:b/>
                <w:color w:val="FFFFFF"/>
                <w:sz w:val="19"/>
              </w:rPr>
              <w:t>당시 규정</w:t>
            </w:r>
          </w:p>
        </w:tc>
        <w:tc>
          <w:tcPr>
            <w:tcW w:type="dxa" w:w="8157"/>
            <w:vAlign w:val="center"/>
            <w:shd w:fill="25365A"/>
            <w:tcMar>
              <w:top w:w="90" w:type="dxa"/>
              <w:bottom w:w="90" w:type="dxa"/>
              <w:left w:w="105" w:type="dxa"/>
              <w:right w:w="105" w:type="dxa"/>
            </w:tcMar>
          </w:tcPr>
          <w:p>
            <w:pPr>
              <w:spacing w:after="0" w:line="257" w:lineRule="auto"/>
            </w:pPr>
            <w:r>
              <w:rPr>
                <w:b/>
                <w:color w:val="FFFFFF"/>
                <w:sz w:val="19"/>
              </w:rPr>
              <w:t>적용 내용</w:t>
            </w:r>
          </w:p>
        </w:tc>
      </w:tr>
      <w:tr>
        <w:trPr>
          <w:cantSplit/>
        </w:trPr>
        <w:tc>
          <w:tcPr>
            <w:tcW w:type="dxa" w:w="1821"/>
            <w:vAlign w:val="center"/>
            <w:shd w:fill="FFFFFF"/>
            <w:tcMar>
              <w:top w:w="90" w:type="dxa"/>
              <w:bottom w:w="90" w:type="dxa"/>
              <w:left w:w="105" w:type="dxa"/>
              <w:right w:w="105" w:type="dxa"/>
            </w:tcMar>
          </w:tcPr>
          <w:p>
            <w:pPr>
              <w:spacing w:after="0" w:line="257" w:lineRule="auto"/>
            </w:pPr>
            <w:r>
              <w:rPr>
                <w:b/>
                <w:sz w:val="19"/>
              </w:rPr>
              <w:t>대상 범죄</w:t>
            </w:r>
          </w:p>
        </w:tc>
        <w:tc>
          <w:tcPr>
            <w:tcW w:type="dxa" w:w="8157"/>
            <w:vAlign w:val="center"/>
            <w:shd w:fill="FFFFFF"/>
            <w:tcMar>
              <w:top w:w="90" w:type="dxa"/>
              <w:bottom w:w="90" w:type="dxa"/>
              <w:left w:w="105" w:type="dxa"/>
              <w:right w:w="105" w:type="dxa"/>
            </w:tcMar>
          </w:tcPr>
          <w:p>
            <w:pPr>
              <w:spacing w:after="0" w:line="257" w:lineRule="auto"/>
            </w:pPr>
            <w:r>
              <w:rPr>
                <w:sz w:val="19"/>
              </w:rPr>
              <w:t>살인·상해·성폭력 등 법에 열거된 범죄. 성인이 저지른 범죄에도 적용했다.</w:t>
            </w:r>
          </w:p>
        </w:tc>
      </w:tr>
      <w:tr>
        <w:trPr>
          <w:cantSplit/>
        </w:trPr>
        <w:tc>
          <w:tcPr>
            <w:tcW w:type="dxa" w:w="1821"/>
            <w:vAlign w:val="center"/>
            <w:shd w:fill="F3F5F8"/>
            <w:tcMar>
              <w:top w:w="90" w:type="dxa"/>
              <w:bottom w:w="90" w:type="dxa"/>
              <w:left w:w="105" w:type="dxa"/>
              <w:right w:w="105" w:type="dxa"/>
            </w:tcMar>
          </w:tcPr>
          <w:p>
            <w:pPr>
              <w:spacing w:after="0" w:line="257" w:lineRule="auto"/>
            </w:pPr>
            <w:r>
              <w:rPr>
                <w:b/>
                <w:sz w:val="19"/>
              </w:rPr>
              <w:t>적용 장소</w:t>
            </w:r>
          </w:p>
        </w:tc>
        <w:tc>
          <w:tcPr>
            <w:tcW w:type="dxa" w:w="8157"/>
            <w:vAlign w:val="center"/>
            <w:shd w:fill="F3F5F8"/>
            <w:tcMar>
              <w:top w:w="90" w:type="dxa"/>
              <w:bottom w:w="90" w:type="dxa"/>
              <w:left w:w="105" w:type="dxa"/>
              <w:right w:w="105" w:type="dxa"/>
            </w:tcMar>
          </w:tcPr>
          <w:p>
            <w:pPr>
              <w:spacing w:after="0" w:line="257" w:lineRule="auto"/>
            </w:pPr>
            <w:r>
              <w:rPr>
                <w:sz w:val="19"/>
              </w:rPr>
              <w:t>학교 구내와 그 경계에서 1,000피트(약 305m) 이내. 통학버스, 학생을 통학시키는 대중교통, 학생이 기다리거나 내리는 통학버스 정류장도 포함했다.</w:t>
            </w:r>
          </w:p>
        </w:tc>
      </w:tr>
      <w:tr>
        <w:trPr>
          <w:cantSplit/>
        </w:trPr>
        <w:tc>
          <w:tcPr>
            <w:tcW w:type="dxa" w:w="1821"/>
            <w:vAlign w:val="center"/>
            <w:shd w:fill="FFFFFF"/>
            <w:tcMar>
              <w:top w:w="90" w:type="dxa"/>
              <w:bottom w:w="90" w:type="dxa"/>
              <w:left w:w="105" w:type="dxa"/>
              <w:right w:w="105" w:type="dxa"/>
            </w:tcMar>
          </w:tcPr>
          <w:p>
            <w:pPr>
              <w:spacing w:after="0" w:line="257" w:lineRule="auto"/>
            </w:pPr>
            <w:r>
              <w:rPr>
                <w:b/>
                <w:sz w:val="19"/>
              </w:rPr>
              <w:t>가중 방식</w:t>
            </w:r>
          </w:p>
        </w:tc>
        <w:tc>
          <w:tcPr>
            <w:tcW w:type="dxa" w:w="8157"/>
            <w:vAlign w:val="center"/>
            <w:shd w:fill="FFFFFF"/>
            <w:tcMar>
              <w:top w:w="90" w:type="dxa"/>
              <w:bottom w:w="90" w:type="dxa"/>
              <w:left w:w="105" w:type="dxa"/>
              <w:right w:w="105" w:type="dxa"/>
            </w:tcMar>
          </w:tcPr>
          <w:p>
            <w:pPr>
              <w:spacing w:after="0" w:line="257" w:lineRule="auto"/>
            </w:pPr>
            <w:r>
              <w:rPr>
                <w:sz w:val="19"/>
              </w:rPr>
              <w:t>중죄는 자유형의 상한에 5년, 경죄는 3개월을 더했다. 실제로 선고할 형은 개별 사건의 재판에서 정한다.</w:t>
            </w:r>
          </w:p>
        </w:tc>
      </w:tr>
    </w:tbl>
    <w:p>
      <w:r>
        <w:rPr>
          <w:b w:val="0"/>
          <w:sz w:val="19"/>
        </w:rPr>
        <w:t>실제 사건: 성인이 2004년 새벽 학교 근처 주택에서 전 배우자를 망치로 때린 혐의로 기소됐다. 피고인은 학교 주변이라는 이유로 더 무거운 형을 적용하는 것이 불합리하다고 다퉜다.</w:t>
      </w:r>
    </w:p>
    <w:p>
      <w:pPr>
        <w:pStyle w:val="Heading2"/>
      </w:pPr>
      <w:r>
        <w:t>낭독 대본</w:t>
      </w:r>
    </w:p>
    <w:p>
      <w:r>
        <w:rPr>
          <w:b w:val="0"/>
        </w:rPr>
        <w:t>발생 장소에 따라 형을 더 무겁게 정한 사례로 미국 위스콘신주의 제도를 보겠습니다. 2008년 판결에서 다룬 당시 법은, 법에 열거된 폭력범죄가 학교구역에서 발생하면 자유형의 상한을 높이도록 했습니다. 자유형은 징역처럼 신체의 자유를 제한하는 형이고, 상한은 법원이 선고할 수 있는 최대 기간을 말합니다.</w:t>
      </w:r>
    </w:p>
    <w:p>
      <w:r>
        <w:rPr>
          <w:b w:val="0"/>
        </w:rPr>
        <w:t>가중 방식은 범죄의 법적 분류에 따라 달랐습니다. 중죄는 그 최대 기간에 5년을, 경죄는 3개월을 더했습니다. 실제로 몇 년이나 몇 개월을 선고할지는 개별 사건의 재판에서 정합니다.</w:t>
      </w:r>
    </w:p>
    <w:p>
      <w:r>
        <w:rPr>
          <w:b w:val="0"/>
        </w:rPr>
        <w:t>학교구역에는 학교 구내와 그 경계에서 약 305미터 이내의 주변 지역이 들어갔습니다. 학생의 통학에 쓰이는 버스와 대중교통, 학생이 통학버스를 기다리거나 내리는 정류장도 포함했습니다. 성인이 저지른 범죄에도 이 규정을 적용했습니다.</w:t>
      </w:r>
    </w:p>
    <w:p>
      <w:r>
        <w:rPr>
          <w:b w:val="0"/>
        </w:rPr>
        <w:t>실제 사건의 피고인은 성인 남성이었습니다. 2004년 새벽 4시경 학교 근처 주택에서 잠자던 전 배우자의 머리를 망치로 때린 혐의로 기소되었습니다. 피고인은 학교 근처에서 일어났다는 이유로 더 무거운 형을 적용하는 것이 합리적인지 문제 삼았습니다.</w:t>
      </w:r>
    </w:p>
    <w:p>
      <w:r>
        <w:rPr>
          <w:b w:val="0"/>
        </w:rPr>
        <w:t>사건은 수업시간이 아닌 새벽에, 학교 밖 주택에서 발생했습니다. 주 대법원은 이런 사건에도 학교 주변이라는 이유로 형을 가중할 수 있다고 보았을까요?</w:t>
      </w:r>
    </w:p>
    <w:p>
      <w:r>
        <w:br w:type="page"/>
      </w:r>
    </w:p>
    <w:p>
      <w:pPr>
        <w:pStyle w:val="Heading1"/>
      </w:pPr>
      <w:r>
        <w:t>6-04  학교 주변의 형 가중을 인정한 이유</w:t>
      </w:r>
    </w:p>
    <w:p>
      <w:pPr>
        <w:pStyle w:val="Heading2"/>
      </w:pPr>
      <w:r>
        <w:t>PPT 구성안</w:t>
      </w:r>
    </w:p>
    <w:p>
      <w:r>
        <w:rPr>
          <w:b/>
        </w:rPr>
        <w:t xml:space="preserve">상단 문장  </w:t>
      </w:r>
      <w:r>
        <w:rPr>
          <w:b/>
        </w:rPr>
        <w:t>위스콘신주 대법원은 학교 주변의 형 가중과 안전한 교육환경 보호 사이에 합리적 관련성이 있다고 판단했다.</w:t>
      </w:r>
    </w:p>
    <w:p>
      <w:r>
        <w:rPr>
          <w:b/>
        </w:rPr>
        <w:t xml:space="preserve">본문 맥락  </w:t>
      </w:r>
      <w:r>
        <w:rPr>
          <w:b w:val="0"/>
          <w:sz w:val="19"/>
        </w:rPr>
        <w:t>State v. Quintana, 2008 WI 33 · 성인의 학교 주변 폭력범죄에 대한 당시 가중 규정</w:t>
      </w:r>
    </w:p>
    <w:tbl>
      <w:tblPr>
        <w:tblW w:type="auto" w:w="0"/>
        <w:jc w:val="center"/>
        <w:tblLayout w:type="fixed"/>
        <w:tblLook w:firstColumn="1" w:firstRow="1" w:lastColumn="0" w:lastRow="0" w:noHBand="0" w:noVBand="1" w:val="04A0"/>
        <w:tblBorders>
          <w:top w:val="single" w:sz="4" w:color="D4DCE5"/>
          <w:bottom w:val="single" w:sz="4" w:color="D4DCE5"/>
          <w:left w:val="single" w:sz="4" w:color="D4DCE5"/>
          <w:right w:val="single" w:sz="4" w:color="D4DCE5"/>
          <w:insideH w:val="single" w:sz="4" w:color="D4DCE5"/>
          <w:insideV w:val="single" w:sz="4" w:color="D4DCE5"/>
        </w:tblBorders>
      </w:tblPr>
      <w:tblGrid>
        <w:gridCol w:w="3860"/>
        <w:gridCol w:w="6118"/>
      </w:tblGrid>
      <w:tr>
        <w:trPr>
          <w:cantSplit/>
          <w:tblHeader/>
        </w:trPr>
        <w:tc>
          <w:tcPr>
            <w:tcW w:type="dxa" w:w="3860"/>
            <w:vAlign w:val="center"/>
            <w:shd w:fill="25365A"/>
            <w:tcMar>
              <w:top w:w="90" w:type="dxa"/>
              <w:bottom w:w="90" w:type="dxa"/>
              <w:left w:w="105" w:type="dxa"/>
              <w:right w:w="105" w:type="dxa"/>
            </w:tcMar>
          </w:tcPr>
          <w:p>
            <w:pPr>
              <w:spacing w:after="0" w:line="257" w:lineRule="auto"/>
            </w:pPr>
            <w:r>
              <w:rPr>
                <w:b/>
                <w:color w:val="FFFFFF"/>
                <w:sz w:val="19"/>
              </w:rPr>
              <w:t>피고인이 문제 삼은 점</w:t>
            </w:r>
          </w:p>
        </w:tc>
        <w:tc>
          <w:tcPr>
            <w:tcW w:type="dxa" w:w="6118"/>
            <w:vAlign w:val="center"/>
            <w:shd w:fill="25365A"/>
            <w:tcMar>
              <w:top w:w="90" w:type="dxa"/>
              <w:bottom w:w="90" w:type="dxa"/>
              <w:left w:w="105" w:type="dxa"/>
              <w:right w:w="105" w:type="dxa"/>
            </w:tcMar>
          </w:tcPr>
          <w:p>
            <w:pPr>
              <w:spacing w:after="0" w:line="257" w:lineRule="auto"/>
            </w:pPr>
            <w:r>
              <w:rPr>
                <w:b/>
                <w:color w:val="FFFFFF"/>
                <w:sz w:val="19"/>
              </w:rPr>
              <w:t>주 대법원의 판단 이유</w:t>
            </w:r>
          </w:p>
        </w:tc>
      </w:tr>
      <w:tr>
        <w:trPr>
          <w:cantSplit/>
        </w:trPr>
        <w:tc>
          <w:tcPr>
            <w:tcW w:type="dxa" w:w="3860"/>
            <w:vAlign w:val="center"/>
            <w:shd w:fill="FFFFFF"/>
            <w:tcMar>
              <w:top w:w="90" w:type="dxa"/>
              <w:bottom w:w="90" w:type="dxa"/>
              <w:left w:w="105" w:type="dxa"/>
              <w:right w:w="105" w:type="dxa"/>
            </w:tcMar>
          </w:tcPr>
          <w:p>
            <w:pPr>
              <w:spacing w:after="0" w:line="257" w:lineRule="auto"/>
            </w:pPr>
            <w:r>
              <w:rPr>
                <w:b/>
                <w:sz w:val="19"/>
              </w:rPr>
              <w:t>학교 근처라는 이유로 다른 장소의 폭력보다 더 무겁게 처벌할 수 있는가?</w:t>
            </w:r>
          </w:p>
        </w:tc>
        <w:tc>
          <w:tcPr>
            <w:tcW w:type="dxa" w:w="6118"/>
            <w:vAlign w:val="center"/>
            <w:shd w:fill="FFFFFF"/>
            <w:tcMar>
              <w:top w:w="90" w:type="dxa"/>
              <w:bottom w:w="90" w:type="dxa"/>
              <w:left w:w="105" w:type="dxa"/>
              <w:right w:w="105" w:type="dxa"/>
            </w:tcMar>
          </w:tcPr>
          <w:p>
            <w:pPr>
              <w:spacing w:after="0" w:line="257" w:lineRule="auto"/>
            </w:pPr>
            <w:r>
              <w:rPr>
                <w:sz w:val="19"/>
              </w:rPr>
              <w:t>학교 안과 통학 환경을 안전하게 보호하려면 주변 지역도 안전해야 한다. 주변의 폭력은 학생의 학습환경에도 영향을 줄 수 있다고 보았다.</w:t>
            </w:r>
          </w:p>
        </w:tc>
      </w:tr>
      <w:tr>
        <w:trPr>
          <w:cantSplit/>
        </w:trPr>
        <w:tc>
          <w:tcPr>
            <w:tcW w:type="dxa" w:w="3860"/>
            <w:vAlign w:val="center"/>
            <w:shd w:fill="F3F5F8"/>
            <w:tcMar>
              <w:top w:w="90" w:type="dxa"/>
              <w:bottom w:w="90" w:type="dxa"/>
              <w:left w:w="105" w:type="dxa"/>
              <w:right w:w="105" w:type="dxa"/>
            </w:tcMar>
          </w:tcPr>
          <w:p>
            <w:pPr>
              <w:spacing w:after="0" w:line="257" w:lineRule="auto"/>
            </w:pPr>
            <w:r>
              <w:rPr>
                <w:b/>
                <w:sz w:val="19"/>
              </w:rPr>
              <w:t>수업시간이 아니거나 아동이 현장에 없어도 가중할 수 있는가?</w:t>
            </w:r>
          </w:p>
        </w:tc>
        <w:tc>
          <w:tcPr>
            <w:tcW w:type="dxa" w:w="6118"/>
            <w:vAlign w:val="center"/>
            <w:shd w:fill="F3F5F8"/>
            <w:tcMar>
              <w:top w:w="90" w:type="dxa"/>
              <w:bottom w:w="90" w:type="dxa"/>
              <w:left w:w="105" w:type="dxa"/>
              <w:right w:w="105" w:type="dxa"/>
            </w:tcMar>
          </w:tcPr>
          <w:p>
            <w:pPr>
              <w:spacing w:after="0" w:line="257" w:lineRule="auto"/>
            </w:pPr>
            <w:r>
              <w:rPr>
                <w:sz w:val="19"/>
              </w:rPr>
              <w:t>수업이 끝난 뒤에도 학교 주변을 안전하게 보호할 필요가 있다. 시간이나 아동의 현장 유무에 따라 가중 여부를 달리하지 않은 것은 합리적이라고 보았다.</w:t>
            </w:r>
          </w:p>
        </w:tc>
      </w:tr>
    </w:tbl>
    <w:p>
      <w:r>
        <w:rPr>
          <w:b w:val="0"/>
          <w:sz w:val="19"/>
        </w:rPr>
        <w:t>판결 결과: 피고인에 대한 가중 규정 적용을 위헌으로 볼 수 없다고 판단했다.</w:t>
      </w:r>
    </w:p>
    <w:p>
      <w:pPr>
        <w:pStyle w:val="Heading2"/>
      </w:pPr>
      <w:r>
        <w:t>낭독 대본</w:t>
      </w:r>
    </w:p>
    <w:p>
      <w:r>
        <w:rPr>
          <w:b w:val="0"/>
        </w:rPr>
        <w:t>주 대법원은 이 사건에도 학교 주변의 형 가중 규정을 적용할 수 있다고 보았습니다. 학교구역을 안전하게 보호하려는 목적과, 그곳의 폭력을 더 무겁게 처벌하는 방법 사이에 합리적인 관련성이 있다는 판단이었습니다.</w:t>
      </w:r>
    </w:p>
    <w:p>
      <w:r>
        <w:rPr>
          <w:b w:val="0"/>
        </w:rPr>
        <w:t>첫 번째 이유는 학교 안의 안전이 주변 지역의 안전과 연결된다는 것이었습니다. 학생이 모이고 통학하는 학교 주변에 폭력이 많다면 안전한 교육환경을 지키기 어렵습니다. 주변 주택 안에서 발생한 폭력도 그 영향이 집 안에만 머문다고 볼 수 없다는 설명이었습니다.</w:t>
      </w:r>
    </w:p>
    <w:p>
      <w:r>
        <w:rPr>
          <w:b w:val="0"/>
        </w:rPr>
        <w:t>두 번째는 적용하는 시간과 상황의 문제였습니다. 피고인은 수업시간도 아니고 아동이 현장에 있다는 조건도 없는데 형을 가중하는 것이 타당한지 문제 삼았습니다. 법원은 수업이 끝난 뒤에도 학교 주변을 안전하게 보호할 필요가 있다고 보았습니다. 시간이나 현장에 아동이 있는지에 따라 적용을 달리하지 않은 것은 합리적이라고 판단했습니다.</w:t>
      </w:r>
    </w:p>
    <w:p>
      <w:r>
        <w:rPr>
          <w:b w:val="0"/>
        </w:rPr>
        <w:t>이에 따라 피고인에게 가중 규정을 적용한 것을 위헌으로 볼 수 없다고 판단했습니다. 이 판결은 성인의 범죄까지 포함하고 학교 주변 지역을 보호한 제도에서, 장소에 따른 차등을 어떤 이유로 인정했는지 보여줍니다.</w:t>
      </w:r>
    </w:p>
    <w:p>
      <w:r>
        <w:rPr>
          <w:b w:val="0"/>
        </w:rPr>
        <w:t>우리 논제에서도 학교 안이라는 장소가 어떤 보호 목적과 연결되는지 따져야 합니다. 이어서 살펴볼 것은 제재의 구체적인 내용입니다. 교육이나 보호를 위해 필요하다고 해도 학생에게 어떤 행동까지 명령할 수 있을까요? 국내의 서면사과 조치에서 이 문제가 다뤄졌습니다.</w:t>
      </w:r>
    </w:p>
    <w:p>
      <w:r>
        <w:br w:type="page"/>
      </w:r>
    </w:p>
    <w:p>
      <w:pPr>
        <w:pStyle w:val="Heading1"/>
      </w:pPr>
      <w:r>
        <w:t>6-05  서면사과 명령과 양심의 자유</w:t>
      </w:r>
    </w:p>
    <w:p>
      <w:pPr>
        <w:pStyle w:val="Heading2"/>
      </w:pPr>
      <w:r>
        <w:t>PPT 구성안</w:t>
      </w:r>
    </w:p>
    <w:p>
      <w:r>
        <w:rPr>
          <w:b/>
        </w:rPr>
        <w:t xml:space="preserve">상단 문장  </w:t>
      </w:r>
      <w:r>
        <w:rPr>
          <w:b/>
        </w:rPr>
        <w:t>헌재는 서면사과 조항을 6 대 3으로 합헌 결정했다. 쟁점은 교육을 위해 학생의 의사에 반하는 사과를 명령할 수 있는지였다.</w:t>
      </w:r>
    </w:p>
    <w:p>
      <w:r>
        <w:rPr>
          <w:b/>
        </w:rPr>
        <w:t xml:space="preserve">본문 맥락  </w:t>
      </w:r>
      <w:r>
        <w:rPr>
          <w:b w:val="0"/>
          <w:sz w:val="19"/>
        </w:rPr>
        <w:t>헌재 2023.2.23. 2019헌바93·254(병합)</w:t>
        <w:br/>
        <w:t>구 학교폭력예방법 제17조제1항제1호: “피해학생에 대한 서면사과”</w:t>
        <w:br/>
        <w:t>학교장의 서면사과 조치를 받은 학생들이 취소소송 중 근거 조항의 위헌 여부를 다퉜다.</w:t>
        <w:br/>
        <w:t>쟁점: 의사에 반한 사과 명령이 양심의 자유와 인격권을 과도하게 제한하는가?</w:t>
      </w:r>
    </w:p>
    <w:tbl>
      <w:tblPr>
        <w:tblW w:type="auto" w:w="0"/>
        <w:jc w:val="center"/>
        <w:tblLayout w:type="fixed"/>
        <w:tblLook w:firstColumn="1" w:firstRow="1" w:lastColumn="0" w:lastRow="0" w:noHBand="0" w:noVBand="1" w:val="04A0"/>
        <w:tblBorders>
          <w:top w:val="single" w:sz="4" w:color="D4DCE5"/>
          <w:bottom w:val="single" w:sz="4" w:color="D4DCE5"/>
          <w:left w:val="single" w:sz="4" w:color="D4DCE5"/>
          <w:right w:val="single" w:sz="4" w:color="D4DCE5"/>
          <w:insideH w:val="single" w:sz="4" w:color="D4DCE5"/>
          <w:insideV w:val="single" w:sz="4" w:color="D4DCE5"/>
        </w:tblBorders>
      </w:tblPr>
      <w:tblGrid>
        <w:gridCol w:w="4989"/>
        <w:gridCol w:w="4989"/>
      </w:tblGrid>
      <w:tr>
        <w:trPr>
          <w:cantSplit/>
          <w:tblHeader/>
        </w:trPr>
        <w:tc>
          <w:tcPr>
            <w:tcW w:type="dxa" w:w="4989"/>
            <w:vAlign w:val="center"/>
            <w:shd w:fill="25365A"/>
            <w:tcMar>
              <w:top w:w="90" w:type="dxa"/>
              <w:bottom w:w="90" w:type="dxa"/>
              <w:left w:w="105" w:type="dxa"/>
              <w:right w:w="105" w:type="dxa"/>
            </w:tcMar>
          </w:tcPr>
          <w:p>
            <w:pPr>
              <w:spacing w:after="0" w:line="257" w:lineRule="auto"/>
            </w:pPr>
            <w:r>
              <w:rPr>
                <w:b/>
                <w:color w:val="FFFFFF"/>
                <w:sz w:val="19"/>
              </w:rPr>
              <w:t>다수의견 6명</w:t>
            </w:r>
          </w:p>
        </w:tc>
        <w:tc>
          <w:tcPr>
            <w:tcW w:type="dxa" w:w="4989"/>
            <w:vAlign w:val="center"/>
            <w:shd w:fill="25365A"/>
            <w:tcMar>
              <w:top w:w="90" w:type="dxa"/>
              <w:bottom w:w="90" w:type="dxa"/>
              <w:left w:w="105" w:type="dxa"/>
              <w:right w:w="105" w:type="dxa"/>
            </w:tcMar>
          </w:tcPr>
          <w:p>
            <w:pPr>
              <w:spacing w:after="0" w:line="257" w:lineRule="auto"/>
            </w:pPr>
            <w:r>
              <w:rPr>
                <w:b/>
                <w:color w:val="FFFFFF"/>
                <w:sz w:val="19"/>
              </w:rPr>
              <w:t>반대의견 3명</w:t>
            </w:r>
          </w:p>
        </w:tc>
      </w:tr>
      <w:tr>
        <w:trPr>
          <w:cantSplit/>
        </w:trPr>
        <w:tc>
          <w:tcPr>
            <w:tcW w:type="dxa" w:w="4989"/>
            <w:vAlign w:val="center"/>
            <w:shd w:fill="FFFFFF"/>
            <w:tcMar>
              <w:top w:w="90" w:type="dxa"/>
              <w:bottom w:w="90" w:type="dxa"/>
              <w:left w:w="105" w:type="dxa"/>
              <w:right w:w="105" w:type="dxa"/>
            </w:tcMar>
          </w:tcPr>
          <w:p>
            <w:pPr>
              <w:spacing w:after="0" w:line="257" w:lineRule="auto"/>
            </w:pPr>
            <w:r>
              <w:rPr>
                <w:sz w:val="19"/>
              </w:rPr>
              <w:t>잘못에 책임지는 방법을 배우고 피해 회복을 돕는 교육적 조치라고 보았다.</w:t>
            </w:r>
          </w:p>
        </w:tc>
        <w:tc>
          <w:tcPr>
            <w:tcW w:type="dxa" w:w="4989"/>
            <w:vAlign w:val="center"/>
            <w:shd w:fill="FFFFFF"/>
            <w:tcMar>
              <w:top w:w="90" w:type="dxa"/>
              <w:bottom w:w="90" w:type="dxa"/>
              <w:left w:w="105" w:type="dxa"/>
              <w:right w:w="105" w:type="dxa"/>
            </w:tcMar>
          </w:tcPr>
          <w:p>
            <w:pPr>
              <w:spacing w:after="0" w:line="257" w:lineRule="auto"/>
            </w:pPr>
            <w:r>
              <w:rPr>
                <w:sz w:val="19"/>
              </w:rPr>
              <w:t>사과는 자신의 윤리적 판단과 감정을 표현하는 행위이므로, 학생의 의사에 반해 강제하기 어렵다고 보았다.</w:t>
            </w:r>
          </w:p>
        </w:tc>
      </w:tr>
      <w:tr>
        <w:trPr>
          <w:cantSplit/>
        </w:trPr>
        <w:tc>
          <w:tcPr>
            <w:tcW w:type="dxa" w:w="4989"/>
            <w:vAlign w:val="center"/>
            <w:shd w:fill="F3F5F8"/>
            <w:tcMar>
              <w:top w:w="90" w:type="dxa"/>
              <w:bottom w:w="90" w:type="dxa"/>
              <w:left w:w="105" w:type="dxa"/>
              <w:right w:w="105" w:type="dxa"/>
            </w:tcMar>
          </w:tcPr>
          <w:p>
            <w:pPr>
              <w:spacing w:after="0" w:line="257" w:lineRule="auto"/>
            </w:pPr>
            <w:r>
              <w:rPr>
                <w:sz w:val="19"/>
              </w:rPr>
              <w:t>사과문에 쓸 내용을 정해 주지 않으며, 학생의 의견을 듣는 등 적정한 절차를 거쳐 학교폭력 사실이 인정된 경우에 조치한다는 점을 고려했다.</w:t>
            </w:r>
          </w:p>
        </w:tc>
        <w:tc>
          <w:tcPr>
            <w:tcW w:type="dxa" w:w="4989"/>
            <w:vAlign w:val="center"/>
            <w:shd w:fill="F3F5F8"/>
            <w:tcMar>
              <w:top w:w="90" w:type="dxa"/>
              <w:bottom w:w="90" w:type="dxa"/>
              <w:left w:w="105" w:type="dxa"/>
              <w:right w:w="105" w:type="dxa"/>
            </w:tcMar>
          </w:tcPr>
          <w:p>
            <w:pPr>
              <w:spacing w:after="0" w:line="257" w:lineRule="auto"/>
            </w:pPr>
            <w:r>
              <w:rPr>
                <w:sz w:val="19"/>
              </w:rPr>
              <w:t>반성 없이 쓴 사과문은 교육에 도움이 되기 어렵고, 불성실한 사과는 피해학생에게 상처를 더할 수 있다고 우려했다.</w:t>
            </w:r>
          </w:p>
        </w:tc>
      </w:tr>
      <w:tr>
        <w:trPr>
          <w:cantSplit/>
        </w:trPr>
        <w:tc>
          <w:tcPr>
            <w:tcW w:type="dxa" w:w="4989"/>
            <w:vAlign w:val="center"/>
            <w:shd w:fill="FFFFFF"/>
            <w:tcMar>
              <w:top w:w="90" w:type="dxa"/>
              <w:bottom w:w="90" w:type="dxa"/>
              <w:left w:w="105" w:type="dxa"/>
              <w:right w:w="105" w:type="dxa"/>
            </w:tcMar>
          </w:tcPr>
          <w:p>
            <w:pPr>
              <w:spacing w:after="0" w:line="257" w:lineRule="auto"/>
            </w:pPr>
            <w:r>
              <w:rPr>
                <w:sz w:val="19"/>
              </w:rPr>
              <w:t>주의·경고·권고만으로 같은 교육적 목적을 충분히 이루기 어렵다고 판단했다.</w:t>
            </w:r>
          </w:p>
        </w:tc>
        <w:tc>
          <w:tcPr>
            <w:tcW w:type="dxa" w:w="4989"/>
            <w:vAlign w:val="center"/>
            <w:shd w:fill="FFFFFF"/>
            <w:tcMar>
              <w:top w:w="90" w:type="dxa"/>
              <w:bottom w:w="90" w:type="dxa"/>
              <w:left w:w="105" w:type="dxa"/>
              <w:right w:w="105" w:type="dxa"/>
            </w:tcMar>
          </w:tcPr>
          <w:p>
            <w:pPr>
              <w:spacing w:after="0" w:line="257" w:lineRule="auto"/>
            </w:pPr>
            <w:r>
              <w:rPr>
                <w:sz w:val="19"/>
              </w:rPr>
              <w:t>교사·학부모의 조언과 지도, 사과의 권고를 통해 자발적인 반성과 사과를 이끌 수 있다고 보았다.</w:t>
            </w:r>
          </w:p>
        </w:tc>
      </w:tr>
    </w:tbl>
    <w:p>
      <w:pPr>
        <w:pStyle w:val="Heading2"/>
      </w:pPr>
      <w:r>
        <w:t>낭독 대본</w:t>
      </w:r>
    </w:p>
    <w:p>
      <w:r>
        <w:rPr>
          <w:b w:val="0"/>
        </w:rPr>
        <w:t>학생에게 어떤 행동을 명령할 수 있는지 살펴보기 위해, 3장에서 본 헌재 결정으로 돌아가겠습니다. 당시 접촉금지와 학급교체를 살펴봤는데, 같은 결정에서 서면사과 조항도 판단했습니다.</w:t>
      </w:r>
    </w:p>
    <w:p>
      <w:r>
        <w:rPr>
          <w:b w:val="0"/>
        </w:rPr>
        <w:t>서면사과는 가해학생이 피해학생에게 사과의 뜻을 글로 전하도록 하는 조치입니다. 이 조치를 받은 학생들은 취소소송을 진행하면서, 그 근거인 구 학교폭력예방법 제17조 제1항 제1호가 헌법에 어긋난다고 주장했습니다. 자기 의사에 반해 사과하도록 명령하는 것이 양심의 자유와 인격권을 지나치게 제한하는지가 쟁점이었습니다. 자신이 옳고 그르다고 판단하는 내용과 다른 사과를 강제로 표현하게 할 수 있는지를 묻는 것입니다.</w:t>
      </w:r>
    </w:p>
    <w:p>
      <w:r>
        <w:rPr>
          <w:b w:val="0"/>
        </w:rPr>
        <w:t>다수의견을 낸 여섯 재판관은 서면사과를 잘못을 돌아보고 책임지는 방법을 배우는 교육적 조치로 보았습니다. 사과문에 쓸 내용을 정해 주지 않는다는 점, 학생과 보호자의 의견을 듣는 절차를 거쳐 학교폭력 사실이 인정되면 조치한다는 점을 고려했습니다. 당시 법이 서면사과 불이행에 추가 조치를 두지 않았다는 점과, 주의나 권고만으로 같은 교육적 목적을 이루기 어렵다는 점도 판단의 이유였습니다.</w:t>
      </w:r>
    </w:p>
    <w:p>
      <w:r>
        <w:rPr>
          <w:b w:val="0"/>
        </w:rPr>
        <w:t>반대의견을 낸 세 재판관도 피해 회복과 선도교육의 목적은 인정했습니다. 다만 사과는 자신의 판단과 감정을 표현하는 행위이므로, 의사에 반해 강제하는 부담이 크다고 보았습니다. 형식적인 사과는 교육에 도움이 되기 어렵고 피해학생에게 상처를 더할 수 있으므로, 지도와 권고를 통해 자발적인 사과를 이끌자는 입장이었습니다.</w:t>
      </w:r>
    </w:p>
    <w:p>
      <w:r>
        <w:rPr>
          <w:b w:val="0"/>
        </w:rPr>
        <w:t>헌재의 결론은 합헌이었습니다. 같은 교육적 목적을 인정하면서도 사과를 강제하는 방법이 적절한지에 대해서는 판단이 갈린 것입니다. 학생에게 생기는 부담은 조치를 이행하는 동안에만 그치지 않을 수 있습니다. 다음에는 조치가 끝난 뒤에도 남는 학교생활기록부 기록을 살펴보겠습니다.</w:t>
      </w:r>
    </w:p>
    <w:p>
      <w:r>
        <w:br w:type="page"/>
      </w:r>
    </w:p>
    <w:p>
      <w:pPr>
        <w:pStyle w:val="Heading1"/>
      </w:pPr>
      <w:r>
        <w:t>6-06  조치가 끝난 뒤에도 남는 기록</w:t>
      </w:r>
    </w:p>
    <w:p>
      <w:pPr>
        <w:pStyle w:val="Heading2"/>
      </w:pPr>
      <w:r>
        <w:t>PPT 구성안</w:t>
      </w:r>
    </w:p>
    <w:p>
      <w:r>
        <w:rPr>
          <w:b/>
        </w:rPr>
        <w:t xml:space="preserve">상단 문장  </w:t>
      </w:r>
      <w:r>
        <w:rPr>
          <w:b/>
        </w:rPr>
        <w:t>조치를 이행하는 기간과 학교생활기록부에 기록이 남는 기간은 다르다.</w:t>
      </w:r>
    </w:p>
    <w:p>
      <w:r>
        <w:rPr>
          <w:b/>
        </w:rPr>
        <w:t xml:space="preserve">본문 맥락  </w:t>
      </w:r>
      <w:r>
        <w:rPr>
          <w:b w:val="0"/>
          <w:sz w:val="19"/>
        </w:rPr>
        <w:t>초·중등교육법 시행규칙 제22조 · 2026학년도 학교생활기록부 기재요령</w:t>
        <w:br/>
        <w:t>적용 기준: 2024.3.1. 이후 신고된 사안</w:t>
      </w:r>
    </w:p>
    <w:tbl>
      <w:tblPr>
        <w:tblW w:type="auto" w:w="0"/>
        <w:jc w:val="center"/>
        <w:tblLayout w:type="fixed"/>
        <w:tblLook w:firstColumn="1" w:firstRow="1" w:lastColumn="0" w:lastRow="0" w:noHBand="0" w:noVBand="1" w:val="04A0"/>
        <w:tblBorders>
          <w:top w:val="single" w:sz="4" w:color="D4DCE5"/>
          <w:bottom w:val="single" w:sz="4" w:color="D4DCE5"/>
          <w:left w:val="single" w:sz="4" w:color="D4DCE5"/>
          <w:right w:val="single" w:sz="4" w:color="D4DCE5"/>
          <w:insideH w:val="single" w:sz="4" w:color="D4DCE5"/>
          <w:insideV w:val="single" w:sz="4" w:color="D4DCE5"/>
        </w:tblBorders>
      </w:tblPr>
      <w:tblGrid>
        <w:gridCol w:w="6336"/>
        <w:gridCol w:w="3642"/>
      </w:tblGrid>
      <w:tr>
        <w:trPr>
          <w:cantSplit/>
          <w:tblHeader/>
        </w:trPr>
        <w:tc>
          <w:tcPr>
            <w:tcW w:type="dxa" w:w="6336"/>
            <w:vAlign w:val="center"/>
            <w:shd w:fill="25365A"/>
            <w:tcMar>
              <w:top w:w="90" w:type="dxa"/>
              <w:bottom w:w="90" w:type="dxa"/>
              <w:left w:w="105" w:type="dxa"/>
              <w:right w:w="105" w:type="dxa"/>
            </w:tcMar>
          </w:tcPr>
          <w:p>
            <w:pPr>
              <w:spacing w:after="0" w:line="257" w:lineRule="auto"/>
            </w:pPr>
            <w:r>
              <w:rPr>
                <w:b/>
                <w:color w:val="FFFFFF"/>
                <w:sz w:val="19"/>
              </w:rPr>
              <w:t>학생부에 기재된 조치</w:t>
            </w:r>
          </w:p>
        </w:tc>
        <w:tc>
          <w:tcPr>
            <w:tcW w:type="dxa" w:w="3642"/>
            <w:vAlign w:val="center"/>
            <w:shd w:fill="25365A"/>
            <w:tcMar>
              <w:top w:w="90" w:type="dxa"/>
              <w:bottom w:w="90" w:type="dxa"/>
              <w:left w:w="105" w:type="dxa"/>
              <w:right w:w="105" w:type="dxa"/>
            </w:tcMar>
          </w:tcPr>
          <w:p>
            <w:pPr>
              <w:spacing w:after="0" w:line="257" w:lineRule="auto"/>
            </w:pPr>
            <w:r>
              <w:rPr>
                <w:b/>
                <w:color w:val="FFFFFF"/>
                <w:sz w:val="19"/>
              </w:rPr>
              <w:t>기록의 일반적인 삭제 시기</w:t>
            </w:r>
          </w:p>
        </w:tc>
      </w:tr>
      <w:tr>
        <w:trPr>
          <w:cantSplit/>
        </w:trPr>
        <w:tc>
          <w:tcPr>
            <w:tcW w:type="dxa" w:w="6336"/>
            <w:vAlign w:val="center"/>
            <w:shd w:fill="FFFFFF"/>
            <w:tcMar>
              <w:top w:w="90" w:type="dxa"/>
              <w:bottom w:w="90" w:type="dxa"/>
              <w:left w:w="105" w:type="dxa"/>
              <w:right w:w="105" w:type="dxa"/>
            </w:tcMar>
          </w:tcPr>
          <w:p>
            <w:pPr>
              <w:spacing w:after="0" w:line="257" w:lineRule="auto"/>
            </w:pPr>
            <w:r>
              <w:rPr>
                <w:b/>
                <w:sz w:val="19"/>
              </w:rPr>
              <w:t>1~3호 · 서면사과 / 접촉·협박·보복행위 금지 / 학교에서의 봉사</w:t>
            </w:r>
          </w:p>
        </w:tc>
        <w:tc>
          <w:tcPr>
            <w:tcW w:type="dxa" w:w="3642"/>
            <w:vAlign w:val="center"/>
            <w:shd w:fill="FFFFFF"/>
            <w:tcMar>
              <w:top w:w="90" w:type="dxa"/>
              <w:bottom w:w="90" w:type="dxa"/>
              <w:left w:w="105" w:type="dxa"/>
              <w:right w:w="105" w:type="dxa"/>
            </w:tcMar>
          </w:tcPr>
          <w:p>
            <w:pPr>
              <w:spacing w:after="0" w:line="257" w:lineRule="auto"/>
            </w:pPr>
            <w:r>
              <w:rPr>
                <w:sz w:val="19"/>
              </w:rPr>
              <w:t>졸업과 동시에 삭제</w:t>
            </w:r>
          </w:p>
        </w:tc>
      </w:tr>
      <w:tr>
        <w:trPr>
          <w:cantSplit/>
        </w:trPr>
        <w:tc>
          <w:tcPr>
            <w:tcW w:type="dxa" w:w="6336"/>
            <w:vAlign w:val="center"/>
            <w:shd w:fill="F3F5F8"/>
            <w:tcMar>
              <w:top w:w="90" w:type="dxa"/>
              <w:bottom w:w="90" w:type="dxa"/>
              <w:left w:w="105" w:type="dxa"/>
              <w:right w:w="105" w:type="dxa"/>
            </w:tcMar>
          </w:tcPr>
          <w:p>
            <w:pPr>
              <w:spacing w:after="0" w:line="257" w:lineRule="auto"/>
            </w:pPr>
            <w:r>
              <w:rPr>
                <w:b/>
                <w:sz w:val="19"/>
              </w:rPr>
              <w:t>4~5호 · 사회봉사 / 특별교육 이수 또는 심리치료</w:t>
            </w:r>
          </w:p>
        </w:tc>
        <w:tc>
          <w:tcPr>
            <w:tcW w:type="dxa" w:w="3642"/>
            <w:vAlign w:val="center"/>
            <w:shd w:fill="F3F5F8"/>
            <w:tcMar>
              <w:top w:w="90" w:type="dxa"/>
              <w:bottom w:w="90" w:type="dxa"/>
              <w:left w:w="105" w:type="dxa"/>
              <w:right w:w="105" w:type="dxa"/>
            </w:tcMar>
          </w:tcPr>
          <w:p>
            <w:pPr>
              <w:spacing w:after="0" w:line="257" w:lineRule="auto"/>
            </w:pPr>
            <w:r>
              <w:rPr>
                <w:sz w:val="19"/>
              </w:rPr>
              <w:t>졸업한 날부터 2년 후 삭제</w:t>
            </w:r>
          </w:p>
        </w:tc>
      </w:tr>
      <w:tr>
        <w:trPr>
          <w:cantSplit/>
        </w:trPr>
        <w:tc>
          <w:tcPr>
            <w:tcW w:type="dxa" w:w="6336"/>
            <w:vAlign w:val="center"/>
            <w:shd w:fill="FFFFFF"/>
            <w:tcMar>
              <w:top w:w="90" w:type="dxa"/>
              <w:bottom w:w="90" w:type="dxa"/>
              <w:left w:w="105" w:type="dxa"/>
              <w:right w:w="105" w:type="dxa"/>
            </w:tcMar>
          </w:tcPr>
          <w:p>
            <w:pPr>
              <w:spacing w:after="0" w:line="257" w:lineRule="auto"/>
            </w:pPr>
            <w:r>
              <w:rPr>
                <w:b/>
                <w:sz w:val="19"/>
              </w:rPr>
              <w:t>6~8호 · 출석정지 / 학급교체 / 전학</w:t>
            </w:r>
          </w:p>
        </w:tc>
        <w:tc>
          <w:tcPr>
            <w:tcW w:type="dxa" w:w="3642"/>
            <w:vAlign w:val="center"/>
            <w:shd w:fill="FFFFFF"/>
            <w:tcMar>
              <w:top w:w="90" w:type="dxa"/>
              <w:bottom w:w="90" w:type="dxa"/>
              <w:left w:w="105" w:type="dxa"/>
              <w:right w:w="105" w:type="dxa"/>
            </w:tcMar>
          </w:tcPr>
          <w:p>
            <w:pPr>
              <w:spacing w:after="0" w:line="257" w:lineRule="auto"/>
            </w:pPr>
            <w:r>
              <w:rPr>
                <w:sz w:val="19"/>
              </w:rPr>
              <w:t>졸업한 날부터 4년 후 삭제</w:t>
            </w:r>
          </w:p>
        </w:tc>
      </w:tr>
      <w:tr>
        <w:trPr>
          <w:cantSplit/>
        </w:trPr>
        <w:tc>
          <w:tcPr>
            <w:tcW w:type="dxa" w:w="6336"/>
            <w:vAlign w:val="center"/>
            <w:shd w:fill="F3F5F8"/>
            <w:tcMar>
              <w:top w:w="90" w:type="dxa"/>
              <w:bottom w:w="90" w:type="dxa"/>
              <w:left w:w="105" w:type="dxa"/>
              <w:right w:w="105" w:type="dxa"/>
            </w:tcMar>
          </w:tcPr>
          <w:p>
            <w:pPr>
              <w:spacing w:after="0" w:line="257" w:lineRule="auto"/>
            </w:pPr>
            <w:r>
              <w:rPr>
                <w:b/>
                <w:sz w:val="19"/>
              </w:rPr>
              <w:t>9호 · 퇴학처분</w:t>
            </w:r>
          </w:p>
        </w:tc>
        <w:tc>
          <w:tcPr>
            <w:tcW w:type="dxa" w:w="3642"/>
            <w:vAlign w:val="center"/>
            <w:shd w:fill="F3F5F8"/>
            <w:tcMar>
              <w:top w:w="90" w:type="dxa"/>
              <w:bottom w:w="90" w:type="dxa"/>
              <w:left w:w="105" w:type="dxa"/>
              <w:right w:w="105" w:type="dxa"/>
            </w:tcMar>
          </w:tcPr>
          <w:p>
            <w:pPr>
              <w:spacing w:after="0" w:line="257" w:lineRule="auto"/>
            </w:pPr>
            <w:r>
              <w:rPr>
                <w:sz w:val="19"/>
              </w:rPr>
              <w:t>위 삭제 대상에 포함되지 않음</w:t>
              <w:br/>
              <w:t>의무교육과정 학생에게는 적용하지 않는 조치</w:t>
            </w:r>
          </w:p>
        </w:tc>
      </w:tr>
    </w:tbl>
    <w:p>
      <w:r>
        <w:rPr>
          <w:b w:val="0"/>
          <w:sz w:val="19"/>
        </w:rPr>
        <w:t>조건부 기재유보: 최초 사안의 1~3호를 정해진 기간 내 이행하면 바로 기록하지 않고 보류한다. 같은 학교급에서 다른 사안의 조치를 받으면 보류한 내용도 함께 기록한다.</w:t>
      </w:r>
    </w:p>
    <w:p>
      <w:r>
        <w:rPr>
          <w:b w:val="0"/>
          <w:sz w:val="19"/>
        </w:rPr>
        <w:t>졸업 시 삭제 심의: 4~7호는 요건을 갖추고 학교 전담기구 심의를 거치면 졸업과 동시에 삭제할 수 있다. 반성과 행동변화 등을 살피며, 8호 전학은 이 심의 대상에서 제외된다.</w:t>
      </w:r>
    </w:p>
    <w:p>
      <w:pPr>
        <w:pStyle w:val="Heading2"/>
      </w:pPr>
      <w:r>
        <w:t>낭독 대본</w:t>
      </w:r>
    </w:p>
    <w:p>
      <w:r>
        <w:rPr>
          <w:b w:val="0"/>
        </w:rPr>
        <w:t>학교폭력 조치를 이행해도 그 조치가 학교생활기록부에 남아 있으면 학생에게 미치는 영향은 이어질 수 있습니다. 학교생활기록부를 줄여서 학생부라고 합니다. 화면은 2024년 3월 1일 이후 신고된 사안에서, 학생부에 기재된 조치의 일반적인 삭제 시기를 보여줍니다.</w:t>
      </w:r>
    </w:p>
    <w:p>
      <w:r>
        <w:rPr>
          <w:b w:val="0"/>
        </w:rPr>
        <w:t>서면사과부터 학교에서의 봉사까지인 1호에서 3호는 졸업과 동시에 삭제합니다. 사회봉사와 특별교육 또는 심리치료인 4호와 5호는 졸업 후 2년, 출석정지·학급교체·전학인 6호에서 8호는 졸업 후 4년입니다. 퇴학처분인 9호는 이 삭제 대상에 들어가지 않습니다. 의무교육과정 학생에게는 퇴학처분을 적용하지 않습니다.</w:t>
      </w:r>
    </w:p>
    <w:p>
      <w:r>
        <w:rPr>
          <w:b w:val="0"/>
        </w:rPr>
        <w:t>처음부터 기록을 보류하는 경우도 있습니다. 최초 사안에서 받은 1호부터 3호를 정해진 기간에 이행하면 학생부에 바로 적지 않고 보류합니다. 이것이 조건부 기재유보입니다. 같은 학교급에서 다른 학교폭력 사안의 조치를 받으면 보류했던 내용도 함께 기록합니다.</w:t>
      </w:r>
    </w:p>
    <w:p>
      <w:r>
        <w:rPr>
          <w:b w:val="0"/>
        </w:rPr>
        <w:t>이미 적힌 기록을 심의 후 졸업과 동시에 삭제하는 경우도 있습니다. 4호부터 7호는 요건을 갖추고 졸업 직전 학교 전담기구의 심의를 거치면 가능합니다. 학생의 반성과 긍정적인 행동변화 등을 살핍니다. 8호 전학은 이 심의 대상에 포함되지 않습니다.</w:t>
      </w:r>
    </w:p>
    <w:p>
      <w:r>
        <w:rPr>
          <w:b w:val="0"/>
        </w:rPr>
        <w:t>이처럼 조치를 마치는 시점과 기록이 없어지는 시점은 다를 수 있습니다. 그러면 남아 있는 기록은 진학에서 어떻게 활용될까요? 다음은 대학입학전형에 반영하는 제도입니다.</w:t>
      </w:r>
    </w:p>
    <w:p>
      <w:r>
        <w:br w:type="page"/>
      </w:r>
    </w:p>
    <w:p>
      <w:pPr>
        <w:pStyle w:val="Heading1"/>
      </w:pPr>
      <w:r>
        <w:t>6-07  학생부 기록과 대학입학전형</w:t>
      </w:r>
    </w:p>
    <w:p>
      <w:pPr>
        <w:pStyle w:val="Heading2"/>
      </w:pPr>
      <w:r>
        <w:t>PPT 구성안</w:t>
      </w:r>
    </w:p>
    <w:p>
      <w:r>
        <w:rPr>
          <w:b/>
        </w:rPr>
        <w:t xml:space="preserve">상단 문장  </w:t>
      </w:r>
      <w:r>
        <w:rPr>
          <w:b/>
        </w:rPr>
        <w:t>2026학년도 대입부터 학교폭력 조치사항을 전형에 필수 반영하도록 했다.</w:t>
      </w:r>
    </w:p>
    <w:p>
      <w:r>
        <w:rPr>
          <w:b/>
        </w:rPr>
        <w:t xml:space="preserve">본문 맥락  </w:t>
      </w:r>
      <w:r>
        <w:rPr>
          <w:b w:val="0"/>
          <w:sz w:val="19"/>
        </w:rPr>
        <w:t>한국대학교육협의회 「2026학년도 대학입학전형기본사항」</w:t>
        <w:br/>
        <w:t>2023년 8월 공표 · 2026학년도 적용</w:t>
      </w:r>
    </w:p>
    <w:tbl>
      <w:tblPr>
        <w:tblW w:type="auto" w:w="0"/>
        <w:jc w:val="center"/>
        <w:tblLayout w:type="fixed"/>
        <w:tblLook w:firstColumn="1" w:firstRow="1" w:lastColumn="0" w:lastRow="0" w:noHBand="0" w:noVBand="1" w:val="04A0"/>
        <w:tblBorders>
          <w:top w:val="single" w:sz="4" w:color="D4DCE5"/>
          <w:bottom w:val="single" w:sz="4" w:color="D4DCE5"/>
          <w:left w:val="single" w:sz="4" w:color="D4DCE5"/>
          <w:right w:val="single" w:sz="4" w:color="D4DCE5"/>
          <w:insideH w:val="single" w:sz="4" w:color="D4DCE5"/>
          <w:insideV w:val="single" w:sz="4" w:color="D4DCE5"/>
        </w:tblBorders>
      </w:tblPr>
      <w:tblGrid>
        <w:gridCol w:w="1821"/>
        <w:gridCol w:w="8157"/>
      </w:tblGrid>
      <w:tr>
        <w:trPr>
          <w:cantSplit/>
          <w:tblHeader/>
        </w:trPr>
        <w:tc>
          <w:tcPr>
            <w:tcW w:type="dxa" w:w="1821"/>
            <w:vAlign w:val="center"/>
            <w:shd w:fill="25365A"/>
            <w:tcMar>
              <w:top w:w="90" w:type="dxa"/>
              <w:bottom w:w="90" w:type="dxa"/>
              <w:left w:w="105" w:type="dxa"/>
              <w:right w:w="105" w:type="dxa"/>
            </w:tcMar>
          </w:tcPr>
          <w:p>
            <w:pPr>
              <w:spacing w:after="0" w:line="257" w:lineRule="auto"/>
            </w:pPr>
            <w:r>
              <w:rPr>
                <w:b/>
                <w:color w:val="FFFFFF"/>
                <w:sz w:val="19"/>
              </w:rPr>
              <w:t>구분</w:t>
            </w:r>
          </w:p>
        </w:tc>
        <w:tc>
          <w:tcPr>
            <w:tcW w:type="dxa" w:w="8157"/>
            <w:vAlign w:val="center"/>
            <w:shd w:fill="25365A"/>
            <w:tcMar>
              <w:top w:w="90" w:type="dxa"/>
              <w:bottom w:w="90" w:type="dxa"/>
              <w:left w:w="105" w:type="dxa"/>
              <w:right w:w="105" w:type="dxa"/>
            </w:tcMar>
          </w:tcPr>
          <w:p>
            <w:pPr>
              <w:spacing w:after="0" w:line="257" w:lineRule="auto"/>
            </w:pPr>
            <w:r>
              <w:rPr>
                <w:b/>
                <w:color w:val="FFFFFF"/>
                <w:sz w:val="19"/>
              </w:rPr>
              <w:t>반영 내용</w:t>
            </w:r>
          </w:p>
        </w:tc>
      </w:tr>
      <w:tr>
        <w:trPr>
          <w:cantSplit/>
        </w:trPr>
        <w:tc>
          <w:tcPr>
            <w:tcW w:type="dxa" w:w="1821"/>
            <w:vAlign w:val="center"/>
            <w:shd w:fill="FFFFFF"/>
            <w:tcMar>
              <w:top w:w="90" w:type="dxa"/>
              <w:bottom w:w="90" w:type="dxa"/>
              <w:left w:w="105" w:type="dxa"/>
              <w:right w:w="105" w:type="dxa"/>
            </w:tcMar>
          </w:tcPr>
          <w:p>
            <w:pPr>
              <w:spacing w:after="0" w:line="257" w:lineRule="auto"/>
            </w:pPr>
            <w:r>
              <w:rPr>
                <w:b/>
                <w:sz w:val="19"/>
              </w:rPr>
              <w:t>반영하는 전형</w:t>
            </w:r>
          </w:p>
        </w:tc>
        <w:tc>
          <w:tcPr>
            <w:tcW w:type="dxa" w:w="8157"/>
            <w:vAlign w:val="center"/>
            <w:shd w:fill="FFFFFF"/>
            <w:tcMar>
              <w:top w:w="90" w:type="dxa"/>
              <w:bottom w:w="90" w:type="dxa"/>
              <w:left w:w="105" w:type="dxa"/>
              <w:right w:w="105" w:type="dxa"/>
            </w:tcMar>
          </w:tcPr>
          <w:p>
            <w:pPr>
              <w:spacing w:after="0" w:line="257" w:lineRule="auto"/>
            </w:pPr>
            <w:r>
              <w:rPr>
                <w:sz w:val="19"/>
              </w:rPr>
              <w:t>학생부 교과·학생부 종합·수능·논술·실기/실적 위주 전형에 학교폭력 조치사항을 반영한다.</w:t>
            </w:r>
          </w:p>
        </w:tc>
      </w:tr>
      <w:tr>
        <w:trPr>
          <w:cantSplit/>
        </w:trPr>
        <w:tc>
          <w:tcPr>
            <w:tcW w:type="dxa" w:w="1821"/>
            <w:vAlign w:val="center"/>
            <w:shd w:fill="F3F5F8"/>
            <w:tcMar>
              <w:top w:w="90" w:type="dxa"/>
              <w:bottom w:w="90" w:type="dxa"/>
              <w:left w:w="105" w:type="dxa"/>
              <w:right w:w="105" w:type="dxa"/>
            </w:tcMar>
          </w:tcPr>
          <w:p>
            <w:pPr>
              <w:spacing w:after="0" w:line="257" w:lineRule="auto"/>
            </w:pPr>
            <w:r>
              <w:rPr>
                <w:b/>
                <w:sz w:val="19"/>
              </w:rPr>
              <w:t>대학별 반영방법</w:t>
            </w:r>
          </w:p>
        </w:tc>
        <w:tc>
          <w:tcPr>
            <w:tcW w:type="dxa" w:w="8157"/>
            <w:vAlign w:val="center"/>
            <w:shd w:fill="F3F5F8"/>
            <w:tcMar>
              <w:top w:w="90" w:type="dxa"/>
              <w:bottom w:w="90" w:type="dxa"/>
              <w:left w:w="105" w:type="dxa"/>
              <w:right w:w="105" w:type="dxa"/>
            </w:tcMar>
          </w:tcPr>
          <w:p>
            <w:pPr>
              <w:spacing w:after="0" w:line="257" w:lineRule="auto"/>
            </w:pPr>
            <w:r>
              <w:rPr>
                <w:sz w:val="19"/>
              </w:rPr>
              <w:t>대학이 구체적인 방법을 정하고 사전에 안내한다. 점수 감점이나 서류 내용을 종합적으로 판단하는 정성평가 등 실제 방법은 대학별 모집요강에 제시된다.</w:t>
            </w:r>
          </w:p>
        </w:tc>
      </w:tr>
      <w:tr>
        <w:trPr>
          <w:cantSplit/>
        </w:trPr>
        <w:tc>
          <w:tcPr>
            <w:tcW w:type="dxa" w:w="1821"/>
            <w:vAlign w:val="center"/>
            <w:shd w:fill="FFFFFF"/>
            <w:tcMar>
              <w:top w:w="90" w:type="dxa"/>
              <w:bottom w:w="90" w:type="dxa"/>
              <w:left w:w="105" w:type="dxa"/>
              <w:right w:w="105" w:type="dxa"/>
            </w:tcMar>
          </w:tcPr>
          <w:p>
            <w:pPr>
              <w:spacing w:after="0" w:line="257" w:lineRule="auto"/>
            </w:pPr>
            <w:r>
              <w:rPr>
                <w:b/>
                <w:sz w:val="19"/>
              </w:rPr>
              <w:t>학생에게 미치는 영향</w:t>
            </w:r>
          </w:p>
        </w:tc>
        <w:tc>
          <w:tcPr>
            <w:tcW w:type="dxa" w:w="8157"/>
            <w:vAlign w:val="center"/>
            <w:shd w:fill="FFFFFF"/>
            <w:tcMar>
              <w:top w:w="90" w:type="dxa"/>
              <w:bottom w:w="90" w:type="dxa"/>
              <w:left w:w="105" w:type="dxa"/>
              <w:right w:w="105" w:type="dxa"/>
            </w:tcMar>
          </w:tcPr>
          <w:p>
            <w:pPr>
              <w:spacing w:after="0" w:line="257" w:lineRule="auto"/>
            </w:pPr>
            <w:r>
              <w:rPr>
                <w:sz w:val="19"/>
              </w:rPr>
              <w:t>조치 이행이 끝난 뒤에도 기록이 남아 있으면 진학 평가에 영향을 줄 수 있다. 불이익의 정도는 기록된 조치와 대학·전형의 반영 기준에 따라 달라진다.</w:t>
            </w:r>
          </w:p>
        </w:tc>
      </w:tr>
    </w:tbl>
    <w:p>
      <w:pPr>
        <w:pStyle w:val="Heading2"/>
      </w:pPr>
      <w:r>
        <w:t>낭독 대본</w:t>
      </w:r>
    </w:p>
    <w:p>
      <w:r>
        <w:rPr>
          <w:b w:val="0"/>
        </w:rPr>
        <w:t>학생부에 남은 학교폭력 조치사항은 대학입학전형에도 활용됩니다. 한국대학교육협의회가 발표한 2026학년도 대학입학전형기본사항은 학교폭력 조치사항을 전형에 필수로 반영하도록 했습니다.</w:t>
      </w:r>
    </w:p>
    <w:p>
      <w:r>
        <w:rPr>
          <w:b w:val="0"/>
        </w:rPr>
        <w:t>학생부 교과전형과 종합전형은 물론, 수능과 논술, 실기와 실적을 중심으로 선발하는 전형에도 반영합니다. 따라서 수능 위주 전형에서도 학교폭력 조치사항이 평가에 영향을 줄 수 있습니다.</w:t>
      </w:r>
    </w:p>
    <w:p>
      <w:r>
        <w:rPr>
          <w:b w:val="0"/>
        </w:rPr>
        <w:t>구체적인 반영방법은 대학이 정하고 사전에 안내합니다. 점수를 감점하는 방식이 있을 수 있고, 서류에 담긴 내용을 종합적으로 판단하는 정성평가에서 고려할 수도 있습니다. 대학별 모집요강에 제시된 기준에 따라 실제 불이익의 정도가 달라집니다.</w:t>
      </w:r>
    </w:p>
    <w:p>
      <w:r>
        <w:rPr>
          <w:b w:val="0"/>
        </w:rPr>
        <w:t>제재를 강화할 때에는 이처럼 조치 이후에 생기는 영향도 살펴야 합니다. 봉사나 교육 이수가 끝나더라도, 기록이 남아 있다면 나중에 대학에 지원할 때 부담이 될 수 있기 때문입니다.</w:t>
      </w:r>
    </w:p>
    <w:p>
      <w:r>
        <w:rPr>
          <w:b w:val="0"/>
        </w:rPr>
        <w:t>그렇다면 학생이 조치가 잘못됐다고 소송을 내고, 법원이 그 조치의 효력을 잠시 정지한 경우에는 기록을 어떻게 해야 할까요? 대법원이 이 문제를 판단한 사례를 보겠습니다.</w:t>
      </w:r>
    </w:p>
    <w:p>
      <w:r>
        <w:br w:type="page"/>
      </w:r>
    </w:p>
    <w:p>
      <w:pPr>
        <w:pStyle w:val="Heading1"/>
      </w:pPr>
      <w:r>
        <w:t>6-08  효력정지 중 학생부 기록의 처리</w:t>
      </w:r>
    </w:p>
    <w:p>
      <w:pPr>
        <w:pStyle w:val="Heading2"/>
      </w:pPr>
      <w:r>
        <w:t>PPT 구성안</w:t>
      </w:r>
    </w:p>
    <w:p>
      <w:r>
        <w:rPr>
          <w:b/>
        </w:rPr>
        <w:t xml:space="preserve">상단 문장  </w:t>
      </w:r>
      <w:r>
        <w:rPr>
          <w:b/>
        </w:rPr>
        <w:t>대법원은 조치의 효력이 정지되면 그 조치에 관한 학생부 기재도 즉시 삭제해야 한다고 판단했다.</w:t>
      </w:r>
    </w:p>
    <w:p>
      <w:r>
        <w:rPr>
          <w:b/>
        </w:rPr>
        <w:t xml:space="preserve">본문 맥락  </w:t>
      </w:r>
      <w:r>
        <w:rPr>
          <w:b w:val="0"/>
          <w:sz w:val="19"/>
        </w:rPr>
        <w:t>대법원 2025.9.9.자 2025무565 결정</w:t>
        <w:br/>
        <w:t>① 학생이 조치 취소소송 제기·집행정지 신청 → 1심은 취소 청구를 받아들임</w:t>
        <w:br/>
        <w:t>② 조치를 내린 교육장이 항소 → 학생의 신청으로 항소심 법원이 조치 효력정지</w:t>
        <w:br/>
        <w:t>③ 교육장이 효력정지 결정에 재항고 → 대법원이 교육장의 재항고를 기각, 효력정지 결정 유지</w:t>
      </w:r>
    </w:p>
    <w:tbl>
      <w:tblPr>
        <w:tblW w:type="auto" w:w="0"/>
        <w:jc w:val="center"/>
        <w:tblLayout w:type="fixed"/>
        <w:tblLook w:firstColumn="1" w:firstRow="1" w:lastColumn="0" w:lastRow="0" w:noHBand="0" w:noVBand="1" w:val="04A0"/>
        <w:tblBorders>
          <w:top w:val="single" w:sz="4" w:color="D4DCE5"/>
          <w:bottom w:val="single" w:sz="4" w:color="D4DCE5"/>
          <w:left w:val="single" w:sz="4" w:color="D4DCE5"/>
          <w:right w:val="single" w:sz="4" w:color="D4DCE5"/>
          <w:insideH w:val="single" w:sz="4" w:color="D4DCE5"/>
          <w:insideV w:val="single" w:sz="4" w:color="D4DCE5"/>
        </w:tblBorders>
      </w:tblPr>
      <w:tblGrid>
        <w:gridCol w:w="1821"/>
        <w:gridCol w:w="8157"/>
      </w:tblGrid>
      <w:tr>
        <w:trPr>
          <w:cantSplit/>
          <w:tblHeader/>
        </w:trPr>
        <w:tc>
          <w:tcPr>
            <w:tcW w:type="dxa" w:w="1821"/>
            <w:vAlign w:val="center"/>
            <w:shd w:fill="25365A"/>
            <w:tcMar>
              <w:top w:w="90" w:type="dxa"/>
              <w:bottom w:w="90" w:type="dxa"/>
              <w:left w:w="105" w:type="dxa"/>
              <w:right w:w="105" w:type="dxa"/>
            </w:tcMar>
          </w:tcPr>
          <w:p>
            <w:pPr>
              <w:spacing w:after="0" w:line="257" w:lineRule="auto"/>
            </w:pPr>
            <w:r>
              <w:rPr>
                <w:b/>
                <w:color w:val="FFFFFF"/>
                <w:sz w:val="19"/>
              </w:rPr>
              <w:t>기록의 쟁점</w:t>
            </w:r>
          </w:p>
        </w:tc>
        <w:tc>
          <w:tcPr>
            <w:tcW w:type="dxa" w:w="8157"/>
            <w:vAlign w:val="center"/>
            <w:shd w:fill="25365A"/>
            <w:tcMar>
              <w:top w:w="90" w:type="dxa"/>
              <w:bottom w:w="90" w:type="dxa"/>
              <w:left w:w="105" w:type="dxa"/>
              <w:right w:w="105" w:type="dxa"/>
            </w:tcMar>
          </w:tcPr>
          <w:p>
            <w:pPr>
              <w:spacing w:after="0" w:line="257" w:lineRule="auto"/>
            </w:pPr>
            <w:r>
              <w:rPr>
                <w:b/>
                <w:color w:val="FFFFFF"/>
                <w:sz w:val="19"/>
              </w:rPr>
              <w:t>대법원의 판단</w:t>
            </w:r>
          </w:p>
        </w:tc>
      </w:tr>
      <w:tr>
        <w:trPr>
          <w:cantSplit/>
        </w:trPr>
        <w:tc>
          <w:tcPr>
            <w:tcW w:type="dxa" w:w="1821"/>
            <w:vAlign w:val="center"/>
            <w:shd w:fill="FFFFFF"/>
            <w:tcMar>
              <w:top w:w="90" w:type="dxa"/>
              <w:bottom w:w="90" w:type="dxa"/>
              <w:left w:w="105" w:type="dxa"/>
              <w:right w:w="105" w:type="dxa"/>
            </w:tcMar>
          </w:tcPr>
          <w:p>
            <w:pPr>
              <w:spacing w:after="0" w:line="257" w:lineRule="auto"/>
            </w:pPr>
            <w:r>
              <w:rPr>
                <w:b/>
                <w:sz w:val="19"/>
              </w:rPr>
              <w:t>어떻게 처리하는가</w:t>
            </w:r>
          </w:p>
        </w:tc>
        <w:tc>
          <w:tcPr>
            <w:tcW w:type="dxa" w:w="8157"/>
            <w:vAlign w:val="center"/>
            <w:shd w:fill="FFFFFF"/>
            <w:tcMar>
              <w:top w:w="90" w:type="dxa"/>
              <w:bottom w:w="90" w:type="dxa"/>
              <w:left w:w="105" w:type="dxa"/>
              <w:right w:w="105" w:type="dxa"/>
            </w:tcMar>
          </w:tcPr>
          <w:p>
            <w:pPr>
              <w:spacing w:after="0" w:line="257" w:lineRule="auto"/>
            </w:pPr>
            <w:r>
              <w:rPr>
                <w:sz w:val="19"/>
              </w:rPr>
              <w:t>법원이 효력을 정지한 조치에 관한 학생부 기재를 즉시 삭제한다. 기록을 남기고 ‘집행정지 중’이라고 덧붙이는 것만으로는 부족하다.</w:t>
            </w:r>
          </w:p>
        </w:tc>
      </w:tr>
      <w:tr>
        <w:trPr>
          <w:cantSplit/>
        </w:trPr>
        <w:tc>
          <w:tcPr>
            <w:tcW w:type="dxa" w:w="1821"/>
            <w:vAlign w:val="center"/>
            <w:shd w:fill="F3F5F8"/>
            <w:tcMar>
              <w:top w:w="90" w:type="dxa"/>
              <w:bottom w:w="90" w:type="dxa"/>
              <w:left w:w="105" w:type="dxa"/>
              <w:right w:w="105" w:type="dxa"/>
            </w:tcMar>
          </w:tcPr>
          <w:p>
            <w:pPr>
              <w:spacing w:after="0" w:line="257" w:lineRule="auto"/>
            </w:pPr>
            <w:r>
              <w:rPr>
                <w:b/>
                <w:sz w:val="19"/>
              </w:rPr>
              <w:t>왜 삭제하는가</w:t>
            </w:r>
          </w:p>
        </w:tc>
        <w:tc>
          <w:tcPr>
            <w:tcW w:type="dxa" w:w="8157"/>
            <w:vAlign w:val="center"/>
            <w:shd w:fill="F3F5F8"/>
            <w:tcMar>
              <w:top w:w="90" w:type="dxa"/>
              <w:bottom w:w="90" w:type="dxa"/>
              <w:left w:w="105" w:type="dxa"/>
              <w:right w:w="105" w:type="dxa"/>
            </w:tcMar>
          </w:tcPr>
          <w:p>
            <w:pPr>
              <w:spacing w:after="0" w:line="257" w:lineRule="auto"/>
            </w:pPr>
            <w:r>
              <w:rPr>
                <w:sz w:val="19"/>
              </w:rPr>
              <w:t>소송이 진행되는 동안 기록 때문에 진학에서 실질적인 불이익을 입으면, 나중에 조치가 취소되어도 재판을 통한 권리구제가 충분히 이루어지기 어렵기 때문이다.</w:t>
            </w:r>
          </w:p>
        </w:tc>
      </w:tr>
    </w:tbl>
    <w:p>
      <w:r>
        <w:rPr>
          <w:b w:val="0"/>
          <w:sz w:val="19"/>
        </w:rPr>
        <w:t>효력정지 결정에 따라 기록을 삭제하는 것이며, 조치 취소가 최종 확정되었다는 뜻은 아니다.</w:t>
      </w:r>
    </w:p>
    <w:p>
      <w:pPr>
        <w:pStyle w:val="Heading2"/>
      </w:pPr>
      <w:r>
        <w:t>낭독 대본</w:t>
      </w:r>
    </w:p>
    <w:p>
      <w:r>
        <w:rPr>
          <w:b w:val="0"/>
        </w:rPr>
        <w:t>앞서 4장에서 집행정지는 조치의 효력이나 집행 등을 잠시 멈추는 결정이라고 설명했습니다. 이번에는 법원이 조치의 효력을 정지한 동안 학생부 기록을 어떻게 처리하는지 살펴보겠습니다.</w:t>
      </w:r>
    </w:p>
    <w:p>
      <w:r>
        <w:rPr>
          <w:b w:val="0"/>
        </w:rPr>
        <w:t>이 사건에서 학교폭력 조치를 받은 학생은 조치를 취소해 달라는 소송을 냈고, 집행정지도 함께 신청했습니다. 1심은 학생의 조치 취소 청구를 받아들였습니다. 조치를 내린 교육장이 이 판결에 항소하자, 학생은 항소심에도 집행정지를 신청했습니다.</w:t>
      </w:r>
    </w:p>
    <w:p>
      <w:r>
        <w:rPr>
          <w:b w:val="0"/>
        </w:rPr>
        <w:t>항소심 법원은 조치의 효력을 항소심 판결 선고 후 30일까지 정지했습니다. 교육장은 이 효력정지 결정에 불복해 대법원에 재항고했습니다. 대법원은 교육장의 재항고를 기각했고, 항소심의 효력정지 결정이 유지되었습니다.</w:t>
      </w:r>
    </w:p>
    <w:p>
      <w:r>
        <w:rPr>
          <w:b w:val="0"/>
        </w:rPr>
        <w:t>대법원은 조치의 효력이 정지되었다면 그 조치에 관한 학생부 기재도 즉시 삭제해야 한다고 보았습니다. 기록을 그대로 두고 집행정지 중이라고만 적으면, 그 기록으로 인해 진학 등에서 실질적인 불이익을 받을 수 있기 때문입니다. 나중에 최종적으로 조치가 취소되더라도 이미 놓친 진학 기회 등의 불이익을 되돌리기 어렵다면, 재판을 통해 권리를 구제받는 의미가 약해집니다.</w:t>
      </w:r>
    </w:p>
    <w:p>
      <w:r>
        <w:rPr>
          <w:b w:val="0"/>
        </w:rPr>
        <w:t>이것은 효력정지 결정에 따른 기록 처리입니다. 이후의 기록 처리는 정지기간과 후속 재판 결과 등에 따라 달라집니다. 그렇다면 법원은 어떤 사정을 비교해서 조치의 효력을 정지할지 결정할까요?</w:t>
      </w:r>
    </w:p>
    <w:p>
      <w:r>
        <w:br w:type="page"/>
      </w:r>
    </w:p>
    <w:p>
      <w:pPr>
        <w:pStyle w:val="Heading1"/>
      </w:pPr>
      <w:r>
        <w:t>6-09  집행정지에서 비교하는 손해와 공익</w:t>
      </w:r>
    </w:p>
    <w:p>
      <w:pPr>
        <w:pStyle w:val="Heading2"/>
      </w:pPr>
      <w:r>
        <w:t>PPT 구성안</w:t>
      </w:r>
    </w:p>
    <w:p>
      <w:r>
        <w:rPr>
          <w:b/>
        </w:rPr>
        <w:t xml:space="preserve">상단 문장  </w:t>
      </w:r>
      <w:r>
        <w:rPr>
          <w:b/>
        </w:rPr>
        <w:t>조치를 받은 학생의 손해와, 조치를 멈출 때 학생의 교육·폭력 예방에 미칠 영향을 함께 살펴야 한다.</w:t>
      </w:r>
    </w:p>
    <w:p>
      <w:r>
        <w:rPr>
          <w:b/>
        </w:rPr>
        <w:t xml:space="preserve">본문 맥락  </w:t>
      </w:r>
      <w:r>
        <w:rPr>
          <w:b w:val="0"/>
          <w:sz w:val="19"/>
        </w:rPr>
        <w:t>대법원 2025무565 · 학교폭력 조치의 효력정지에 관한 판단</w:t>
      </w:r>
    </w:p>
    <w:tbl>
      <w:tblPr>
        <w:tblW w:type="auto" w:w="0"/>
        <w:jc w:val="center"/>
        <w:tblLayout w:type="fixed"/>
        <w:tblLook w:firstColumn="1" w:firstRow="1" w:lastColumn="0" w:lastRow="0" w:noHBand="0" w:noVBand="1" w:val="04A0"/>
        <w:tblBorders>
          <w:top w:val="single" w:sz="4" w:color="D4DCE5"/>
          <w:bottom w:val="single" w:sz="4" w:color="D4DCE5"/>
          <w:left w:val="single" w:sz="4" w:color="D4DCE5"/>
          <w:right w:val="single" w:sz="4" w:color="D4DCE5"/>
          <w:insideH w:val="single" w:sz="4" w:color="D4DCE5"/>
          <w:insideV w:val="single" w:sz="4" w:color="D4DCE5"/>
        </w:tblBorders>
      </w:tblPr>
      <w:tblGrid>
        <w:gridCol w:w="1821"/>
        <w:gridCol w:w="8157"/>
      </w:tblGrid>
      <w:tr>
        <w:trPr>
          <w:cantSplit/>
          <w:tblHeader/>
        </w:trPr>
        <w:tc>
          <w:tcPr>
            <w:tcW w:type="dxa" w:w="1821"/>
            <w:vAlign w:val="center"/>
            <w:shd w:fill="25365A"/>
            <w:tcMar>
              <w:top w:w="90" w:type="dxa"/>
              <w:bottom w:w="90" w:type="dxa"/>
              <w:left w:w="105" w:type="dxa"/>
              <w:right w:w="105" w:type="dxa"/>
            </w:tcMar>
          </w:tcPr>
          <w:p>
            <w:pPr>
              <w:spacing w:after="0" w:line="257" w:lineRule="auto"/>
            </w:pPr>
            <w:r>
              <w:rPr>
                <w:b/>
                <w:color w:val="FFFFFF"/>
                <w:sz w:val="19"/>
              </w:rPr>
              <w:t>판단할 내용</w:t>
            </w:r>
          </w:p>
        </w:tc>
        <w:tc>
          <w:tcPr>
            <w:tcW w:type="dxa" w:w="8157"/>
            <w:vAlign w:val="center"/>
            <w:shd w:fill="25365A"/>
            <w:tcMar>
              <w:top w:w="90" w:type="dxa"/>
              <w:bottom w:w="90" w:type="dxa"/>
              <w:left w:w="105" w:type="dxa"/>
              <w:right w:w="105" w:type="dxa"/>
            </w:tcMar>
          </w:tcPr>
          <w:p>
            <w:pPr>
              <w:spacing w:after="0" w:line="257" w:lineRule="auto"/>
            </w:pPr>
            <w:r>
              <w:rPr>
                <w:b/>
                <w:color w:val="FFFFFF"/>
                <w:sz w:val="19"/>
              </w:rPr>
              <w:t>대법원이 제시한 고려 요소</w:t>
            </w:r>
          </w:p>
        </w:tc>
      </w:tr>
      <w:tr>
        <w:trPr>
          <w:cantSplit/>
        </w:trPr>
        <w:tc>
          <w:tcPr>
            <w:tcW w:type="dxa" w:w="1821"/>
            <w:vAlign w:val="center"/>
            <w:shd w:fill="FFFFFF"/>
            <w:tcMar>
              <w:top w:w="90" w:type="dxa"/>
              <w:bottom w:w="90" w:type="dxa"/>
              <w:left w:w="105" w:type="dxa"/>
              <w:right w:w="105" w:type="dxa"/>
            </w:tcMar>
          </w:tcPr>
          <w:p>
            <w:pPr>
              <w:spacing w:after="0" w:line="257" w:lineRule="auto"/>
            </w:pPr>
            <w:r>
              <w:rPr>
                <w:b/>
                <w:sz w:val="19"/>
              </w:rPr>
              <w:t>학생이 입을 손해</w:t>
            </w:r>
          </w:p>
        </w:tc>
        <w:tc>
          <w:tcPr>
            <w:tcW w:type="dxa" w:w="8157"/>
            <w:vAlign w:val="center"/>
            <w:shd w:fill="FFFFFF"/>
            <w:tcMar>
              <w:top w:w="90" w:type="dxa"/>
              <w:bottom w:w="90" w:type="dxa"/>
              <w:left w:w="105" w:type="dxa"/>
              <w:right w:w="105" w:type="dxa"/>
            </w:tcMar>
          </w:tcPr>
          <w:p>
            <w:pPr>
              <w:spacing w:after="0" w:line="257" w:lineRule="auto"/>
            </w:pPr>
            <w:r>
              <w:rPr>
                <w:sz w:val="19"/>
              </w:rPr>
              <w:t>조치를 받은 학생이 기록 때문에 진학 등에서 입을 불이익의 내용과 정도, 나중에 그 손해를 회복할 수 있는지를 살핀다.</w:t>
            </w:r>
          </w:p>
        </w:tc>
      </w:tr>
      <w:tr>
        <w:trPr>
          <w:cantSplit/>
        </w:trPr>
        <w:tc>
          <w:tcPr>
            <w:tcW w:type="dxa" w:w="1821"/>
            <w:vAlign w:val="center"/>
            <w:shd w:fill="F3F5F8"/>
            <w:tcMar>
              <w:top w:w="90" w:type="dxa"/>
              <w:bottom w:w="90" w:type="dxa"/>
              <w:left w:w="105" w:type="dxa"/>
              <w:right w:w="105" w:type="dxa"/>
            </w:tcMar>
          </w:tcPr>
          <w:p>
            <w:pPr>
              <w:spacing w:after="0" w:line="257" w:lineRule="auto"/>
            </w:pPr>
            <w:r>
              <w:rPr>
                <w:b/>
                <w:sz w:val="19"/>
              </w:rPr>
              <w:t>조치가 취소될 가능성</w:t>
            </w:r>
          </w:p>
        </w:tc>
        <w:tc>
          <w:tcPr>
            <w:tcW w:type="dxa" w:w="8157"/>
            <w:vAlign w:val="center"/>
            <w:shd w:fill="F3F5F8"/>
            <w:tcMar>
              <w:top w:w="90" w:type="dxa"/>
              <w:bottom w:w="90" w:type="dxa"/>
              <w:left w:w="105" w:type="dxa"/>
              <w:right w:w="105" w:type="dxa"/>
            </w:tcMar>
          </w:tcPr>
          <w:p>
            <w:pPr>
              <w:spacing w:after="0" w:line="257" w:lineRule="auto"/>
            </w:pPr>
            <w:r>
              <w:rPr>
                <w:sz w:val="19"/>
              </w:rPr>
              <w:t>학생이 낸 조치 취소소송에서 청구가 받아들여질 가능성을 고려한다.</w:t>
            </w:r>
          </w:p>
        </w:tc>
      </w:tr>
      <w:tr>
        <w:trPr>
          <w:cantSplit/>
        </w:trPr>
        <w:tc>
          <w:tcPr>
            <w:tcW w:type="dxa" w:w="1821"/>
            <w:vAlign w:val="center"/>
            <w:shd w:fill="FFFFFF"/>
            <w:tcMar>
              <w:top w:w="90" w:type="dxa"/>
              <w:bottom w:w="90" w:type="dxa"/>
              <w:left w:w="105" w:type="dxa"/>
              <w:right w:w="105" w:type="dxa"/>
            </w:tcMar>
          </w:tcPr>
          <w:p>
            <w:pPr>
              <w:spacing w:after="0" w:line="257" w:lineRule="auto"/>
            </w:pPr>
            <w:r>
              <w:rPr>
                <w:b/>
                <w:sz w:val="19"/>
              </w:rPr>
              <w:t>교육·예방의 필요</w:t>
            </w:r>
          </w:p>
        </w:tc>
        <w:tc>
          <w:tcPr>
            <w:tcW w:type="dxa" w:w="8157"/>
            <w:vAlign w:val="center"/>
            <w:shd w:fill="FFFFFF"/>
            <w:tcMar>
              <w:top w:w="90" w:type="dxa"/>
              <w:bottom w:w="90" w:type="dxa"/>
              <w:left w:w="105" w:type="dxa"/>
              <w:right w:w="105" w:type="dxa"/>
            </w:tcMar>
          </w:tcPr>
          <w:p>
            <w:pPr>
              <w:spacing w:after="0" w:line="257" w:lineRule="auto"/>
            </w:pPr>
            <w:r>
              <w:rPr>
                <w:sz w:val="19"/>
              </w:rPr>
              <w:t>폭력의 심각성, 가해학생의 교정·선도 필요, 기록을 통한 예방·재발방지 필요를 살핀다. 효력정지로 기록을 교육·선도와 상급학교 선발자료에 활용하기 어려워지는 영향도 고려한다.</w:t>
            </w:r>
          </w:p>
        </w:tc>
      </w:tr>
    </w:tbl>
    <w:p>
      <w:r>
        <w:rPr>
          <w:b w:val="0"/>
          <w:sz w:val="19"/>
        </w:rPr>
        <w:t>집행정지 요건: 회복하기 어려운 손해를 막을 긴급한 필요가 있고, 공공복리(공공의 이익)에 중대한 영향을 미칠 우려가 없어야 한다.</w:t>
      </w:r>
    </w:p>
    <w:p>
      <w:r>
        <w:rPr>
          <w:b w:val="0"/>
          <w:sz w:val="19"/>
        </w:rPr>
        <w:t>피해학생 의견: 결정 전에는 원칙적으로 피해학생 또는 보호자의 의견을 듣는다. 학교폭력예방법 제17조의4제1항</w:t>
      </w:r>
    </w:p>
    <w:p>
      <w:pPr>
        <w:pStyle w:val="Heading2"/>
      </w:pPr>
      <w:r>
        <w:t>낭독 대본</w:t>
      </w:r>
    </w:p>
    <w:p>
      <w:r>
        <w:rPr>
          <w:b w:val="0"/>
        </w:rPr>
        <w:t>같은 대법원 결정은 조치를 받은 학생이 입을 손해와 공공의 이익을 함께 살펴야 한다고 설명했습니다. 집행정지에는 회복하기 어려운 손해를 막을 긴급한 필요가 있어야 하고, 공공복리에 중대한 영향을 미칠 우려가 없어야 합니다. 여기서 공공복리는 학생의 교육과 선도, 학교폭력 예방 등 함께 보호해야 할 이익을 가리킵니다.</w:t>
      </w:r>
    </w:p>
    <w:p>
      <w:r>
        <w:rPr>
          <w:b w:val="0"/>
        </w:rPr>
        <w:t>먼저 학생부 기록이 유지될 때 학생이 진학 등에서 어떤 불이익을 입는지 살핍니다. 그 불이익이 얼마나 큰지, 나중에 조치가 취소되어도 손해를 회복할 수 있는지를 보는 것입니다. 학생이 낸 조치 취소소송에서 청구가 받아들여질 가능성도 고려합니다.</w:t>
      </w:r>
    </w:p>
    <w:p>
      <w:r>
        <w:rPr>
          <w:b w:val="0"/>
        </w:rPr>
        <w:t>조치의 효력이 정지되어 기록이 삭제될 때 생기는 영향도 있습니다. 그동안 교사가 기록을 학생의 교육과 선도에 활용하기 어렵고, 상급학교도 학생 선발자료로 활용하지 못하게 됩니다. 대법원은 폭력의 심각성, 학생의 교정과 선도 필요, 기록을 통한 폭력 예방과 재발방지의 필요 등을 사건별로 함께 살피도록 했습니다.</w:t>
      </w:r>
    </w:p>
    <w:p>
      <w:r>
        <w:rPr>
          <w:b w:val="0"/>
        </w:rPr>
        <w:t>피해학생 측의 의견도 들어야 합니다. 4장에서 살펴본 것처럼 집행정지 결정 전에는 원칙적으로 피해학생 또는 보호자의 의견을 듣습니다. 이 사건에서는 1심이 보호자의 의견서를 받았고, 대법원은 같은 조치의 후속 집행정지에서는 특별한 사정이 없으면 다시 듣지 않을 수 있다고 보았습니다. 집행정지가 받아들여진 뒤에도 피해학생과 보호자는 학교장에게 분리를 요청할 수 있습니다.</w:t>
      </w:r>
    </w:p>
    <w:p>
      <w:r>
        <w:rPr>
          <w:b w:val="0"/>
        </w:rPr>
        <w:t>이처럼 잘못된 조치를 다툴 기회와 피해학생 보호, 교육과 예방의 필요를 함께 고려해야 합니다. 이제 이러한 절차까지 포함해, 교내 폭력을 더 무겁게 다루자는 주장에서 무엇을 판단해야 하는지 정리하겠습니다.</w:t>
      </w:r>
    </w:p>
    <w:p>
      <w:r>
        <w:br w:type="page"/>
      </w:r>
    </w:p>
    <w:p>
      <w:pPr>
        <w:pStyle w:val="Heading1"/>
      </w:pPr>
      <w:r>
        <w:t>6-10  가중할 범위와 제재의 한도</w:t>
      </w:r>
    </w:p>
    <w:p>
      <w:pPr>
        <w:pStyle w:val="Heading2"/>
      </w:pPr>
      <w:r>
        <w:t>PPT 구성안</w:t>
      </w:r>
    </w:p>
    <w:p>
      <w:r>
        <w:rPr>
          <w:b/>
        </w:rPr>
        <w:t xml:space="preserve">하단 질문  </w:t>
      </w:r>
      <w:r>
        <w:rPr>
          <w:b/>
        </w:rPr>
        <w:t>교내 발생은 더 무거운 제재의 근거가 될 수 있는가? 그렇다면 그 한도는 어디까지인가?</w:t>
      </w:r>
    </w:p>
    <w:tbl>
      <w:tblPr>
        <w:tblW w:type="auto" w:w="0"/>
        <w:jc w:val="center"/>
        <w:tblLayout w:type="fixed"/>
        <w:tblLook w:firstColumn="1" w:firstRow="1" w:lastColumn="0" w:lastRow="0" w:noHBand="0" w:noVBand="1" w:val="04A0"/>
        <w:tblBorders>
          <w:top w:val="single" w:sz="4" w:color="D4DCE5"/>
          <w:bottom w:val="single" w:sz="4" w:color="D4DCE5"/>
          <w:left w:val="single" w:sz="4" w:color="D4DCE5"/>
          <w:right w:val="single" w:sz="4" w:color="D4DCE5"/>
          <w:insideH w:val="single" w:sz="4" w:color="D4DCE5"/>
          <w:insideV w:val="single" w:sz="4" w:color="D4DCE5"/>
        </w:tblBorders>
      </w:tblPr>
      <w:tblGrid>
        <w:gridCol w:w="1821"/>
        <w:gridCol w:w="8157"/>
      </w:tblGrid>
      <w:tr>
        <w:trPr>
          <w:cantSplit/>
          <w:tblHeader/>
        </w:trPr>
        <w:tc>
          <w:tcPr>
            <w:tcW w:type="dxa" w:w="1821"/>
            <w:vAlign w:val="center"/>
            <w:shd w:fill="25365A"/>
            <w:tcMar>
              <w:top w:w="90" w:type="dxa"/>
              <w:bottom w:w="90" w:type="dxa"/>
              <w:left w:w="105" w:type="dxa"/>
              <w:right w:w="105" w:type="dxa"/>
            </w:tcMar>
          </w:tcPr>
          <w:p>
            <w:pPr>
              <w:spacing w:after="0" w:line="257" w:lineRule="auto"/>
            </w:pPr>
            <w:r>
              <w:rPr>
                <w:b/>
                <w:color w:val="FFFFFF"/>
                <w:sz w:val="19"/>
              </w:rPr>
              <w:t>정할 내용</w:t>
            </w:r>
          </w:p>
        </w:tc>
        <w:tc>
          <w:tcPr>
            <w:tcW w:type="dxa" w:w="8157"/>
            <w:vAlign w:val="center"/>
            <w:shd w:fill="25365A"/>
            <w:tcMar>
              <w:top w:w="90" w:type="dxa"/>
              <w:bottom w:w="90" w:type="dxa"/>
              <w:left w:w="105" w:type="dxa"/>
              <w:right w:w="105" w:type="dxa"/>
            </w:tcMar>
          </w:tcPr>
          <w:p>
            <w:pPr>
              <w:spacing w:after="0" w:line="257" w:lineRule="auto"/>
            </w:pPr>
            <w:r>
              <w:rPr>
                <w:b/>
                <w:color w:val="FFFFFF"/>
                <w:sz w:val="19"/>
              </w:rPr>
              <w:t>앞의 자료에서 확인할 질문</w:t>
            </w:r>
          </w:p>
        </w:tc>
      </w:tr>
      <w:tr>
        <w:trPr>
          <w:cantSplit/>
        </w:trPr>
        <w:tc>
          <w:tcPr>
            <w:tcW w:type="dxa" w:w="1821"/>
            <w:vAlign w:val="center"/>
            <w:shd w:fill="FFFFFF"/>
            <w:tcMar>
              <w:top w:w="90" w:type="dxa"/>
              <w:bottom w:w="90" w:type="dxa"/>
              <w:left w:w="105" w:type="dxa"/>
              <w:right w:w="105" w:type="dxa"/>
            </w:tcMar>
          </w:tcPr>
          <w:p>
            <w:pPr>
              <w:spacing w:after="0" w:line="257" w:lineRule="auto"/>
            </w:pPr>
            <w:r>
              <w:rPr>
                <w:b/>
                <w:sz w:val="19"/>
              </w:rPr>
              <w:t>가중할 사건</w:t>
            </w:r>
          </w:p>
        </w:tc>
        <w:tc>
          <w:tcPr>
            <w:tcW w:type="dxa" w:w="8157"/>
            <w:vAlign w:val="center"/>
            <w:shd w:fill="FFFFFF"/>
            <w:tcMar>
              <w:top w:w="90" w:type="dxa"/>
              <w:bottom w:w="90" w:type="dxa"/>
              <w:left w:w="105" w:type="dxa"/>
              <w:right w:w="105" w:type="dxa"/>
            </w:tcMar>
          </w:tcPr>
          <w:p>
            <w:pPr>
              <w:spacing w:after="0" w:line="257" w:lineRule="auto"/>
            </w:pPr>
            <w:r>
              <w:rPr>
                <w:sz w:val="19"/>
              </w:rPr>
              <w:t>학교 안에서 발생했다는 이유로 더 무겁게 처벌할 필요가 있는가? 학교 밖의 유사한 피해와 교외 교육활동 중 사건은 어떻게 평가할 것인가?</w:t>
            </w:r>
          </w:p>
        </w:tc>
      </w:tr>
      <w:tr>
        <w:trPr>
          <w:cantSplit/>
        </w:trPr>
        <w:tc>
          <w:tcPr>
            <w:tcW w:type="dxa" w:w="1821"/>
            <w:vAlign w:val="center"/>
            <w:shd w:fill="F3F5F8"/>
            <w:tcMar>
              <w:top w:w="90" w:type="dxa"/>
              <w:bottom w:w="90" w:type="dxa"/>
              <w:left w:w="105" w:type="dxa"/>
              <w:right w:w="105" w:type="dxa"/>
            </w:tcMar>
          </w:tcPr>
          <w:p>
            <w:pPr>
              <w:spacing w:after="0" w:line="257" w:lineRule="auto"/>
            </w:pPr>
            <w:r>
              <w:rPr>
                <w:b/>
                <w:sz w:val="19"/>
              </w:rPr>
              <w:t>제재의 내용과 정도</w:t>
            </w:r>
          </w:p>
        </w:tc>
        <w:tc>
          <w:tcPr>
            <w:tcW w:type="dxa" w:w="8157"/>
            <w:vAlign w:val="center"/>
            <w:shd w:fill="F3F5F8"/>
            <w:tcMar>
              <w:top w:w="90" w:type="dxa"/>
              <w:bottom w:w="90" w:type="dxa"/>
              <w:left w:w="105" w:type="dxa"/>
              <w:right w:w="105" w:type="dxa"/>
            </w:tcMar>
          </w:tcPr>
          <w:p>
            <w:pPr>
              <w:spacing w:after="0" w:line="257" w:lineRule="auto"/>
            </w:pPr>
            <w:r>
              <w:rPr>
                <w:sz w:val="19"/>
              </w:rPr>
              <w:t>형벌·소년보호처분·학교의 가해학생 조치 중 무엇을 강화하려는가? 행동 제한, 사과 명령, 기록과 진학의 부담은 보호·교육 목적에 비추어 필요한 정도인가?</w:t>
            </w:r>
          </w:p>
        </w:tc>
      </w:tr>
      <w:tr>
        <w:trPr>
          <w:cantSplit/>
        </w:trPr>
        <w:tc>
          <w:tcPr>
            <w:tcW w:type="dxa" w:w="1821"/>
            <w:vAlign w:val="center"/>
            <w:shd w:fill="FFFFFF"/>
            <w:tcMar>
              <w:top w:w="90" w:type="dxa"/>
              <w:bottom w:w="90" w:type="dxa"/>
              <w:left w:w="105" w:type="dxa"/>
              <w:right w:w="105" w:type="dxa"/>
            </w:tcMar>
          </w:tcPr>
          <w:p>
            <w:pPr>
              <w:spacing w:after="0" w:line="257" w:lineRule="auto"/>
            </w:pPr>
            <w:r>
              <w:rPr>
                <w:b/>
                <w:sz w:val="19"/>
              </w:rPr>
              <w:t>판단과 불복 절차</w:t>
            </w:r>
          </w:p>
        </w:tc>
        <w:tc>
          <w:tcPr>
            <w:tcW w:type="dxa" w:w="8157"/>
            <w:vAlign w:val="center"/>
            <w:shd w:fill="FFFFFF"/>
            <w:tcMar>
              <w:top w:w="90" w:type="dxa"/>
              <w:bottom w:w="90" w:type="dxa"/>
              <w:left w:w="105" w:type="dxa"/>
              <w:right w:w="105" w:type="dxa"/>
            </w:tcMar>
          </w:tcPr>
          <w:p>
            <w:pPr>
              <w:spacing w:after="0" w:line="257" w:lineRule="auto"/>
            </w:pPr>
            <w:r>
              <w:rPr>
                <w:sz w:val="19"/>
              </w:rPr>
              <w:t>학생의 의견과 사건의 사정을 충분히 듣고, 잘못된 조치를 다툴 기회를 보장하는가? 그 과정에서 피해학생 보호와 교육·예방의 필요를 어떻게 충족할 것인가?</w:t>
            </w:r>
          </w:p>
        </w:tc>
      </w:tr>
    </w:tbl>
    <w:p>
      <w:pPr>
        <w:pStyle w:val="Heading2"/>
      </w:pPr>
      <w:r>
        <w:t>낭독 대본</w:t>
      </w:r>
    </w:p>
    <w:p>
      <w:r>
        <w:rPr>
          <w:b w:val="0"/>
        </w:rPr>
        <w:t>6장에서는 어떤 사건을 더 무겁게 다룰지, 그 제재가 학생에게 어떤 부담을 주는지, 잘못된 조치는 어떻게 다툴 수 있는지 살펴봤습니다. 이를 오늘 논제에 연결하면 세 가지 질문으로 정리할 수 있습니다.</w:t>
      </w:r>
    </w:p>
    <w:p>
      <w:r>
        <w:rPr>
          <w:b w:val="0"/>
        </w:rPr>
        <w:t>첫째는 교내 발생을 더 무거운 처벌의 이유로 삼을 필요가 있는지입니다. 국내 토론회에서는 학교라는 장소나 교육활동을 기준으로 법을 적용할 사건을 한정할 때, 그 밖의 사건을 어떻게 처리할 것인지가 문제로 제기됐습니다. 위스콘신 판결에서는 학교와 주변 지역의 안전을 함께 보호한다는 이유로 장소에 따른 형 가중을 인정했습니다. 우리 논제에서도 학교 안팎의 유사한 위험과 피해를 비교해야 합니다.</w:t>
      </w:r>
    </w:p>
    <w:p>
      <w:r>
        <w:rPr>
          <w:b w:val="0"/>
        </w:rPr>
        <w:t>둘째는 구체적으로 어떤 제재를 얼마나 강화할 것인지입니다. 1장에서 구분한 형벌, 소년보호처분, 학교의 가해학생 조치는 법적 성격이 다릅니다. 무엇을 강화하는지에 따라 학생이 받는 제한과 부담도 달라집니다. 서면사과에서는 사과를 강제하는 문제가, 학생부 기록에서는 조치가 끝난 뒤에도 진학에 영향을 줄 수 있다는 문제가 드러났습니다.</w:t>
      </w:r>
    </w:p>
    <w:p>
      <w:r>
        <w:rPr>
          <w:b w:val="0"/>
        </w:rPr>
        <w:t>셋째는 판단과 불복의 절차입니다. 학생의 의견과 사건의 사정을 충분히 듣고, 잘못된 조치를 다툴 기회를 보장해야 합니다. 그 과정에서도 피해학생 보호와 교육·예방의 필요를 함께 살펴야 합니다.</w:t>
      </w:r>
    </w:p>
    <w:p>
      <w:r>
        <w:rPr>
          <w:b w:val="0"/>
        </w:rPr>
        <w:t>다음 7장에서는 지금까지 살펴본 법과 피해 경험, 학교의 보호 역할, 제재와 교육의 효과, 학생의 권리를 쟁점별로 모으겠습니다. 각 쟁점에서 서로 다른 입장이 어떤 주장과 근거를 제시할 수 있는지 살펴보겠습니다.</w:t>
      </w:r>
    </w:p>
    <w:sectPr w:rsidR="00FC693F" w:rsidRPr="0006063C" w:rsidSect="00034616">
      <w:headerReference w:type="default" r:id="rId9"/>
      <w:footerReference w:type="default" r:id="rId10"/>
      <w:pgSz w:w="11906" w:h="16838"/>
      <w:pgMar w:top="850" w:right="964" w:bottom="822" w:left="964"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PPT 구성안 · 2026.10.07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6475"/>
        <w:sz w:val="16"/>
      </w:rPr>
      <w:t>7주차 학교폭력   ·   6장 처벌을 달리할 기준과 학생의 권리</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00"/>
    </w:pPr>
    <w:rPr>
      <w:rFonts w:ascii="Pretendard" w:hAnsi="Pretendard" w:eastAsia="Pretendard"/>
      <w:color w:val="202A3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00" w:line="264" w:lineRule="auto"/>
      <w:outlineLvl w:val="0"/>
    </w:pPr>
    <w:rPr>
      <w:rFonts w:asciiTheme="majorHAnsi" w:eastAsiaTheme="majorEastAsia" w:hAnsiTheme="majorHAnsi" w:cstheme="majorBidi" w:ascii="Pretendard" w:hAnsi="Pretendard" w:eastAsia="Pretendard"/>
      <w:b/>
      <w:bCs/>
      <w:color w:val="25365A"/>
      <w:sz w:val="34"/>
      <w:szCs w:val="28"/>
    </w:rPr>
  </w:style>
  <w:style w:type="paragraph" w:styleId="Heading2">
    <w:name w:val="heading 2"/>
    <w:basedOn w:val="Normal"/>
    <w:next w:val="Normal"/>
    <w:link w:val="Heading2Char"/>
    <w:uiPriority w:val="9"/>
    <w:unhideWhenUsed/>
    <w:qFormat/>
    <w:rsid w:val="00FC693F"/>
    <w:pPr>
      <w:keepNext/>
      <w:keepLines/>
      <w:spacing w:before="120" w:after="100" w:line="264" w:lineRule="auto"/>
      <w:outlineLvl w:val="1"/>
    </w:pPr>
    <w:rPr>
      <w:rFonts w:asciiTheme="majorHAnsi" w:eastAsiaTheme="majorEastAsia" w:hAnsiTheme="majorHAnsi" w:cstheme="majorBidi" w:ascii="Pretendard" w:hAnsi="Pretendard" w:eastAsia="Pretendard"/>
      <w:b/>
      <w:bCs/>
      <w:color w:val="25365A"/>
      <w:sz w:val="23"/>
      <w:szCs w:val="26"/>
    </w:rPr>
  </w:style>
  <w:style w:type="paragraph" w:styleId="Heading3">
    <w:name w:val="heading 3"/>
    <w:basedOn w:val="Normal"/>
    <w:next w:val="Normal"/>
    <w:link w:val="Heading3Char"/>
    <w:uiPriority w:val="9"/>
    <w:unhideWhenUsed/>
    <w:qFormat/>
    <w:rsid w:val="00FC693F"/>
    <w:pPr>
      <w:keepNext/>
      <w:keepLines/>
      <w:spacing w:before="120" w:after="100" w:line="264" w:lineRule="auto"/>
      <w:outlineLvl w:val="2"/>
    </w:pPr>
    <w:rPr>
      <w:rFonts w:asciiTheme="majorHAnsi" w:eastAsiaTheme="majorEastAsia" w:hAnsiTheme="majorHAnsi" w:cstheme="majorBidi" w:ascii="Pretendard" w:hAnsi="Pretendard" w:eastAsia="Pretendard"/>
      <w:b/>
      <w:bCs/>
      <w:color w:val="25365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64" w:lineRule="auto"/>
      <w:contextualSpacing/>
    </w:pPr>
    <w:rPr>
      <w:rFonts w:asciiTheme="majorHAnsi" w:eastAsiaTheme="majorEastAsia" w:hAnsiTheme="majorHAnsi" w:cstheme="majorBidi" w:ascii="Pretendard" w:hAnsi="Pretendard" w:eastAsia="Pretendard"/>
      <w:color w:val="202A3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64" w:lineRule="auto" w:after="100"/>
    </w:pPr>
    <w:rPr>
      <w:rFonts w:asciiTheme="majorHAnsi" w:eastAsiaTheme="majorEastAsia" w:hAnsiTheme="majorHAnsi" w:cstheme="majorBidi" w:ascii="Pretendard" w:hAnsi="Pretendard" w:eastAsia="Pretendard"/>
      <w:i/>
      <w:iCs/>
      <w:color w:val="202A3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00"/>
    </w:pPr>
    <w:rPr>
      <w:rFonts w:ascii="Pretendard" w:hAnsi="Pretendard" w:eastAsia="Pretendard"/>
      <w:b/>
      <w:bCs/>
      <w:color w:val="202A3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7주차 6장 PPT 구성안과 낭독 대본</dc:title>
  <dc:subject>처벌을 달리할 기준과 학생의 권리 · 10개 화면</dc:subject>
  <dc:creator/>
  <cp:keywords/>
  <dc:description>화면·대본은 2026-10-07 검토본. 출처·상세자료·검수기록은 별도 인수인계 묶음에 보존. 실제 PPTX 아님.</dc:description>
  <cp:lastModifiedBy/>
  <cp:revision>1</cp:revision>
  <dcterms:created xsi:type="dcterms:W3CDTF">2013-12-23T23:15:00Z</dcterms:created>
  <dcterms:modified xsi:type="dcterms:W3CDTF">2013-12-23T23:15:00Z</dcterms:modified>
  <cp:category/>
</cp:coreProperties>
</file>