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공공 CCTV AI 실시간 식별</w:t>
        <w:br/>
        <w:t>자료조사 보완본</w:t>
      </w:r>
    </w:p>
    <w:p>
      <w:pPr>
        <w:pStyle w:val="Subtitle"/>
      </w:pPr>
      <w:r>
        <w:t>국내 근거와 쟁점별 논증을 연결하는 읽기 안내</w:t>
      </w:r>
    </w:p>
    <w:p>
      <w:r>
        <w:t>2026년 10월 8일  ·  국내 39건 / 국외 17건</w:t>
      </w:r>
    </w:p>
    <w:p>
      <w:r>
        <w:rPr>
          <w:b/>
        </w:rPr>
        <w:t>논제</w:t>
      </w:r>
      <w:r>
        <w:t xml:space="preserve">  범죄 용의자를 식별·체포하기 위해 공공 CCTV 영상을 AI로 실시간 분석하는 것을 허용하여야 하는가?</w:t>
      </w:r>
    </w:p>
    <w:p>
      <w:r>
        <w:t>이번 보완에서는 국내 법률·행정 판단·운영 원표를 추가하고, 국제 권고와 영국 판결을 대조했다. 자료대장은 56항목이며 각 자료에 실제 확인수준과 위치를 표시했다.</w:t>
      </w:r>
    </w:p>
    <w:p>
      <w:pPr>
        <w:pStyle w:val="Heading2"/>
      </w:pPr>
      <w:r>
        <w:t>이번에 달라진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보완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새로 설명할 수 있는 내용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D18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출입국 심사 목적 내 학습·관리감독하의 처리위탁 인정과 위탁 미공개 제재를 분리.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D38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재난·사고 관제 목적의 AI 분석 권한과 최소처리·목적 제한을 함께 반영.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D39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2023년 제주 센터 예산·인력과 요원 설문의 응답 분모를 명시.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D03·D35·D37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연구원 공식 소개, 국내 논문 결론, 인권위 해설의 감독·영향평가·구제 조건 반영.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F16·F03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유엔 원문 §59(d)와 영국 판결 §17을 통해 유예 조건과 접촉 단계의 부담을 구체화.</w:t>
            </w:r>
          </w:p>
        </w:tc>
      </w:tr>
    </w:tbl>
    <w:p>
      <w:pPr>
        <w:spacing w:after="140"/>
      </w:pPr>
      <w:hyperlink r:id="rId11">
        <w:r>
          <w:rPr>
            <w:color w:val="174C7A"/>
            <w:rFonts w:eastAsia="Pretendard"/>
            <w:sz w:val="19"/>
          </w:rPr>
          <w:t>D18</w:t>
        </w:r>
      </w:hyperlink>
      <w:r>
        <w:t xml:space="preserve">  ·  </w:t>
      </w:r>
      <w:hyperlink r:id="rId12">
        <w:r>
          <w:rPr>
            <w:color w:val="174C7A"/>
            <w:rFonts w:eastAsia="Pretendard"/>
            <w:sz w:val="19"/>
          </w:rPr>
          <w:t>D38</w:t>
        </w:r>
      </w:hyperlink>
      <w:r>
        <w:t xml:space="preserve">  ·  </w:t>
      </w:r>
      <w:hyperlink r:id="rId13">
        <w:r>
          <w:rPr>
            <w:color w:val="174C7A"/>
            <w:rFonts w:eastAsia="Pretendard"/>
            <w:sz w:val="19"/>
          </w:rPr>
          <w:t>D39</w:t>
        </w:r>
      </w:hyperlink>
      <w:r>
        <w:t xml:space="preserve">  ·  </w:t>
      </w:r>
      <w:hyperlink r:id="rId14">
        <w:r>
          <w:rPr>
            <w:color w:val="174C7A"/>
            <w:rFonts w:eastAsia="Pretendard"/>
            <w:sz w:val="19"/>
          </w:rPr>
          <w:t>D37</w:t>
        </w:r>
      </w:hyperlink>
      <w:r>
        <w:t xml:space="preserve">  ·  </w:t>
      </w:r>
      <w:hyperlink r:id="rId15">
        <w:r>
          <w:rPr>
            <w:color w:val="174C7A"/>
            <w:rFonts w:eastAsia="Pretendard"/>
            <w:sz w:val="19"/>
          </w:rPr>
          <w:t>F16</w:t>
        </w:r>
      </w:hyperlink>
    </w:p>
    <w:p>
      <w:pPr>
        <w:pStyle w:val="Heading2"/>
      </w:pPr>
      <w:r>
        <w:t>자료를 읽는 기준</w:t>
      </w:r>
    </w:p>
    <w:p>
      <w:r>
        <w:t>재난·사건 탐지, 인상착의 검색, 실시간 생체 신원식별은 처리 목적과 결과가 다르다. 이 조사의 중심은 통행인의 얼굴을 감시명단과 1:N으로 대조해 특정인을 찾는 실시간 생체식별이다.</w:t>
      </w:r>
    </w:p>
    <w:p>
      <w:r>
        <w:t>확인수준은 관련 원문, 공식 요약·발표, 논문 초록, 행사·목차·색인 등으로 나눴다. 전체 링크와 검토 메모는 자료조사 MD 및 CSV에 수록했다.</w:t>
      </w:r>
    </w:p>
    <w:p>
      <w:r>
        <w:rPr>
          <w:b/>
        </w:rPr>
        <w:t>적용 지침</w:t>
      </w:r>
      <w:r>
        <w:t xml:space="preserve">  lecture 7b9d65f, 한국시각 2026-10-08 08:41. 자료의 대상·조건·결과를 구체적으로 설명하는 최신 작성 원칙을 반영했다.</w:t>
      </w:r>
    </w:p>
    <w:p>
      <w:hyperlink r:id="rId16">
        <w:r>
          <w:rPr>
            <w:color w:val="174C7A"/>
            <w:rFonts w:eastAsia="Pretendard"/>
            <w:sz w:val="19"/>
          </w:rPr>
          <w:t>적용한 저장소 커밋</w:t>
        </w:r>
      </w:hyperlink>
    </w:p>
    <w:p>
      <w:pPr>
        <w:pStyle w:val="Heading1"/>
        <w:pageBreakBefore/>
      </w:pPr>
      <w:r>
        <w:t>1. 국내 논의의 입장과 확인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자료·논의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핵심 내용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D02</w:t>
              <w:br/>
              <w:t>경기도 인권배심회의 / 2025-08-27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중범죄 대응 실시간 원격 얼굴인식의 조건부 활용을 지지하는 결과 발표.</w:t>
              <w:br/>
              <w:t>공식 보도 본문; 발언록·평결 원표 미확보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D01·D37</w:t>
              <w:br/>
              <w:t>인권위 권고·해설 / 2023; 정부 회신 / 2024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법제 마련 전 도입 유보, 공공장소 원칙적 금지, 독립적 영향평가를 제시.</w:t>
              <w:br/>
              <w:t>권고 수용 발표·해설 본문; 결정문 전문 미확보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D03·D04</w:t>
              <w:br/>
              <w:t>헌법재판연구원 연구 / 2025-02; 영남대 학술대회 / 2025-04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연구 소개는 법률유보·비례·적법절차와 감독·구제를 제안. 학술대회 송영진 발제·이진형 토론 확인.</w:t>
              <w:br/>
              <w:t>연구 소개·목차·행사 공지; 첨부 전문 미확보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D05</w:t>
              <w:br/>
              <w:t>국회 통합관제센터 토론회 / 2019-12-10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국회·경찰·지자체·기업·시민사회의 제도 개선 논의 경로.</w:t>
              <w:br/>
              <w:t>프로그램·서지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D28·D36</w:t>
              <w:br/>
              <w:t>법집행 얼굴인식 간담회·연구 / 2020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시민사회 보고서는 무차별 감시 금지·유예·긴급 예외를 제안.</w:t>
              <w:br/>
              <w:t>간담회 안내와 보고서 관련 부분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D06</w:t>
              <w:br/>
              <w:t>인권위 CCTV와 인권 토론회 / 2003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일반 CCTV의 범죄예방 필요성과 공개장소 기본권을 논의.</w:t>
              <w:br/>
              <w:t>자료집의 프로그램·문제 제기 부분</w:t>
            </w:r>
          </w:p>
        </w:tc>
      </w:tr>
    </w:tbl>
    <w:p>
      <w:pPr>
        <w:spacing w:after="140"/>
      </w:pPr>
      <w:hyperlink r:id="rId17">
        <w:r>
          <w:rPr>
            <w:color w:val="174C7A"/>
            <w:rFonts w:eastAsia="Pretendard"/>
            <w:sz w:val="19"/>
          </w:rPr>
          <w:t>D02</w:t>
        </w:r>
      </w:hyperlink>
      <w:r>
        <w:t xml:space="preserve">  ·  </w:t>
      </w:r>
      <w:hyperlink r:id="rId18">
        <w:r>
          <w:rPr>
            <w:color w:val="174C7A"/>
            <w:rFonts w:eastAsia="Pretendard"/>
            <w:sz w:val="19"/>
          </w:rPr>
          <w:t>D01</w:t>
        </w:r>
      </w:hyperlink>
      <w:r>
        <w:t xml:space="preserve">  ·  </w:t>
      </w:r>
      <w:hyperlink r:id="rId14">
        <w:r>
          <w:rPr>
            <w:color w:val="174C7A"/>
            <w:rFonts w:eastAsia="Pretendard"/>
            <w:sz w:val="19"/>
          </w:rPr>
          <w:t>D37</w:t>
        </w:r>
      </w:hyperlink>
      <w:r>
        <w:t xml:space="preserve">  ·  </w:t>
      </w:r>
      <w:hyperlink r:id="rId19">
        <w:r>
          <w:rPr>
            <w:color w:val="174C7A"/>
            <w:rFonts w:eastAsia="Pretendard"/>
            <w:sz w:val="19"/>
          </w:rPr>
          <w:t>D03</w:t>
        </w:r>
      </w:hyperlink>
      <w:r>
        <w:t xml:space="preserve">  ·  </w:t>
      </w:r>
      <w:hyperlink r:id="rId20">
        <w:r>
          <w:rPr>
            <w:color w:val="174C7A"/>
            <w:rFonts w:eastAsia="Pretendard"/>
            <w:sz w:val="19"/>
          </w:rPr>
          <w:t>D04</w:t>
        </w:r>
      </w:hyperlink>
      <w:r>
        <w:t xml:space="preserve">  ·  </w:t>
      </w:r>
      <w:hyperlink r:id="rId21">
        <w:r>
          <w:rPr>
            <w:color w:val="174C7A"/>
            <w:rFonts w:eastAsia="Pretendard"/>
            <w:sz w:val="19"/>
          </w:rPr>
          <w:t>D05</w:t>
        </w:r>
      </w:hyperlink>
      <w:r>
        <w:t xml:space="preserve">  ·  </w:t>
      </w:r>
      <w:hyperlink r:id="rId22">
        <w:r>
          <w:rPr>
            <w:color w:val="174C7A"/>
            <w:rFonts w:eastAsia="Pretendard"/>
            <w:sz w:val="19"/>
          </w:rPr>
          <w:t>D28</w:t>
        </w:r>
      </w:hyperlink>
      <w:r>
        <w:t xml:space="preserve">  ·  </w:t>
      </w:r>
      <w:hyperlink r:id="rId23">
        <w:r>
          <w:rPr>
            <w:color w:val="174C7A"/>
            <w:rFonts w:eastAsia="Pretendard"/>
            <w:sz w:val="19"/>
          </w:rPr>
          <w:t>D36</w:t>
        </w:r>
      </w:hyperlink>
      <w:r>
        <w:t xml:space="preserve">  ·  </w:t>
      </w:r>
      <w:hyperlink r:id="rId24">
        <w:r>
          <w:rPr>
            <w:color w:val="174C7A"/>
            <w:rFonts w:eastAsia="Pretendard"/>
            <w:sz w:val="19"/>
          </w:rPr>
          <w:t>D06</w:t>
        </w:r>
      </w:hyperlink>
    </w:p>
    <w:p>
      <w:pPr>
        <w:pStyle w:val="Heading2"/>
      </w:pPr>
      <w:r>
        <w:t>권고와 연구에서 찾은 구체적 조건</w:t>
      </w:r>
    </w:p>
    <w:p>
      <w:pPr>
        <w:spacing w:after="140"/>
      </w:pPr>
      <w:r>
        <w:t>인권위 해설은 도입 전 독립적 인권영향평가와 중대한 용도 변경 시 재평가를 제시한다. 헌법재판연구원의 공식 소개는 법률유보·비례·적법절차와 독립 감독·사후 구제를 제안한다.</w:t>
      </w:r>
      <w:r>
        <w:t xml:space="preserve">  </w:t>
      </w:r>
      <w:hyperlink r:id="rId14">
        <w:r>
          <w:rPr>
            <w:color w:val="174C7A"/>
            <w:rFonts w:eastAsia="Pretendard"/>
            <w:sz w:val="19"/>
          </w:rPr>
          <w:t>D37</w:t>
        </w:r>
      </w:hyperlink>
      <w:r>
        <w:t xml:space="preserve">  ·  </w:t>
      </w:r>
      <w:hyperlink r:id="rId19">
        <w:r>
          <w:rPr>
            <w:color w:val="174C7A"/>
            <w:rFonts w:eastAsia="Pretendard"/>
            <w:sz w:val="19"/>
          </w:rPr>
          <w:t>D03</w:t>
        </w:r>
      </w:hyperlink>
    </w:p>
    <w:p>
      <w:pPr>
        <w:spacing w:after="140"/>
      </w:pPr>
      <w:r>
        <w:t>주민호·정태옥은 대상자와 일반 시민 각각의 자유 제한을 심사하는 논점을 제시한다. 이민영의 초록은 실시간 사용의 법률상 금지와 사후 검색의 영장·보관 제한을 제안한다. 토론에서는 이 입장들을 경기도 숙의의 조건부 활용 결론과 비교할 수 있다.</w:t>
      </w:r>
      <w:r>
        <w:t xml:space="preserve">  </w:t>
      </w:r>
      <w:hyperlink r:id="rId25">
        <w:r>
          <w:rPr>
            <w:color w:val="174C7A"/>
            <w:rFonts w:eastAsia="Pretendard"/>
            <w:sz w:val="19"/>
          </w:rPr>
          <w:t>D35</w:t>
        </w:r>
      </w:hyperlink>
      <w:r>
        <w:t xml:space="preserve">  ·  </w:t>
      </w:r>
      <w:hyperlink r:id="rId26">
        <w:r>
          <w:rPr>
            <w:color w:val="174C7A"/>
            <w:rFonts w:eastAsia="Pretendard"/>
            <w:sz w:val="19"/>
          </w:rPr>
          <w:t>D24</w:t>
        </w:r>
      </w:hyperlink>
      <w:r>
        <w:t xml:space="preserve">  ·  </w:t>
      </w:r>
      <w:hyperlink r:id="rId17">
        <w:r>
          <w:rPr>
            <w:color w:val="174C7A"/>
            <w:rFonts w:eastAsia="Pretendard"/>
            <w:sz w:val="19"/>
          </w:rPr>
          <w:t>D02</w:t>
        </w:r>
      </w:hyperlink>
    </w:p>
    <w:p>
      <w:pPr>
        <w:pStyle w:val="Heading1"/>
        <w:pageBreakBefore/>
      </w:pPr>
      <w:r>
        <w:t>2. 법적 근거를 처리 단계별로 읽기</w:t>
      </w:r>
    </w:p>
    <w:p>
      <w:pPr>
        <w:spacing w:after="140"/>
      </w:pPr>
      <w:r>
        <w:t>재난안전법 제74조의5는 센터 운영과 AI 영상분석을 규정하면서 최소 개인정보 처리와 목적 제한을 함께 둔다. 해당 조항은 2025년 7월 시행됐으며, 이번에는 2026년 7월 22일 시행본을 대조했다.</w:t>
      </w:r>
      <w:r>
        <w:t xml:space="preserve">  </w:t>
      </w:r>
      <w:hyperlink r:id="rId12">
        <w:r>
          <w:rPr>
            <w:color w:val="174C7A"/>
            <w:rFonts w:eastAsia="Pretendard"/>
            <w:sz w:val="19"/>
          </w:rPr>
          <w:t>D38</w:t>
        </w:r>
      </w:hyperlink>
      <w:r>
        <w:t xml:space="preserve">  ·  </w:t>
      </w:r>
      <w:hyperlink r:id="rId27">
        <w:r>
          <w:rPr>
            <w:color w:val="174C7A"/>
            <w:rFonts w:eastAsia="Pretendard"/>
            <w:sz w:val="19"/>
          </w:rPr>
          <w:t>D17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근거와 내용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센터와 AI 관제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재난안전법 제74조의5①–③ / D38</w:t>
              <w:br/>
              <w:t>재난·각종 사고의 예방·대비·대응; AI 분석·공공기관 영상 연계; 최소 개인정보 처리와 목적 제한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CCTV 설치·수집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개인정보 보호법 제15·25조 / D14</w:t>
              <w:br/>
              <w:t>설치 목적·수집 근거·의견수렴·안내 등 해당 처리의 요건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목적 외 이용·제공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개인정보 보호법 제18조 / D14</w:t>
              <w:br/>
              <w:t>수집 목적과 후속 목적, 수사 예외·공공기관 적용 범위, 권익 침해 조건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생체 특징정보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법 제23조·시행령 제18조 / D14·D15</w:t>
              <w:br/>
              <w:t>민감정보 처리 근거 및 시행령의 공공기관 특정 처리 예외 단서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AI 사업자 책무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인공지능기본법 제2·34조 / D16</w:t>
              <w:br/>
              <w:t>고영향 분류와 위험관리·설명·사람의 감독 등 사업자 의무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현장 개입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적용 수사법·경찰작용법과 배치 매뉴얼</w:t>
              <w:br/>
              <w:t>대상자의 동일성 확인과 각 정지·수색·체포 요건을 단계별로 특정할 후속 검토</w:t>
            </w:r>
          </w:p>
        </w:tc>
      </w:tr>
    </w:tbl>
    <w:p>
      <w:pPr>
        <w:spacing w:after="140"/>
      </w:pPr>
      <w:hyperlink r:id="rId28">
        <w:r>
          <w:rPr>
            <w:color w:val="174C7A"/>
            <w:rFonts w:eastAsia="Pretendard"/>
            <w:sz w:val="19"/>
          </w:rPr>
          <w:t>D14</w:t>
        </w:r>
      </w:hyperlink>
      <w:r>
        <w:t xml:space="preserve">  ·  </w:t>
      </w:r>
      <w:hyperlink r:id="rId29">
        <w:r>
          <w:rPr>
            <w:color w:val="174C7A"/>
            <w:rFonts w:eastAsia="Pretendard"/>
            <w:sz w:val="19"/>
          </w:rPr>
          <w:t>D15</w:t>
        </w:r>
      </w:hyperlink>
      <w:r>
        <w:t xml:space="preserve">  ·  </w:t>
      </w:r>
      <w:hyperlink r:id="rId30">
        <w:r>
          <w:rPr>
            <w:color w:val="174C7A"/>
            <w:rFonts w:eastAsia="Pretendard"/>
            <w:sz w:val="19"/>
          </w:rPr>
          <w:t>D16</w:t>
        </w:r>
      </w:hyperlink>
      <w:r>
        <w:t xml:space="preserve">  ·  </w:t>
      </w:r>
      <w:hyperlink r:id="rId12">
        <w:r>
          <w:rPr>
            <w:color w:val="174C7A"/>
            <w:rFonts w:eastAsia="Pretendard"/>
            <w:sz w:val="19"/>
          </w:rPr>
          <w:t>D38</w:t>
        </w:r>
      </w:hyperlink>
    </w:p>
    <w:p>
      <w:pPr>
        <w:pStyle w:val="Heading2"/>
      </w:pPr>
      <w:r>
        <w:t>출입국 AI 사업의 항목별 행정 판단</w:t>
      </w:r>
    </w:p>
    <w:p>
      <w:r>
        <w:t>2022년 개인정보위는 출입국관리법에 따른 민감정보 처리, 심사 고도화 목적 내 학습, 관리·감독 아래의 처리위탁을 인정했다. 위탁 사실·수탁자를 공개하지 않은 행위에는 과태료 100만 원을 부과했다.</w:t>
      </w:r>
    </w:p>
    <w:p>
      <w:pPr>
        <w:spacing w:after="140"/>
      </w:pPr>
      <w:r>
        <w:t>이상행동 추적용 CCTV 영상은 실제 이용되지 않아 위반 판단을 하지 않았고, 재추진 시 동의·법적 근거·비식별화 경로를 제시했다. 특정 법률의 목적과 실제 처리 단계를 확인하는 사례다.</w:t>
      </w:r>
      <w:r>
        <w:t xml:space="preserve">  </w:t>
      </w:r>
      <w:hyperlink r:id="rId11">
        <w:r>
          <w:rPr>
            <w:color w:val="174C7A"/>
            <w:rFonts w:eastAsia="Pretendard"/>
            <w:sz w:val="19"/>
          </w:rPr>
          <w:t>D18</w:t>
        </w:r>
      </w:hyperlink>
    </w:p>
    <w:p>
      <w:pPr>
        <w:pStyle w:val="Heading1"/>
        <w:pageBreakBefore/>
      </w:pPr>
      <w:r>
        <w:t>3. 판례는 대상·판단·결과를 함께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사건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대상과 판단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D09</w:t>
              <w:br/>
              <w:t>헌재 2021헌마1575등 / 2026-02-26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출입국 얼굴·이상행동 데이터 AI 사업</w:t>
              <w:br/>
              <w:t>사업 종료·데이터 삭제 등에 관한 권리보호이익·직접성 등 소송요건을 판단하여 각하.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D10</w:t>
              <w:br/>
              <w:t>헌재 2014헌마843 / 2018-08-30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집회 참가자 촬영·채증 규칙</w:t>
              <w:br/>
              <w:t>규칙 청구 각하, 촬영 청구 기각. 촬영에는 5인 반대의견이 있었으나 인용 정족수 미충족.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D11</w:t>
              <w:br/>
              <w:t>헌재 2012헌마538 / 2018-06-28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기지국수사 자료 요청·법원 허가</w:t>
              <w:br/>
              <w:t>요청조항 헌법불합치. 법원 허가 구조의 영장주의 쟁점은 별도로 판단.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D12</w:t>
              <w:br/>
              <w:t>대법원 99도2317 / 1999-09-03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영장 없는 현장 사진촬영</w:t>
              <w:br/>
              <w:t>판시 [6]은 범행 중·직후 증거보전에서 필요성·긴급성·방법의 상당성을 요구.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D13</w:t>
              <w:br/>
              <w:t>헌재 2020헌마542 / 2024-04-25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주민등록 지문날인·보관·이용</w:t>
              <w:br/>
              <w:t>관련 청구 기각. 송부 규칙은 기각 2·인용 4·각하 3으로 의견 분화.</w:t>
            </w:r>
          </w:p>
        </w:tc>
      </w:tr>
    </w:tbl>
    <w:p>
      <w:pPr>
        <w:spacing w:after="140"/>
      </w:pPr>
      <w:hyperlink r:id="rId31">
        <w:r>
          <w:rPr>
            <w:color w:val="174C7A"/>
            <w:rFonts w:eastAsia="Pretendard"/>
            <w:sz w:val="19"/>
          </w:rPr>
          <w:t>D09</w:t>
        </w:r>
      </w:hyperlink>
      <w:r>
        <w:t xml:space="preserve">  ·  </w:t>
      </w:r>
      <w:hyperlink r:id="rId32">
        <w:r>
          <w:rPr>
            <w:color w:val="174C7A"/>
            <w:rFonts w:eastAsia="Pretendard"/>
            <w:sz w:val="19"/>
          </w:rPr>
          <w:t>D10</w:t>
        </w:r>
      </w:hyperlink>
      <w:r>
        <w:t xml:space="preserve">  ·  </w:t>
      </w:r>
      <w:hyperlink r:id="rId33">
        <w:r>
          <w:rPr>
            <w:color w:val="174C7A"/>
            <w:rFonts w:eastAsia="Pretendard"/>
            <w:sz w:val="19"/>
          </w:rPr>
          <w:t>D11</w:t>
        </w:r>
      </w:hyperlink>
      <w:r>
        <w:t xml:space="preserve">  ·  </w:t>
      </w:r>
      <w:hyperlink r:id="rId34">
        <w:r>
          <w:rPr>
            <w:color w:val="174C7A"/>
            <w:rFonts w:eastAsia="Pretendard"/>
            <w:sz w:val="19"/>
          </w:rPr>
          <w:t>D12</w:t>
        </w:r>
      </w:hyperlink>
      <w:r>
        <w:t xml:space="preserve">  ·  </w:t>
      </w:r>
      <w:hyperlink r:id="rId35">
        <w:r>
          <w:rPr>
            <w:color w:val="174C7A"/>
            <w:rFonts w:eastAsia="Pretendard"/>
            <w:sz w:val="19"/>
          </w:rPr>
          <w:t>D13</w:t>
        </w:r>
      </w:hyperlink>
    </w:p>
    <w:p>
      <w:pPr>
        <w:pStyle w:val="Heading2"/>
      </w:pPr>
      <w:r>
        <w:t>실시간 식별에 관한 외국의 직접 비교</w:t>
      </w:r>
    </w:p>
    <w:p>
      <w:pPr>
        <w:spacing w:after="140"/>
      </w:pPr>
      <w:r>
        <w:t>Bridges는 명단·장소 재량과 영향평가·평등의무의 문제를 지적했다. Thompson and Carlo는 개정된 런던경찰 정책의 목적·명단·장소 기준을 함께 평가해 예측가능성 관련 청구를 기각했다. 두 사건을 비교하면 통제 기준의 구체성이 판단에 어떻게 작용하는지 볼 수 있다.</w:t>
      </w:r>
      <w:r>
        <w:t xml:space="preserve">  </w:t>
      </w:r>
      <w:hyperlink r:id="rId36">
        <w:r>
          <w:rPr>
            <w:color w:val="174C7A"/>
            <w:rFonts w:eastAsia="Pretendard"/>
            <w:sz w:val="19"/>
          </w:rPr>
          <w:t>F02</w:t>
        </w:r>
      </w:hyperlink>
      <w:r>
        <w:t xml:space="preserve">  ·  </w:t>
      </w:r>
      <w:hyperlink r:id="rId37">
        <w:r>
          <w:rPr>
            <w:color w:val="174C7A"/>
            <w:rFonts w:eastAsia="Pretendard"/>
            <w:sz w:val="19"/>
          </w:rPr>
          <w:t>F03</w:t>
        </w:r>
      </w:hyperlink>
    </w:p>
    <w:p>
      <w:pPr>
        <w:spacing w:after="140"/>
      </w:pPr>
      <w:r>
        <w:t>Glukhin은 평화적 시위자의 식별·추적·체포에서 사생활과 표현의 자유 침해를 인정했다. 대상 행위의 위험성과 사용한 수단의 강도를 연결해 비교할 사례다.</w:t>
      </w:r>
      <w:r>
        <w:t xml:space="preserve">  </w:t>
      </w:r>
      <w:hyperlink r:id="rId38">
        <w:r>
          <w:rPr>
            <w:color w:val="174C7A"/>
            <w:rFonts w:eastAsia="Pretendard"/>
            <w:sz w:val="19"/>
          </w:rPr>
          <w:t>F04</w:t>
        </w:r>
      </w:hyperlink>
    </w:p>
    <w:p>
      <w:pPr>
        <w:pStyle w:val="Heading1"/>
        <w:pageBreakBefore/>
      </w:pPr>
      <w:r>
        <w:t>4. 실제 운영에서 무엇을 측정했는가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자료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측정 대상·결과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D39 제주</w:t>
              <w:br/>
              <w:t>2023년 운영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일반 관제요원 101명·상주 경찰 3명. 표37 예산 합계 11,755,443천원, 인건비 4,428,000천원·유지보수 1,490,258천원 포함.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D39 제주</w:t>
              <w:br/>
              <w:t>요원 설문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총 35명, 체감 정확도 문항 응답 34명 중 27명이 50% 미만을 선택. 현장 요원의 평가를 측정한 문항.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F05 런던</w:t>
              <w:br/>
              <w:t>2024.9.11–2025.9.10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범죄다발지역 203회·행사보안 4회 배치. 약 3,147,436회 얼굴 통과, 경보 2,077건, 총 체포 962건.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F05 오경보</w:t>
              <w:br/>
              <w:t>같은 보고기간</w:t>
            </w:r>
          </w:p>
        </w:tc>
        <w:tc>
          <w:tcPr>
            <w:tcW w:type="dxa" w:w="77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오경보 10건 중 현장 접촉 6건, 그에 따른 체포 0건. 경보–접촉–체포의 처리 단계를 보여준다.</w:t>
            </w:r>
          </w:p>
        </w:tc>
      </w:tr>
    </w:tbl>
    <w:p>
      <w:pPr>
        <w:spacing w:after="140"/>
      </w:pPr>
      <w:hyperlink r:id="rId13">
        <w:r>
          <w:rPr>
            <w:color w:val="174C7A"/>
            <w:rFonts w:eastAsia="Pretendard"/>
            <w:sz w:val="19"/>
          </w:rPr>
          <w:t>D39</w:t>
        </w:r>
      </w:hyperlink>
      <w:r>
        <w:t xml:space="preserve">  ·  </w:t>
      </w:r>
      <w:hyperlink r:id="rId39">
        <w:r>
          <w:rPr>
            <w:color w:val="174C7A"/>
            <w:rFonts w:eastAsia="Pretendard"/>
            <w:sz w:val="19"/>
          </w:rPr>
          <w:t>F05</w:t>
        </w:r>
      </w:hyperlink>
    </w:p>
    <w:p>
      <w:pPr>
        <w:pStyle w:val="Heading2"/>
      </w:pPr>
      <w:r>
        <w:t>오인 접촉 자체를 평가할 사례</w:t>
      </w:r>
    </w:p>
    <w:p>
      <w:pPr>
        <w:spacing w:after="140"/>
      </w:pPr>
      <w:r>
        <w:t>Thompson 판결 §17은 원고가 2024년 2월 형제로 오인되어 정지·질문·신원 증명 요구를 받은 경위를 담고 있다. 체포 건수와 함께 잘못된 현장 접촉, 설명·기록·구제 절차를 평가할 이유가 된다. 이 사건은 위 연간 보고기간보다 앞선 사례다.</w:t>
      </w:r>
      <w:r>
        <w:t xml:space="preserve">  </w:t>
      </w:r>
      <w:hyperlink r:id="rId37">
        <w:r>
          <w:rPr>
            <w:color w:val="174C7A"/>
            <w:rFonts w:eastAsia="Pretendard"/>
            <w:sz w:val="19"/>
          </w:rPr>
          <w:t>F03</w:t>
        </w:r>
      </w:hyperlink>
    </w:p>
    <w:p>
      <w:pPr>
        <w:pStyle w:val="Heading2"/>
      </w:pPr>
      <w:r>
        <w:t>다음 효과평가의 단위</w:t>
      </w:r>
    </w:p>
    <w:p>
      <w:r>
        <w:t>통과 대비 오경보율, 경보의 적중률, 미탐률은 분모가 다르다. 추가 검거와 검거시간 단축을 평가하려면 기존 수사로도 검거할 수 있었던 사람, 비교지역·기간, 인력·유지비를 함께 측정해야 한다.</w:t>
      </w:r>
    </w:p>
    <w:p>
      <w:r>
        <w:t>제주 자료는 국내 일반 관제의 인력·비용 구조와 요원의 경험을 제공한다. 한국의 실시간 얼굴식별 성능은 정답이 있는 현장 영상과 명단을 사용한 별도 시험이 필요하다.</w:t>
      </w:r>
    </w:p>
    <w:p>
      <w:pPr>
        <w:pStyle w:val="Heading1"/>
        <w:pageBreakBefore/>
      </w:pPr>
      <w:r>
        <w:t>5. 허용의 문턱을 정하는 쟁점</w:t>
      </w:r>
    </w:p>
    <w:p>
      <w:pPr>
        <w:pStyle w:val="Heading2"/>
      </w:pPr>
      <w:r>
        <w:t>Q1 중대범죄 대응의 필요성은 통행인 전체의 실시간 생체대조를 정당화하는가</w:t>
      </w:r>
    </w:p>
    <w:p>
      <w:r>
        <w:rPr>
          <w:b/>
        </w:rPr>
        <w:t>허용 논거</w:t>
      </w:r>
      <w:r>
        <w:t xml:space="preserve">  특정된 중대범죄 용의자·수배자를 제한된 장소와 시간에 찾는 경우에는 신속한 발견과 피해 방지를 위해 예외적으로 허용한다.</w:t>
      </w:r>
    </w:p>
    <w:p>
      <w:r>
        <w:rPr>
          <w:b/>
        </w:rPr>
        <w:t>반론·추가 문턱</w:t>
      </w:r>
      <w:r>
        <w:t xml:space="preserve">  공공장소 통행인의 생체정보를 일괄 처리하는 방식은 공적 익명성과 자유로운 활동을 제한하므로 실시간 이용을 금지하거나 보호 법제 마련까지 유보한다.</w:t>
      </w:r>
    </w:p>
    <w:p>
      <w:pPr>
        <w:spacing w:after="140"/>
      </w:pPr>
      <w:r>
        <w:rPr>
          <w:b/>
        </w:rPr>
        <w:t>판단 질문</w:t>
      </w:r>
      <w:r>
        <w:t xml:space="preserve">  허용 범위는 범죄의 중대성, 대상자의 특정성, 위험의 긴급성 중 무엇을 필수 요건으로 삼을 것인가?</w:t>
      </w:r>
      <w:r>
        <w:t xml:space="preserve">  </w:t>
      </w:r>
      <w:hyperlink r:id="rId18">
        <w:r>
          <w:rPr>
            <w:color w:val="174C7A"/>
            <w:rFonts w:eastAsia="Pretendard"/>
            <w:sz w:val="19"/>
          </w:rPr>
          <w:t>D01</w:t>
        </w:r>
      </w:hyperlink>
      <w:r>
        <w:t xml:space="preserve">  ·  </w:t>
      </w:r>
      <w:hyperlink r:id="rId17">
        <w:r>
          <w:rPr>
            <w:color w:val="174C7A"/>
            <w:rFonts w:eastAsia="Pretendard"/>
            <w:sz w:val="19"/>
          </w:rPr>
          <w:t>D02</w:t>
        </w:r>
      </w:hyperlink>
      <w:r>
        <w:t xml:space="preserve">  ·  </w:t>
      </w:r>
      <w:hyperlink r:id="rId26">
        <w:r>
          <w:rPr>
            <w:color w:val="174C7A"/>
            <w:rFonts w:eastAsia="Pretendard"/>
            <w:sz w:val="19"/>
          </w:rPr>
          <w:t>D24</w:t>
        </w:r>
      </w:hyperlink>
      <w:r>
        <w:t xml:space="preserve">  ·  </w:t>
      </w:r>
      <w:hyperlink r:id="rId14">
        <w:r>
          <w:rPr>
            <w:color w:val="174C7A"/>
            <w:rFonts w:eastAsia="Pretendard"/>
            <w:sz w:val="19"/>
          </w:rPr>
          <w:t>D37</w:t>
        </w:r>
      </w:hyperlink>
      <w:r>
        <w:t xml:space="preserve">  ·  </w:t>
      </w:r>
      <w:hyperlink r:id="rId40">
        <w:r>
          <w:rPr>
            <w:color w:val="174C7A"/>
            <w:rFonts w:eastAsia="Pretendard"/>
            <w:sz w:val="19"/>
          </w:rPr>
          <w:t>F01</w:t>
        </w:r>
      </w:hyperlink>
    </w:p>
    <w:p>
      <w:pPr>
        <w:pStyle w:val="Heading2"/>
      </w:pPr>
      <w:r>
        <w:t>Q2 개별 법률과 사전 허가는 어느 범위의 분석을 통제해야 하는가</w:t>
      </w:r>
    </w:p>
    <w:p>
      <w:r>
        <w:rPr>
          <w:b/>
        </w:rPr>
        <w:t>허용 논거</w:t>
      </w:r>
      <w:r>
        <w:t xml:space="preserve">  입법자가 목적·대상·시간·장소를 정하고 법원 또는 독립기관이 구체적인 배치를 심사하면 예외적 이용을 통제할 수 있다.</w:t>
      </w:r>
    </w:p>
    <w:p>
      <w:r>
        <w:rPr>
          <w:b/>
        </w:rPr>
        <w:t>반론·추가 문턱</w:t>
      </w:r>
      <w:r>
        <w:t xml:space="preserve">  대상자 수사의 필요성과 일반 통행인 정보처리의 필요성을 각각 입증하고, 같은 목적을 달성할 덜 침해적인 수단까지 비교해야 한다.</w:t>
      </w:r>
    </w:p>
    <w:p>
      <w:pPr>
        <w:spacing w:after="140"/>
      </w:pPr>
      <w:r>
        <w:rPr>
          <w:b/>
        </w:rPr>
        <w:t>판단 질문</w:t>
      </w:r>
      <w:r>
        <w:t xml:space="preserve">  허가서에 시스템 가동, 명단 사용, 데이터 결합, 현장 개입 중 어느 단계까지 적시할 것인가?</w:t>
      </w:r>
      <w:r>
        <w:t xml:space="preserve">  </w:t>
      </w:r>
      <w:hyperlink r:id="rId33">
        <w:r>
          <w:rPr>
            <w:color w:val="174C7A"/>
            <w:rFonts w:eastAsia="Pretendard"/>
            <w:sz w:val="19"/>
          </w:rPr>
          <w:t>D11</w:t>
        </w:r>
      </w:hyperlink>
      <w:r>
        <w:t xml:space="preserve">  ·  </w:t>
      </w:r>
      <w:hyperlink r:id="rId28">
        <w:r>
          <w:rPr>
            <w:color w:val="174C7A"/>
            <w:rFonts w:eastAsia="Pretendard"/>
            <w:sz w:val="19"/>
          </w:rPr>
          <w:t>D14</w:t>
        </w:r>
      </w:hyperlink>
      <w:r>
        <w:t xml:space="preserve">  ·  </w:t>
      </w:r>
      <w:hyperlink r:id="rId29">
        <w:r>
          <w:rPr>
            <w:color w:val="174C7A"/>
            <w:rFonts w:eastAsia="Pretendard"/>
            <w:sz w:val="19"/>
          </w:rPr>
          <w:t>D15</w:t>
        </w:r>
      </w:hyperlink>
      <w:r>
        <w:t xml:space="preserve">  ·  </w:t>
      </w:r>
      <w:hyperlink r:id="rId25">
        <w:r>
          <w:rPr>
            <w:color w:val="174C7A"/>
            <w:rFonts w:eastAsia="Pretendard"/>
            <w:sz w:val="19"/>
          </w:rPr>
          <w:t>D35</w:t>
        </w:r>
      </w:hyperlink>
      <w:r>
        <w:t xml:space="preserve">  ·  </w:t>
      </w:r>
      <w:hyperlink r:id="rId12">
        <w:r>
          <w:rPr>
            <w:color w:val="174C7A"/>
            <w:rFonts w:eastAsia="Pretendard"/>
            <w:sz w:val="19"/>
          </w:rPr>
          <w:t>D38</w:t>
        </w:r>
      </w:hyperlink>
      <w:r>
        <w:t xml:space="preserve">  ·  </w:t>
      </w:r>
      <w:hyperlink r:id="rId40">
        <w:r>
          <w:rPr>
            <w:color w:val="174C7A"/>
            <w:rFonts w:eastAsia="Pretendard"/>
            <w:sz w:val="19"/>
          </w:rPr>
          <w:t>F01</w:t>
        </w:r>
      </w:hyperlink>
      <w:r>
        <w:t xml:space="preserve">  ·  </w:t>
      </w:r>
      <w:hyperlink r:id="rId36">
        <w:r>
          <w:rPr>
            <w:color w:val="174C7A"/>
            <w:rFonts w:eastAsia="Pretendard"/>
            <w:sz w:val="19"/>
          </w:rPr>
          <w:t>F02</w:t>
        </w:r>
      </w:hyperlink>
      <w:r>
        <w:t xml:space="preserve">  ·  </w:t>
      </w:r>
      <w:hyperlink r:id="rId37">
        <w:r>
          <w:rPr>
            <w:color w:val="174C7A"/>
            <w:rFonts w:eastAsia="Pretendard"/>
            <w:sz w:val="19"/>
          </w:rPr>
          <w:t>F03</w:t>
        </w:r>
      </w:hyperlink>
    </w:p>
    <w:p>
      <w:pPr>
        <w:pStyle w:val="Heading2"/>
      </w:pPr>
      <w:r>
        <w:t>Q3 추가 검거와 시간 단축은 비용·대안과 비교해 어느 정도여야 하는가</w:t>
      </w:r>
    </w:p>
    <w:p>
      <w:r>
        <w:rPr>
          <w:b/>
        </w:rPr>
        <w:t>허용 논거</w:t>
      </w:r>
      <w:r>
        <w:t xml:space="preserve">  정해진 배치에서 수배자를 발견하고 체포로 이어진 운영 실적은 탐색과 현장 인력 배분에 기술을 사용할 실무적 이유를 제공한다.</w:t>
      </w:r>
    </w:p>
    <w:p>
      <w:r>
        <w:rPr>
          <w:b/>
        </w:rPr>
        <w:t>반론·추가 문턱</w:t>
      </w:r>
      <w:r>
        <w:t xml:space="preserve">  기존 수사로도 검거했을 사람과 새로 발견한 사람을 구분하고, 같은 예산의 순찰·수사인력·사후 검색과 시간·비용·피해를 비교해야 한다.</w:t>
      </w:r>
    </w:p>
    <w:p>
      <w:pPr>
        <w:spacing w:after="140"/>
      </w:pPr>
      <w:r>
        <w:rPr>
          <w:b/>
        </w:rPr>
        <w:t>판단 질문</w:t>
      </w:r>
      <w:r>
        <w:t xml:space="preserve">  추가 검거 1건, 검거까지의 시간, 중대 피해 예방, 비용 중 어떤 결과를 우선 평가할 것인가?</w:t>
      </w:r>
      <w:r>
        <w:t xml:space="preserve">  </w:t>
      </w:r>
      <w:hyperlink r:id="rId41">
        <w:r>
          <w:rPr>
            <w:color w:val="174C7A"/>
            <w:rFonts w:eastAsia="Pretendard"/>
            <w:sz w:val="19"/>
          </w:rPr>
          <w:t>D21</w:t>
        </w:r>
      </w:hyperlink>
      <w:r>
        <w:t xml:space="preserve">  ·  </w:t>
      </w:r>
      <w:hyperlink r:id="rId42">
        <w:r>
          <w:rPr>
            <w:color w:val="174C7A"/>
            <w:rFonts w:eastAsia="Pretendard"/>
            <w:sz w:val="19"/>
          </w:rPr>
          <w:t>D22</w:t>
        </w:r>
      </w:hyperlink>
      <w:r>
        <w:t xml:space="preserve">  ·  </w:t>
      </w:r>
      <w:hyperlink r:id="rId43">
        <w:r>
          <w:rPr>
            <w:color w:val="174C7A"/>
            <w:rFonts w:eastAsia="Pretendard"/>
            <w:sz w:val="19"/>
          </w:rPr>
          <w:t>D23</w:t>
        </w:r>
      </w:hyperlink>
      <w:r>
        <w:t xml:space="preserve">  ·  </w:t>
      </w:r>
      <w:hyperlink r:id="rId13">
        <w:r>
          <w:rPr>
            <w:color w:val="174C7A"/>
            <w:rFonts w:eastAsia="Pretendard"/>
            <w:sz w:val="19"/>
          </w:rPr>
          <w:t>D39</w:t>
        </w:r>
      </w:hyperlink>
      <w:r>
        <w:t xml:space="preserve">  ·  </w:t>
      </w:r>
      <w:hyperlink r:id="rId39">
        <w:r>
          <w:rPr>
            <w:color w:val="174C7A"/>
            <w:rFonts w:eastAsia="Pretendard"/>
            <w:sz w:val="19"/>
          </w:rPr>
          <w:t>F05</w:t>
        </w:r>
      </w:hyperlink>
      <w:r>
        <w:t xml:space="preserve">  ·  </w:t>
      </w:r>
      <w:hyperlink r:id="rId44">
        <w:r>
          <w:rPr>
            <w:color w:val="174C7A"/>
            <w:rFonts w:eastAsia="Pretendard"/>
            <w:sz w:val="19"/>
          </w:rPr>
          <w:t>F17</w:t>
        </w:r>
      </w:hyperlink>
    </w:p>
    <w:p>
      <w:r>
        <w:t>입장 문장은 자료를 종합한 수업용 논증 후보다. 자료 생산자의 실제 제안은 전체 조사본의 근거 설명에 귀속했다.</w:t>
      </w:r>
    </w:p>
    <w:p>
      <w:pPr>
        <w:pStyle w:val="Heading1"/>
        <w:pageBreakBefore/>
      </w:pPr>
      <w:r>
        <w:t>6. 운용·책임·구제의 쟁점</w:t>
      </w:r>
    </w:p>
    <w:p>
      <w:pPr>
        <w:pStyle w:val="Heading2"/>
      </w:pPr>
      <w:r>
        <w:t>Q4 낮은 오경보율과 실제 시민이 겪는 부담을 어떻게 함께 판단할 것인가</w:t>
      </w:r>
    </w:p>
    <w:p>
      <w:r>
        <w:t>높은 경보 문턱, 명단 품질 관리, 현장 검증을 결합해 오인으로 인한 강제처분을 줄일 수 있다. 평가에는 잘못된 정지·질문·신원 증명 요구와 집단별 반복 노출도 포함해야 한다. 정확한 식별에서도 배치 장소와 명단 구성에 따라 부담이 집중될 수 있다.</w:t>
      </w:r>
    </w:p>
    <w:p>
      <w:pPr>
        <w:spacing w:after="140"/>
      </w:pPr>
      <w:r>
        <w:rPr>
          <w:b/>
        </w:rPr>
        <w:t>판단 질문</w:t>
      </w:r>
      <w:r>
        <w:t xml:space="preserve">  전체 통과 대비 오경보, 경보 적중률, 미탐, 잘못된 접촉 중 어느 지표에 중단 기준을 둘 것인가?</w:t>
      </w:r>
      <w:r>
        <w:t xml:space="preserve">  </w:t>
      </w:r>
      <w:hyperlink r:id="rId25">
        <w:r>
          <w:rPr>
            <w:color w:val="174C7A"/>
            <w:rFonts w:eastAsia="Pretendard"/>
            <w:sz w:val="19"/>
          </w:rPr>
          <w:t>D35</w:t>
        </w:r>
      </w:hyperlink>
      <w:r>
        <w:t xml:space="preserve">  ·  </w:t>
      </w:r>
      <w:hyperlink r:id="rId13">
        <w:r>
          <w:rPr>
            <w:color w:val="174C7A"/>
            <w:rFonts w:eastAsia="Pretendard"/>
            <w:sz w:val="19"/>
          </w:rPr>
          <w:t>D39</w:t>
        </w:r>
      </w:hyperlink>
      <w:r>
        <w:t xml:space="preserve">  ·  </w:t>
      </w:r>
      <w:hyperlink r:id="rId37">
        <w:r>
          <w:rPr>
            <w:color w:val="174C7A"/>
            <w:rFonts w:eastAsia="Pretendard"/>
            <w:sz w:val="19"/>
          </w:rPr>
          <w:t>F03</w:t>
        </w:r>
      </w:hyperlink>
      <w:r>
        <w:t xml:space="preserve">  ·  </w:t>
      </w:r>
      <w:hyperlink r:id="rId39">
        <w:r>
          <w:rPr>
            <w:color w:val="174C7A"/>
            <w:rFonts w:eastAsia="Pretendard"/>
            <w:sz w:val="19"/>
          </w:rPr>
          <w:t>F05</w:t>
        </w:r>
      </w:hyperlink>
      <w:r>
        <w:t xml:space="preserve">  ·  </w:t>
      </w:r>
      <w:hyperlink r:id="rId45">
        <w:r>
          <w:rPr>
            <w:color w:val="174C7A"/>
            <w:rFonts w:eastAsia="Pretendard"/>
            <w:sz w:val="19"/>
          </w:rPr>
          <w:t>F06</w:t>
        </w:r>
      </w:hyperlink>
      <w:r>
        <w:t xml:space="preserve">  ·  </w:t>
      </w:r>
      <w:hyperlink r:id="rId46">
        <w:r>
          <w:rPr>
            <w:color w:val="174C7A"/>
            <w:rFonts w:eastAsia="Pretendard"/>
            <w:sz w:val="19"/>
          </w:rPr>
          <w:t>F07</w:t>
        </w:r>
      </w:hyperlink>
    </w:p>
    <w:p>
      <w:pPr>
        <w:pStyle w:val="Heading2"/>
      </w:pPr>
      <w:r>
        <w:t>Q5 AI 경보에서 신원 확인·정지·체포로 넘어가는 문턱은 무엇인가</w:t>
      </w:r>
    </w:p>
    <w:p>
      <w:r>
        <w:t>AI가 후보를 제시하고 경찰이 독립적으로 신원과 체포 요건을 확인하는 방식으로 활용한다. 같은 얼굴사진을 다시 보는 확인 외에 추가 정보·증거, 판단 이유 기록, 오류 발견 시 즉시 중단하는 절차를 요구한다.</w:t>
      </w:r>
    </w:p>
    <w:p>
      <w:pPr>
        <w:spacing w:after="140"/>
      </w:pPr>
      <w:r>
        <w:rPr>
          <w:b/>
        </w:rPr>
        <w:t>판단 질문</w:t>
      </w:r>
      <w:r>
        <w:t xml:space="preserve">  경찰관의 얼굴 비교, 공적 신원 확인, 별도 수사정보 가운데 어느 조합을 단계별 최소 요건으로 둘 것인가?</w:t>
      </w:r>
      <w:r>
        <w:t xml:space="preserve">  </w:t>
      </w:r>
      <w:hyperlink r:id="rId34">
        <w:r>
          <w:rPr>
            <w:color w:val="174C7A"/>
            <w:rFonts w:eastAsia="Pretendard"/>
            <w:sz w:val="19"/>
          </w:rPr>
          <w:t>D12</w:t>
        </w:r>
      </w:hyperlink>
      <w:r>
        <w:t xml:space="preserve">  ·  </w:t>
      </w:r>
      <w:hyperlink r:id="rId30">
        <w:r>
          <w:rPr>
            <w:color w:val="174C7A"/>
            <w:rFonts w:eastAsia="Pretendard"/>
            <w:sz w:val="19"/>
          </w:rPr>
          <w:t>D16</w:t>
        </w:r>
      </w:hyperlink>
      <w:r>
        <w:t xml:space="preserve">  ·  </w:t>
      </w:r>
      <w:hyperlink r:id="rId40">
        <w:r>
          <w:rPr>
            <w:color w:val="174C7A"/>
            <w:rFonts w:eastAsia="Pretendard"/>
            <w:sz w:val="19"/>
          </w:rPr>
          <w:t>F01</w:t>
        </w:r>
      </w:hyperlink>
      <w:r>
        <w:t xml:space="preserve">  ·  </w:t>
      </w:r>
      <w:hyperlink r:id="rId37">
        <w:r>
          <w:rPr>
            <w:color w:val="174C7A"/>
            <w:rFonts w:eastAsia="Pretendard"/>
            <w:sz w:val="19"/>
          </w:rPr>
          <w:t>F03</w:t>
        </w:r>
      </w:hyperlink>
      <w:r>
        <w:t xml:space="preserve">  ·  </w:t>
      </w:r>
      <w:hyperlink r:id="rId39">
        <w:r>
          <w:rPr>
            <w:color w:val="174C7A"/>
            <w:rFonts w:eastAsia="Pretendard"/>
            <w:sz w:val="19"/>
          </w:rPr>
          <w:t>F05</w:t>
        </w:r>
      </w:hyperlink>
      <w:r>
        <w:t xml:space="preserve">  ·  </w:t>
      </w:r>
      <w:hyperlink r:id="rId47">
        <w:r>
          <w:rPr>
            <w:color w:val="174C7A"/>
            <w:rFonts w:eastAsia="Pretendard"/>
            <w:sz w:val="19"/>
          </w:rPr>
          <w:t>F08</w:t>
        </w:r>
      </w:hyperlink>
    </w:p>
    <w:p>
      <w:pPr>
        <w:pStyle w:val="Heading2"/>
      </w:pPr>
      <w:r>
        <w:t>Q6 데이터 삭제·재이용 제한과 사후 피해구제를 어떻게 함께 보장할 것인가</w:t>
      </w:r>
    </w:p>
    <w:p>
      <w:r>
        <w:t>비대상자의 생체 특징정보를 신속히 삭제하고 목적·접근권한·처리위탁을 제한하여 침해를 줄인다. 오인 접촉을 당한 시민이 당시 명단·경보·경찰 판단의 적정성을 다툴 수 있도록 필요한 감사기록, 통지, 열람·구제 경로를 함께 설계한다.</w:t>
      </w:r>
    </w:p>
    <w:p>
      <w:pPr>
        <w:spacing w:after="140"/>
      </w:pPr>
      <w:r>
        <w:rPr>
          <w:b/>
        </w:rPr>
        <w:t>판단 질문</w:t>
      </w:r>
      <w:r>
        <w:t xml:space="preserve">  원영상·얼굴 특징정보·경보·감사로그 각각 무엇을 언제 삭제하고 어떤 구제 기록을 남길 것인가?</w:t>
      </w:r>
      <w:r>
        <w:t xml:space="preserve">  </w:t>
      </w:r>
      <w:hyperlink r:id="rId48">
        <w:r>
          <w:rPr>
            <w:color w:val="174C7A"/>
            <w:rFonts w:eastAsia="Pretendard"/>
            <w:sz w:val="19"/>
          </w:rPr>
          <w:t>D07</w:t>
        </w:r>
      </w:hyperlink>
      <w:r>
        <w:t xml:space="preserve">  ·  </w:t>
      </w:r>
      <w:hyperlink r:id="rId31">
        <w:r>
          <w:rPr>
            <w:color w:val="174C7A"/>
            <w:rFonts w:eastAsia="Pretendard"/>
            <w:sz w:val="19"/>
          </w:rPr>
          <w:t>D09</w:t>
        </w:r>
      </w:hyperlink>
      <w:r>
        <w:t xml:space="preserve">  ·  </w:t>
      </w:r>
      <w:hyperlink r:id="rId28">
        <w:r>
          <w:rPr>
            <w:color w:val="174C7A"/>
            <w:rFonts w:eastAsia="Pretendard"/>
            <w:sz w:val="19"/>
          </w:rPr>
          <w:t>D14</w:t>
        </w:r>
      </w:hyperlink>
      <w:r>
        <w:t xml:space="preserve">  ·  </w:t>
      </w:r>
      <w:hyperlink r:id="rId29">
        <w:r>
          <w:rPr>
            <w:color w:val="174C7A"/>
            <w:rFonts w:eastAsia="Pretendard"/>
            <w:sz w:val="19"/>
          </w:rPr>
          <w:t>D15</w:t>
        </w:r>
      </w:hyperlink>
      <w:r>
        <w:t xml:space="preserve">  ·  </w:t>
      </w:r>
      <w:hyperlink r:id="rId11">
        <w:r>
          <w:rPr>
            <w:color w:val="174C7A"/>
            <w:rFonts w:eastAsia="Pretendard"/>
            <w:sz w:val="19"/>
          </w:rPr>
          <w:t>D18</w:t>
        </w:r>
      </w:hyperlink>
      <w:r>
        <w:t xml:space="preserve">  ·  </w:t>
      </w:r>
      <w:hyperlink r:id="rId49">
        <w:r>
          <w:rPr>
            <w:color w:val="174C7A"/>
            <w:rFonts w:eastAsia="Pretendard"/>
            <w:sz w:val="19"/>
          </w:rPr>
          <w:t>D29</w:t>
        </w:r>
      </w:hyperlink>
      <w:r>
        <w:t xml:space="preserve">  ·  </w:t>
      </w:r>
      <w:hyperlink r:id="rId38">
        <w:r>
          <w:rPr>
            <w:color w:val="174C7A"/>
            <w:rFonts w:eastAsia="Pretendard"/>
            <w:sz w:val="19"/>
          </w:rPr>
          <w:t>F04</w:t>
        </w:r>
      </w:hyperlink>
      <w:r>
        <w:t xml:space="preserve">  ·  </w:t>
      </w:r>
      <w:hyperlink r:id="rId15">
        <w:r>
          <w:rPr>
            <w:color w:val="174C7A"/>
            <w:rFonts w:eastAsia="Pretendard"/>
            <w:sz w:val="19"/>
          </w:rPr>
          <w:t>F16</w:t>
        </w:r>
      </w:hyperlink>
    </w:p>
    <w:p>
      <w:pPr>
        <w:pStyle w:val="Heading2"/>
      </w:pPr>
      <w:r>
        <w:t>Q7 허용을 시작하고 확대·중단할 조건은 누가 정할 것인가</w:t>
      </w:r>
    </w:p>
    <w:p>
      <w:r>
        <w:t>법적 근거 아래 지역·기간·대상을 정한 시범운영을 실시하고 독립 평가와 공개 보고를 거쳐 재승인한다. 안전성과 권리 보호를 입증할 기준을 먼저 충족한 뒤 운영을 시작하며, 중대한 용도·명단·규모 변경은 새 평가와 공적 심사를 거치게 한다.</w:t>
      </w:r>
    </w:p>
    <w:p>
      <w:pPr>
        <w:spacing w:after="140"/>
      </w:pPr>
      <w:r>
        <w:rPr>
          <w:b/>
        </w:rPr>
        <w:t>판단 질문</w:t>
      </w:r>
      <w:r>
        <w:t xml:space="preserve">  성능 저하, 잘못된 강제처분, 목적 외 이용, 감사 불이행 중 무엇을 즉시 중단 사유로 둘 것인가?</w:t>
      </w:r>
      <w:r>
        <w:t xml:space="preserve">  </w:t>
      </w:r>
      <w:hyperlink r:id="rId18">
        <w:r>
          <w:rPr>
            <w:color w:val="174C7A"/>
            <w:rFonts w:eastAsia="Pretendard"/>
            <w:sz w:val="19"/>
          </w:rPr>
          <w:t>D01</w:t>
        </w:r>
      </w:hyperlink>
      <w:r>
        <w:t xml:space="preserve">  ·  </w:t>
      </w:r>
      <w:hyperlink r:id="rId17">
        <w:r>
          <w:rPr>
            <w:color w:val="174C7A"/>
            <w:rFonts w:eastAsia="Pretendard"/>
            <w:sz w:val="19"/>
          </w:rPr>
          <w:t>D02</w:t>
        </w:r>
      </w:hyperlink>
      <w:r>
        <w:t xml:space="preserve">  ·  </w:t>
      </w:r>
      <w:hyperlink r:id="rId21">
        <w:r>
          <w:rPr>
            <w:color w:val="174C7A"/>
            <w:rFonts w:eastAsia="Pretendard"/>
            <w:sz w:val="19"/>
          </w:rPr>
          <w:t>D05</w:t>
        </w:r>
      </w:hyperlink>
      <w:r>
        <w:t xml:space="preserve">  ·  </w:t>
      </w:r>
      <w:hyperlink r:id="rId27">
        <w:r>
          <w:rPr>
            <w:color w:val="174C7A"/>
            <w:rFonts w:eastAsia="Pretendard"/>
            <w:sz w:val="19"/>
          </w:rPr>
          <w:t>D17</w:t>
        </w:r>
      </w:hyperlink>
      <w:r>
        <w:t xml:space="preserve">  ·  </w:t>
      </w:r>
      <w:hyperlink r:id="rId14">
        <w:r>
          <w:rPr>
            <w:color w:val="174C7A"/>
            <w:rFonts w:eastAsia="Pretendard"/>
            <w:sz w:val="19"/>
          </w:rPr>
          <w:t>D37</w:t>
        </w:r>
      </w:hyperlink>
      <w:r>
        <w:t xml:space="preserve">  ·  </w:t>
      </w:r>
      <w:hyperlink r:id="rId12">
        <w:r>
          <w:rPr>
            <w:color w:val="174C7A"/>
            <w:rFonts w:eastAsia="Pretendard"/>
            <w:sz w:val="19"/>
          </w:rPr>
          <w:t>D38</w:t>
        </w:r>
      </w:hyperlink>
      <w:r>
        <w:t xml:space="preserve">  ·  </w:t>
      </w:r>
      <w:hyperlink r:id="rId13">
        <w:r>
          <w:rPr>
            <w:color w:val="174C7A"/>
            <w:rFonts w:eastAsia="Pretendard"/>
            <w:sz w:val="19"/>
          </w:rPr>
          <w:t>D39</w:t>
        </w:r>
      </w:hyperlink>
      <w:r>
        <w:t xml:space="preserve">  ·  </w:t>
      </w:r>
      <w:hyperlink r:id="rId50">
        <w:r>
          <w:rPr>
            <w:color w:val="174C7A"/>
            <w:rFonts w:eastAsia="Pretendard"/>
            <w:sz w:val="19"/>
          </w:rPr>
          <w:t>F10</w:t>
        </w:r>
      </w:hyperlink>
      <w:r>
        <w:t xml:space="preserve">  ·  </w:t>
      </w:r>
      <w:hyperlink r:id="rId51">
        <w:r>
          <w:rPr>
            <w:color w:val="174C7A"/>
            <w:rFonts w:eastAsia="Pretendard"/>
            <w:sz w:val="19"/>
          </w:rPr>
          <w:t>F11</w:t>
        </w:r>
      </w:hyperlink>
      <w:r>
        <w:t xml:space="preserve">  ·  </w:t>
      </w:r>
      <w:hyperlink r:id="rId15">
        <w:r>
          <w:rPr>
            <w:color w:val="174C7A"/>
            <w:rFonts w:eastAsia="Pretendard"/>
            <w:sz w:val="19"/>
          </w:rPr>
          <w:t>F16</w:t>
        </w:r>
      </w:hyperlink>
      <w:r>
        <w:t xml:space="preserve">  ·  </w:t>
      </w:r>
      <w:hyperlink r:id="rId44">
        <w:r>
          <w:rPr>
            <w:color w:val="174C7A"/>
            <w:rFonts w:eastAsia="Pretendard"/>
            <w:sz w:val="19"/>
          </w:rPr>
          <w:t>F17</w:t>
        </w:r>
      </w:hyperlink>
    </w:p>
    <w:p>
      <w:pPr>
        <w:pStyle w:val="Heading2"/>
      </w:pPr>
      <w:r>
        <w:t>유예 해제와 재평가의 기준</w:t>
      </w:r>
    </w:p>
    <w:p>
      <w:pPr>
        <w:spacing w:after="140"/>
      </w:pPr>
      <w:r>
        <w:t>유엔 보고서 §59(d)는 개인정보 기준 준수, 중대한 정확성 문제·차별적 영향의 부재 입증, 집회 보호 권고 이행을 유예 해제 조건으로 제시한다. §§49–50은 생애주기 영향평가·당사자 참여·결과 공개를 권고한다.</w:t>
      </w:r>
      <w:r>
        <w:t xml:space="preserve">  </w:t>
      </w:r>
      <w:hyperlink r:id="rId15">
        <w:r>
          <w:rPr>
            <w:color w:val="174C7A"/>
            <w:rFonts w:eastAsia="Pretendard"/>
            <w:sz w:val="19"/>
          </w:rPr>
          <w:t>F16</w:t>
        </w:r>
      </w:hyperlink>
    </w:p>
    <w:p>
      <w:pPr>
        <w:pStyle w:val="Heading1"/>
        <w:pageBreakBefore/>
      </w:pPr>
      <w:r>
        <w:t>7. 남은 자료와 다음 확인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우선 자료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6EEF4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이번에 확인한 수준과 다음 항목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D03·D04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연구원 공식 소개·목차와 학술대회 발제·토론 서지 확보. 보고서·자료집 전문 대조가 남음.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D02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공식 결과 발표 확보. 실제 참석자 구성, 평결 표수, 조건부 의견과 발언록이 남음.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D17·D19·D20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공식 게시물·부분 색인 확인. 고시·의결서 전문 대조가 남음.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국내 직접 운영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배치별 경보·접촉·체포·기소·오류·구제·비용을 연결하는 원표가 필요.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D24·D27·D34 / F14</w:t>
            </w:r>
          </w:p>
        </w:tc>
        <w:tc>
          <w:tcPr>
            <w:tcW w:type="dxa" w:w="770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국내 논문 전문과 USCCR 대용량 최종 보고서 추가 열람.</w:t>
            </w:r>
          </w:p>
        </w:tc>
      </w:tr>
    </w:tbl>
    <w:p>
      <w:pPr>
        <w:spacing w:after="0"/>
      </w:pPr>
    </w:p>
    <w:p>
      <w:pPr>
        <w:pStyle w:val="Heading2"/>
      </w:pPr>
      <w:r>
        <w:t>공개자료 요청을 구체화할 항목</w:t>
      </w:r>
    </w:p>
    <w:p>
      <w:r>
        <w:rPr>
          <w:b/>
        </w:rPr>
        <w:t>제도·사업 범위</w:t>
      </w:r>
      <w:r>
        <w:t xml:space="preserve">  사업명·기간·운영기관·사용 목적, 얼굴 1:N 식별 여부, 실시간·사후 구분, 법적 근거·승인 절차</w:t>
      </w:r>
    </w:p>
    <w:p>
      <w:r>
        <w:rPr>
          <w:b/>
        </w:rPr>
        <w:t>명단·배치</w:t>
      </w:r>
      <w:r>
        <w:t xml:space="preserve">  등록·말소 기준, 배치별 장소·시간·카메라 수·알고리즘 버전·경보 문턱; 개인식별정보를 제외한 집계</w:t>
      </w:r>
    </w:p>
    <w:p>
      <w:r>
        <w:rPr>
          <w:b/>
        </w:rPr>
        <w:t>성과 연결</w:t>
      </w:r>
      <w:r>
        <w:t xml:space="preserve">  배치별 얼굴 통과·경보·사람의 확인·접촉·체포·기소·종결; 반복 인물 처리와 각 분모 정의</w:t>
      </w:r>
    </w:p>
    <w:p>
      <w:r>
        <w:rPr>
          <w:b/>
        </w:rPr>
        <w:t>권리·오류</w:t>
      </w:r>
      <w:r>
        <w:t xml:space="preserve">  오경보·오인접촉·오인체포·이의제기·민원·구제 결과, 집단별 노출 분모, 삭제·접근 감사 실적</w:t>
      </w:r>
    </w:p>
    <w:p>
      <w:r>
        <w:rPr>
          <w:b/>
        </w:rPr>
        <w:t>비용·대안</w:t>
      </w:r>
      <w:r>
        <w:t xml:space="preserve">  구축·유지보수·라이선스·현장 인력·교육·독립 평가·구제 비용, 기존 수사·사후 검색과의 비교평가</w:t>
      </w:r>
    </w:p>
    <w:p>
      <w:pPr>
        <w:pStyle w:val="Heading2"/>
      </w:pPr>
      <w:r>
        <w:t>현재 활용 범위</w:t>
      </w:r>
    </w:p>
    <w:p>
      <w:r>
        <w:t>잠정 쟁점과 근거 비교에 사용할 수 있다. 국내 직접 성능·추가 검거·비용효과 및 핵심 공개논의 전문의 공백은 전체 조사본의 12영역·통계 5축 점검표에 남겼다. 최종 강의 제작 PASS 판정은 보류한다.</w:t>
      </w:r>
    </w:p>
    <w:p>
      <w:r>
        <w:t>함께 제공한 자료조사 MD에는 56항목의 주석·링크, 쟁점별 양측 논증, 재검색 결과와 후속 항목이 있다. 묶음에는 CSV·JSON 자료대장, 변경·검토 기록을 포함했다.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50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2026년 10월 8일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공공 CCTV AI 실시간 식별 자료조사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Pretendard" w:hAnsi="Pretendard" w:eastAsia="Pretendar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Pretendard" w:hAnsi="Pretendard" w:eastAsia="Pretendard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retendard" w:hAnsi="Pretendard" w:eastAsia="Pretendard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orea.kr/briefing/policyBriefingView.do?newsId=156505203" TargetMode="External"/><Relationship Id="rId12" Type="http://schemas.openxmlformats.org/officeDocument/2006/relationships/hyperlink" Target="https://www.law.go.kr/LSW/lsSideInfoP.do?docCls=jo&amp;joBrNo=05&amp;joNo=0074&amp;lsiSeq=282883&amp;urlMode=lsScJoRltInfoR" TargetMode="External"/><Relationship Id="rId13" Type="http://schemas.openxmlformats.org/officeDocument/2006/relationships/hyperlink" Target="https://record.council.jeju.kr/CLRecords/Files/FileAppendix/a12/A044556.pdf" TargetMode="External"/><Relationship Id="rId14" Type="http://schemas.openxmlformats.org/officeDocument/2006/relationships/hyperlink" Target="https://www.humanrights.go.kr/webzine/webzineListAndDetail?boardNo=7608823&amp;issueNo=7608811" TargetMode="External"/><Relationship Id="rId15" Type="http://schemas.openxmlformats.org/officeDocument/2006/relationships/hyperlink" Target="https://documents.un.org/doc/undoc/gen/g21/249/21/pdf/g2124921.pdf" TargetMode="External"/><Relationship Id="rId16" Type="http://schemas.openxmlformats.org/officeDocument/2006/relationships/hyperlink" Target="https://github.com/jskwon89/lecture/commit/7b9d65fa7bcb27add2a53d04f2ea5b769d3310c9" TargetMode="External"/><Relationship Id="rId17" Type="http://schemas.openxmlformats.org/officeDocument/2006/relationships/hyperlink" Target="https://gnews.gg.go.kr/briefing/brief_gongbo_view.do?BS_CODE=S017&amp;number=67424" TargetMode="External"/><Relationship Id="rId18" Type="http://schemas.openxmlformats.org/officeDocument/2006/relationships/hyperlink" Target="https://www.humanrights.go.kr/base/board/read?boardManagementNo=24&amp;boardNo=7609889&amp;menuLevel=3&amp;menuNo=91&amp;page=1&amp;searchCategory=&amp;searchType=&amp;searchWord=" TargetMode="External"/><Relationship Id="rId19" Type="http://schemas.openxmlformats.org/officeDocument/2006/relationships/hyperlink" Target="https://www.ccourt.go.kr/site/cri/ex/bbs/View.do?bcIdx=3128620&amp;cbIdx=1506" TargetMode="External"/><Relationship Id="rId20" Type="http://schemas.openxmlformats.org/officeDocument/2006/relationships/hyperlink" Target="https://ri.ccourt.go.kr/site/cri/ex/bbs/View.do?bcIdx=4253733&amp;cbIdx=1531" TargetMode="External"/><Relationship Id="rId21" Type="http://schemas.openxmlformats.org/officeDocument/2006/relationships/hyperlink" Target="https://ampos.nanet.go.kr/materialSeminarDetail.do?control_no=PAMP1000063644" TargetMode="External"/><Relationship Id="rId22" Type="http://schemas.openxmlformats.org/officeDocument/2006/relationships/hyperlink" Target="https://idr.jinbo.net/647" TargetMode="External"/><Relationship Id="rId23" Type="http://schemas.openxmlformats.org/officeDocument/2006/relationships/hyperlink" Target="https://idr.jinbo.net/641" TargetMode="External"/><Relationship Id="rId24" Type="http://schemas.openxmlformats.org/officeDocument/2006/relationships/hyperlink" Target="https://digitaljustice.kr/3090/" TargetMode="External"/><Relationship Id="rId25" Type="http://schemas.openxmlformats.org/officeDocument/2006/relationships/hyperlink" Target="https://www.knulaw.org/archive/view_article?pid=lj-85-0-121" TargetMode="External"/><Relationship Id="rId26" Type="http://schemas.openxmlformats.org/officeDocument/2006/relationships/hyperlink" Target="https://www.kci.go.kr/kciportal/ci/sereArticleSearch/ciSereArtiView.kci?sereArticleSearchBean.artiId=ART002997259" TargetMode="External"/><Relationship Id="rId27" Type="http://schemas.openxmlformats.org/officeDocument/2006/relationships/hyperlink" Target="https://www.law.go.kr/LSW/admRulLsInfoP.do?admRulSeq=2100000278958" TargetMode="External"/><Relationship Id="rId28" Type="http://schemas.openxmlformats.org/officeDocument/2006/relationships/hyperlink" Target="https://www.law.go.kr/LSW//lsLawLinkInfo.do?chrClsCd=010202&amp;lsId=011357&amp;lsJoLnkSeq=900078586&amp;print=print" TargetMode="External"/><Relationship Id="rId29" Type="http://schemas.openxmlformats.org/officeDocument/2006/relationships/hyperlink" Target="https://www.law.go.kr/LSW/lsLinkCommonInfo.do?chrClsCd=010202&amp;lsJoLnkSeq=1034050143" TargetMode="External"/><Relationship Id="rId30" Type="http://schemas.openxmlformats.org/officeDocument/2006/relationships/hyperlink" Target="https://www.law.go.kr/LSW/lsLinkCommonInfo.do?lsJoLnkSeq=1031810747" TargetMode="External"/><Relationship Id="rId31" Type="http://schemas.openxmlformats.org/officeDocument/2006/relationships/hyperlink" Target="https://www.ccourt.go.kr/site/kor/ex/bbs/View.do?bcIdx=4264348&amp;cbIdx=1195" TargetMode="External"/><Relationship Id="rId32" Type="http://schemas.openxmlformats.org/officeDocument/2006/relationships/hyperlink" Target="https://www.ccourt.go.kr/site/kor/ex/bbs/View.do?bcIdx=941773&amp;cbIdx=1106" TargetMode="External"/><Relationship Id="rId33" Type="http://schemas.openxmlformats.org/officeDocument/2006/relationships/hyperlink" Target="https://www.ccourt.go.kr/site/kor/ex/bbs/View.do?bcIdx=941762&amp;cbIdx=1106" TargetMode="External"/><Relationship Id="rId34" Type="http://schemas.openxmlformats.org/officeDocument/2006/relationships/hyperlink" Target="https://www.law.go.kr/precInfoP.do?precSeq=118061" TargetMode="External"/><Relationship Id="rId35" Type="http://schemas.openxmlformats.org/officeDocument/2006/relationships/hyperlink" Target="https://www.ccourt.go.kr/site/kor/ex/bbs/View.do?bcIdx=1007778&amp;cbIdx=1106" TargetMode="External"/><Relationship Id="rId36" Type="http://schemas.openxmlformats.org/officeDocument/2006/relationships/hyperlink" Target="https://www.judiciary.uk/wp-content/uploads/2020/08/R-Bridges-v-CC-South-Wales-ors-Judgment.pdf" TargetMode="External"/><Relationship Id="rId37" Type="http://schemas.openxmlformats.org/officeDocument/2006/relationships/hyperlink" Target="https://www.judiciary.uk/wp-content/uploads/2026/04/AC-2024-LON-001764-R-Thompson-and-Carlo-version-for-hand-down-21-04-2026.pdf" TargetMode="External"/><Relationship Id="rId38" Type="http://schemas.openxmlformats.org/officeDocument/2006/relationships/hyperlink" Target="https://hudoc.echr.coe.int/app/conversion/pdf/?library=ECHR&amp;id=001-225655&amp;filename=CASE%20OF%20GLUKHIN%20v.%20RUSSIA.pdf" TargetMode="External"/><Relationship Id="rId39" Type="http://schemas.openxmlformats.org/officeDocument/2006/relationships/hyperlink" Target="https://www.met.police.uk/SysSiteAssets/media/downloads/force-content/met/advice/lfr/other-lfr-documents/live-facial-recognition-annual-report-2025.pdf" TargetMode="External"/><Relationship Id="rId40" Type="http://schemas.openxmlformats.org/officeDocument/2006/relationships/hyperlink" Target="https://ai-act-service-desk.ec.europa.eu/en/ai-act/article-5" TargetMode="External"/><Relationship Id="rId41" Type="http://schemas.openxmlformats.org/officeDocument/2006/relationships/hyperlink" Target="https://www.mois.go.kr/frt/sub/a06/b10/cctvBasedonAi/screen.do" TargetMode="External"/><Relationship Id="rId42" Type="http://schemas.openxmlformats.org/officeDocument/2006/relationships/hyperlink" Target="https://www.korea.kr/news/policyNewsView.do?newsId=148968947&amp;pWise=main&amp;pWiseMain=A11" TargetMode="External"/><Relationship Id="rId43" Type="http://schemas.openxmlformats.org/officeDocument/2006/relationships/hyperlink" Target="https://gonggam.korea.kr/newsContentView.es?b_list=9&amp;code_cd=&amp;content=&amp;mid=a12605000000&amp;nPage=1&amp;news_id=a19b4b5e-fad6-4a3a-9120-5e9488c3a8d9&amp;section_id=NCCD_CULTURE_TOTAL" TargetMode="External"/><Relationship Id="rId44" Type="http://schemas.openxmlformats.org/officeDocument/2006/relationships/hyperlink" Target="https://news.met.police.uk/news/met-makes-one-arrest-every-35-minutes-during-live-facial-recognition-pilot-509256" TargetMode="External"/><Relationship Id="rId45" Type="http://schemas.openxmlformats.org/officeDocument/2006/relationships/hyperlink" Target="https://science.police.uk/site/assets/files/3396/frt-equitability-study_mar2023.pdf" TargetMode="External"/><Relationship Id="rId46" Type="http://schemas.openxmlformats.org/officeDocument/2006/relationships/hyperlink" Target="https://www.nist.gov/news-events/news/2019/12/nist-study-evaluates-effects-race-age-sex-face-recognition-software" TargetMode="External"/><Relationship Id="rId47" Type="http://schemas.openxmlformats.org/officeDocument/2006/relationships/hyperlink" Target="https://www.aclu.org/press-releases/civil-rights-advocates-achieve-the-nations-strongest-police-department-policy-on-facial-recognition-technology" TargetMode="External"/><Relationship Id="rId48" Type="http://schemas.openxmlformats.org/officeDocument/2006/relationships/hyperlink" Target="https://www.nars.go.kr/report/view.do?brdSeq=42727&amp;cmsCode=CM0043" TargetMode="External"/><Relationship Id="rId49" Type="http://schemas.openxmlformats.org/officeDocument/2006/relationships/hyperlink" Target="https://idr.jinbo.net/2994" TargetMode="External"/><Relationship Id="rId50" Type="http://schemas.openxmlformats.org/officeDocument/2006/relationships/hyperlink" Target="https://www.gov.uk/government/consultations/legal-framework-for-using-facial-recognition-in-law-enforcement/consultation-on-a-new-legal-framework-for-law-enforcement-use-of-biometrics-facial-recognition-and-similar-technologies-accessible" TargetMode="External"/><Relationship Id="rId51" Type="http://schemas.openxmlformats.org/officeDocument/2006/relationships/hyperlink" Target="https://www.gov.uk/government/publications/commissioners-response-to-the-live-facial-recognition-consultation/commissioners-response-to-the-live-facial-recognition-consultation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 CCTV AI 실시간 식별 자료조사 보완본</dc:title>
  <dc:subject>범죄 용의자를 식별·체포하기 위해 공공 CCTV 영상을 AI로 실시간 분석하는 것을 허용하여야 하는가?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