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0"/>
      </w:pPr>
      <w:r>
        <w:rPr>
          <w:rFonts w:ascii="Pretendard" w:hAnsi="Pretendard" w:eastAsia="Pretendard"/>
          <w:b/>
          <w:color w:val="A8871C"/>
          <w:sz w:val="20"/>
        </w:rPr>
        <w:t>POLICE UNIVERSITY  ·  CRIME &amp; PUBLIC SAFETY</w:t>
      </w:r>
    </w:p>
    <w:p>
      <w:pPr>
        <w:widowControl/>
        <w:spacing w:after="100"/>
      </w:pPr>
      <w:r>
        <w:rPr>
          <w:rFonts w:ascii="Pretendard" w:hAnsi="Pretendard" w:eastAsia="Pretendard"/>
          <w:b/>
          <w:color w:val="20285F"/>
          <w:sz w:val="38"/>
        </w:rPr>
        <w:t>제5장</w:t>
      </w:r>
    </w:p>
    <w:p>
      <w:pPr>
        <w:pStyle w:val="Title"/>
        <w:widowControl/>
      </w:pPr>
      <w:r>
        <w:rPr>
          <w:rFonts w:ascii="Pretendard" w:hAnsi="Pretendard" w:eastAsia="Pretendard"/>
          <w:b w:val="0"/>
        </w:rPr>
        <w:t>치료·재활 우선의</w:t>
        <w:br/>
        <w:t>조건과 한계</w:t>
      </w:r>
    </w:p>
    <w:p>
      <w:pPr>
        <w:widowControl/>
        <w:spacing w:after="560"/>
      </w:pPr>
      <w:r>
        <w:rPr>
          <w:rFonts w:ascii="Pretendard" w:hAnsi="Pretendard" w:eastAsia="Pretendard"/>
          <w:b w:val="0"/>
          <w:color w:val="626C7B"/>
          <w:sz w:val="26"/>
        </w:rPr>
        <w:t>상세 PPT 구성안 · 화면 문구 · 강의 대본 · 출처 검증</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이번 강의의 논제</w:t>
            </w:r>
          </w:p>
          <w:p>
            <w:pPr>
              <w:keepNext w:val="0"/>
              <w:widowControl/>
              <w:spacing w:after="60" w:before="20" w:line="283" w:lineRule="auto"/>
            </w:pPr>
            <w:r>
              <w:rPr>
                <w:rFonts w:ascii="Pretendard" w:hAnsi="Pretendard" w:eastAsia="Pretendard"/>
                <w:b w:val="0"/>
                <w:color w:val="28303E"/>
                <w:sz w:val="21"/>
              </w:rPr>
              <w:t>마약류를 투약·사용한 청소년에게는</w:t>
            </w:r>
          </w:p>
          <w:p>
            <w:pPr>
              <w:keepNext w:val="0"/>
              <w:widowControl/>
              <w:spacing w:after="60" w:before="20" w:line="283" w:lineRule="auto"/>
            </w:pPr>
            <w:r>
              <w:rPr>
                <w:rFonts w:ascii="Pretendard" w:hAnsi="Pretendard" w:eastAsia="Pretendard"/>
                <w:b w:val="0"/>
                <w:color w:val="28303E"/>
                <w:sz w:val="21"/>
              </w:rPr>
              <w:t>형사처벌보다 치료·재활을 우선하여야 하는가?</w:t>
            </w:r>
          </w:p>
        </w:tc>
      </w:tr>
    </w:tbl>
    <w:p>
      <w:pPr>
        <w:widowControl/>
        <w:spacing w:after="0"/>
      </w:pPr>
    </w:p>
    <w:p>
      <w:pPr>
        <w:widowControl/>
        <w:spacing w:after="360"/>
      </w:pPr>
      <w:r>
        <w:rPr>
          <w:rFonts w:ascii="Pretendard" w:hAnsi="Pretendard" w:eastAsia="Pretendard"/>
          <w:b/>
          <w:sz w:val="22"/>
        </w:rPr>
        <w:t>기준본</w:t>
      </w:r>
      <w:r>
        <w:rPr>
          <w:rFonts w:ascii="Pretendard" w:hAnsi="Pretendard" w:eastAsia="Pretendard"/>
          <w:b w:val="0"/>
          <w:sz w:val="22"/>
        </w:rPr>
        <w:t xml:space="preserve">  w4_ch1_v14.pptx, 37쪽</w:t>
        <w:br/>
      </w:r>
      <w:r>
        <w:rPr>
          <w:rFonts w:ascii="Pretendard" w:hAnsi="Pretendard" w:eastAsia="Pretendard"/>
          <w:b/>
          <w:sz w:val="22"/>
        </w:rPr>
        <w:t>제작규칙</w:t>
      </w:r>
      <w:r>
        <w:rPr>
          <w:rFonts w:ascii="Pretendard" w:hAnsi="Pretendard" w:eastAsia="Pretendard"/>
          <w:b w:val="0"/>
          <w:sz w:val="22"/>
        </w:rPr>
        <w:t xml:space="preserve">  jskwon89/lecture · PPT Canonical v1.4</w:t>
        <w:br/>
      </w:r>
      <w:r>
        <w:rPr>
          <w:rFonts w:ascii="Pretendard" w:hAnsi="Pretendard" w:eastAsia="Pretendard"/>
          <w:b/>
          <w:sz w:val="22"/>
        </w:rPr>
        <w:t>설계 범위</w:t>
      </w:r>
      <w:r>
        <w:rPr>
          <w:rFonts w:ascii="Pretendard" w:hAnsi="Pretendard" w:eastAsia="Pretendard"/>
          <w:b w:val="0"/>
          <w:sz w:val="22"/>
        </w:rPr>
        <w:t xml:space="preserve">  제5장 본편 9개 슬라이드(C5-01~C5-09)</w:t>
        <w:br/>
      </w:r>
      <w:r>
        <w:rPr>
          <w:rFonts w:ascii="Pretendard" w:hAnsi="Pretendard" w:eastAsia="Pretendard"/>
          <w:b/>
          <w:sz w:val="22"/>
        </w:rPr>
        <w:t>다음 단원</w:t>
      </w:r>
      <w:r>
        <w:rPr>
          <w:rFonts w:ascii="Pretendard" w:hAnsi="Pretendard" w:eastAsia="Pretendard"/>
          <w:b w:val="0"/>
          <w:sz w:val="22"/>
        </w:rPr>
        <w:t xml:space="preserve">  제6장 「주요 논거와 최종 판단」</w:t>
        <w:br/>
      </w:r>
      <w:r>
        <w:rPr>
          <w:rFonts w:ascii="Pretendard" w:hAnsi="Pretendard" w:eastAsia="Pretendard"/>
          <w:b/>
          <w:sz w:val="22"/>
        </w:rPr>
        <w:t>확인 기준일</w:t>
      </w:r>
      <w:r>
        <w:rPr>
          <w:rFonts w:ascii="Pretendard" w:hAnsi="Pretendard" w:eastAsia="Pretendard"/>
          <w:b w:val="0"/>
          <w:sz w:val="22"/>
        </w:rPr>
        <w:t xml:space="preserve">  2026년 9월 19일</w:t>
      </w:r>
    </w:p>
    <w:p>
      <w:pPr>
        <w:pStyle w:val="Heading2"/>
        <w:widowControl/>
      </w:pPr>
      <w:r>
        <w:rPr>
          <w:rFonts w:ascii="Pretendard" w:hAnsi="Pretendard" w:eastAsia="Pretendard"/>
          <w:b w:val="0"/>
        </w:rPr>
        <w:t>제5장이 새로 보태는 내용</w:t>
      </w:r>
    </w:p>
    <w:p>
      <w:pPr>
        <w:widowControl/>
      </w:pPr>
      <w:r>
        <w:rPr>
          <w:rFonts w:ascii="Pretendard" w:hAnsi="Pretendard" w:eastAsia="Pretendard"/>
          <w:b w:val="0"/>
        </w:rPr>
        <w:t xml:space="preserve">앞 단원의 제도 소개와 효과연구를 반복하지 않고, </w:t>
      </w:r>
      <w:r>
        <w:rPr>
          <w:rFonts w:ascii="Pretendard" w:hAnsi="Pretendard" w:eastAsia="Pretendard"/>
          <w:b/>
        </w:rPr>
        <w:t>누구를 선별하고, 재사용·불이행에 어떻게 대응하며, 어떤 권한으로 감독하고, 실제 치료를 어떻게 시작·완수하게 할 것인지</w:t>
      </w:r>
      <w:r>
        <w:rPr>
          <w:rFonts w:ascii="Pretendard" w:hAnsi="Pretendard" w:eastAsia="Pretendard"/>
          <w:b w:val="0"/>
        </w:rPr>
        <w:t>를 구체화한다.</w:t>
      </w:r>
    </w:p>
    <w:p>
      <w:pPr>
        <w:widowControl/>
      </w:pPr>
      <w:r>
        <w:rPr>
          <w:rFonts w:ascii="Pretendard" w:hAnsi="Pretendard" w:eastAsia="Pretendard"/>
          <w:b w:val="0"/>
          <w:color w:val="626C7B"/>
          <w:sz w:val="20"/>
        </w:rPr>
        <w:t>9개 슬라이드는 새로운 단원을 늘린 것이 아니라, 현행 목차의 제5장 한 단원을 화면 단위로 세분화한 것이다. 제6장의 주요 논거·최종 판단은 여기서 대신하지 않는다.</w:t>
      </w:r>
    </w:p>
    <w:p>
      <w:pPr>
        <w:widowControl/>
      </w:pPr>
      <w:r>
        <w:br w:type="page"/>
      </w:r>
    </w:p>
    <w:p>
      <w:pPr>
        <w:widowControl/>
        <w:spacing w:after="120"/>
      </w:pPr>
      <w:r>
        <w:rPr>
          <w:rFonts w:ascii="Pretendard" w:hAnsi="Pretendard" w:eastAsia="Pretendard"/>
          <w:b/>
          <w:color w:val="A8871C"/>
          <w:sz w:val="19"/>
        </w:rPr>
        <w:t>01  /  설계의 기준</w:t>
      </w:r>
    </w:p>
    <w:p>
      <w:pPr>
        <w:pStyle w:val="Heading1"/>
        <w:widowControl/>
      </w:pPr>
      <w:r>
        <w:rPr>
          <w:rFonts w:ascii="Pretendard" w:hAnsi="Pretendard" w:eastAsia="Pretendard"/>
          <w:b w:val="0"/>
        </w:rPr>
        <w:t>현행 목차는 유지하고 제5장의 역할을 좁힌다</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3685"/>
        <w:gridCol w:w="6066"/>
      </w:tblGrid>
      <w:tr>
        <w:trPr>
          <w:tblHeader/>
          <w:cantSplit/>
        </w:trPr>
        <w:tc>
          <w:tcPr>
            <w:tcW w:type="dxa" w:w="3685"/>
            <w:shd w:fill="20285F"/>
            <w:vAlign w:val="center"/>
          </w:tcPr>
          <w:p>
            <w:pPr>
              <w:keepNext w:val="0"/>
              <w:widowControl/>
              <w:spacing w:after="60" w:before="20" w:line="283" w:lineRule="auto"/>
            </w:pPr>
            <w:r/>
            <w:r>
              <w:rPr>
                <w:rFonts w:ascii="Pretendard" w:hAnsi="Pretendard" w:eastAsia="Pretendard"/>
                <w:b/>
                <w:color w:val="FFFFFF"/>
                <w:sz w:val="19"/>
              </w:rPr>
              <w:t>현행 단원</w:t>
            </w:r>
          </w:p>
        </w:tc>
        <w:tc>
          <w:tcPr>
            <w:tcW w:type="dxa" w:w="6066"/>
            <w:shd w:fill="20285F"/>
            <w:vAlign w:val="center"/>
          </w:tcPr>
          <w:p>
            <w:pPr>
              <w:keepNext w:val="0"/>
              <w:widowControl/>
              <w:spacing w:after="60" w:before="20" w:line="283" w:lineRule="auto"/>
            </w:pPr>
            <w:r/>
            <w:r>
              <w:rPr>
                <w:rFonts w:ascii="Pretendard" w:hAnsi="Pretendard" w:eastAsia="Pretendard"/>
                <w:b/>
                <w:color w:val="FFFFFF"/>
                <w:sz w:val="19"/>
              </w:rPr>
              <w:t>이번 설계와의 관계</w:t>
            </w:r>
          </w:p>
        </w:tc>
      </w:tr>
      <w:tr>
        <w:trPr>
          <w:cantSplit/>
        </w:trPr>
        <w:tc>
          <w:tcPr>
            <w:tcW w:type="dxa" w:w="3685"/>
            <w:vAlign w:val="center"/>
          </w:tcPr>
          <w:p>
            <w:pPr>
              <w:keepNext w:val="0"/>
              <w:widowControl/>
              <w:spacing w:after="60" w:before="20" w:line="283" w:lineRule="auto"/>
            </w:pPr>
            <w:r/>
            <w:r>
              <w:rPr>
                <w:rFonts w:ascii="Pretendard" w:hAnsi="Pretendard" w:eastAsia="Pretendard"/>
                <w:b w:val="0"/>
                <w:color w:val="28303E"/>
                <w:sz w:val="19"/>
              </w:rPr>
              <w:t>1. 청소년 마약류 사용과 현행 대응</w:t>
            </w:r>
          </w:p>
        </w:tc>
        <w:tc>
          <w:tcPr>
            <w:tcW w:type="dxa" w:w="6066"/>
            <w:vAlign w:val="center"/>
          </w:tcPr>
          <w:p>
            <w:pPr>
              <w:keepNext w:val="0"/>
              <w:widowControl/>
              <w:spacing w:after="60" w:before="20" w:line="283" w:lineRule="auto"/>
            </w:pPr>
            <w:r/>
            <w:r>
              <w:rPr>
                <w:rFonts w:ascii="Pretendard" w:hAnsi="Pretendard" w:eastAsia="Pretendard"/>
                <w:b w:val="0"/>
                <w:color w:val="28303E"/>
                <w:sz w:val="19"/>
              </w:rPr>
              <w:t>처리경로·처분·기관·서비스 소개는 이미 제시했다.</w:t>
            </w:r>
          </w:p>
        </w:tc>
      </w:tr>
      <w:tr>
        <w:trPr>
          <w:cantSplit/>
        </w:trPr>
        <w:tc>
          <w:tcPr>
            <w:tcW w:type="dxa" w:w="3685"/>
            <w:vAlign w:val="center"/>
            <w:shd w:fill="F8F9FB"/>
          </w:tcPr>
          <w:p>
            <w:pPr>
              <w:keepNext w:val="0"/>
              <w:widowControl/>
              <w:spacing w:after="60" w:before="20" w:line="283" w:lineRule="auto"/>
            </w:pPr>
            <w:r/>
            <w:r>
              <w:rPr>
                <w:rFonts w:ascii="Pretendard" w:hAnsi="Pretendard" w:eastAsia="Pretendard"/>
                <w:b w:val="0"/>
                <w:color w:val="28303E"/>
                <w:sz w:val="19"/>
              </w:rPr>
              <w:t>2. 청소년 마약류의 실태와 사용 맥락</w:t>
            </w:r>
          </w:p>
        </w:tc>
        <w:tc>
          <w:tcPr>
            <w:tcW w:type="dxa" w:w="6066"/>
            <w:vAlign w:val="center"/>
            <w:shd w:fill="F8F9FB"/>
          </w:tcPr>
          <w:p>
            <w:pPr>
              <w:keepNext w:val="0"/>
              <w:widowControl/>
              <w:spacing w:after="60" w:before="20" w:line="283" w:lineRule="auto"/>
            </w:pPr>
            <w:r/>
            <w:r>
              <w:rPr>
                <w:rFonts w:ascii="Pretendard" w:hAnsi="Pretendard" w:eastAsia="Pretendard"/>
                <w:b w:val="0"/>
                <w:color w:val="28303E"/>
                <w:sz w:val="19"/>
              </w:rPr>
              <w:t>또래·온라인 유입, 도움요청 지연, 기관 접촉 사례는 반복하지 않는다.</w:t>
            </w:r>
          </w:p>
        </w:tc>
      </w:tr>
      <w:tr>
        <w:trPr>
          <w:cantSplit/>
        </w:trPr>
        <w:tc>
          <w:tcPr>
            <w:tcW w:type="dxa" w:w="3685"/>
            <w:vAlign w:val="center"/>
          </w:tcPr>
          <w:p>
            <w:pPr>
              <w:keepNext w:val="0"/>
              <w:widowControl/>
              <w:spacing w:after="60" w:before="20" w:line="283" w:lineRule="auto"/>
            </w:pPr>
            <w:r/>
            <w:r>
              <w:rPr>
                <w:rFonts w:ascii="Pretendard" w:hAnsi="Pretendard" w:eastAsia="Pretendard"/>
                <w:b w:val="0"/>
                <w:color w:val="28303E"/>
                <w:sz w:val="19"/>
              </w:rPr>
              <w:t>3. 형사처벌과 치료·재활의 효과</w:t>
            </w:r>
          </w:p>
        </w:tc>
        <w:tc>
          <w:tcPr>
            <w:tcW w:type="dxa" w:w="6066"/>
            <w:vAlign w:val="center"/>
          </w:tcPr>
          <w:p>
            <w:pPr>
              <w:keepNext w:val="0"/>
              <w:widowControl/>
              <w:spacing w:after="60" w:before="20" w:line="283" w:lineRule="auto"/>
            </w:pPr>
            <w:r/>
            <w:r>
              <w:rPr>
                <w:rFonts w:ascii="Pretendard" w:hAnsi="Pretendard" w:eastAsia="Pretendard"/>
                <w:b w:val="0"/>
                <w:color w:val="28303E"/>
                <w:sz w:val="19"/>
              </w:rPr>
              <w:t>Stanger·Henggeler·Belenko·구금 연구·JDTC 메타분석의 효과는 다시 강의하지 않는다.</w:t>
            </w:r>
          </w:p>
        </w:tc>
      </w:tr>
      <w:tr>
        <w:trPr>
          <w:cantSplit/>
        </w:trPr>
        <w:tc>
          <w:tcPr>
            <w:tcW w:type="dxa" w:w="3685"/>
            <w:vAlign w:val="center"/>
            <w:shd w:fill="F8F9FB"/>
          </w:tcPr>
          <w:p>
            <w:pPr>
              <w:keepNext w:val="0"/>
              <w:widowControl/>
              <w:spacing w:after="60" w:before="20" w:line="283" w:lineRule="auto"/>
            </w:pPr>
            <w:r/>
            <w:r>
              <w:rPr>
                <w:rFonts w:ascii="Pretendard" w:hAnsi="Pretendard" w:eastAsia="Pretendard"/>
                <w:b w:val="0"/>
                <w:color w:val="28303E"/>
                <w:sz w:val="19"/>
              </w:rPr>
              <w:t>4. 청소년의 특성과 처우</w:t>
            </w:r>
          </w:p>
        </w:tc>
        <w:tc>
          <w:tcPr>
            <w:tcW w:type="dxa" w:w="6066"/>
            <w:vAlign w:val="center"/>
            <w:shd w:fill="F8F9FB"/>
          </w:tcPr>
          <w:p>
            <w:pPr>
              <w:keepNext w:val="0"/>
              <w:widowControl/>
              <w:spacing w:after="60" w:before="20" w:line="283" w:lineRule="auto"/>
            </w:pPr>
            <w:r/>
            <w:r>
              <w:rPr>
                <w:rFonts w:ascii="Pretendard" w:hAnsi="Pretendard" w:eastAsia="Pretendard"/>
                <w:b w:val="0"/>
                <w:color w:val="28303E"/>
                <w:sz w:val="19"/>
              </w:rPr>
              <w:t>현재 설계 논의 중인 발달·반복사용·치료필요 설명과 경계를 유지한다.</w:t>
            </w:r>
          </w:p>
        </w:tc>
      </w:tr>
      <w:tr>
        <w:trPr>
          <w:cantSplit/>
        </w:trPr>
        <w:tc>
          <w:tcPr>
            <w:tcW w:type="dxa" w:w="3685"/>
            <w:vAlign w:val="center"/>
          </w:tcPr>
          <w:p>
            <w:pPr>
              <w:keepNext w:val="0"/>
              <w:widowControl/>
              <w:spacing w:after="60" w:before="20" w:line="283" w:lineRule="auto"/>
            </w:pPr>
            <w:r/>
            <w:r>
              <w:rPr>
                <w:rFonts w:ascii="Pretendard" w:hAnsi="Pretendard" w:eastAsia="Pretendard"/>
                <w:b w:val="0"/>
                <w:color w:val="28303E"/>
                <w:sz w:val="19"/>
              </w:rPr>
              <w:t>5. 치료·재활 우선의 조건과 한계</w:t>
            </w:r>
          </w:p>
        </w:tc>
        <w:tc>
          <w:tcPr>
            <w:tcW w:type="dxa" w:w="6066"/>
            <w:vAlign w:val="center"/>
          </w:tcPr>
          <w:p>
            <w:pPr>
              <w:keepNext w:val="0"/>
              <w:widowControl/>
              <w:spacing w:after="60" w:before="20" w:line="283" w:lineRule="auto"/>
            </w:pPr>
            <w:r/>
            <w:r>
              <w:rPr>
                <w:rFonts w:ascii="Pretendard" w:hAnsi="Pretendard" w:eastAsia="Pretendard"/>
                <w:b w:val="0"/>
                <w:color w:val="28303E"/>
                <w:sz w:val="19"/>
              </w:rPr>
              <w:t>대상 선정 · 법적 감독 · 인프라 · 권리 보장을 실제 운영 문제로 전개한다.</w:t>
            </w:r>
          </w:p>
        </w:tc>
      </w:tr>
      <w:tr>
        <w:trPr>
          <w:cantSplit/>
        </w:trPr>
        <w:tc>
          <w:tcPr>
            <w:tcW w:type="dxa" w:w="3685"/>
            <w:vAlign w:val="center"/>
            <w:shd w:fill="F8F9FB"/>
          </w:tcPr>
          <w:p>
            <w:pPr>
              <w:keepNext w:val="0"/>
              <w:widowControl/>
              <w:spacing w:after="60" w:before="20" w:line="283" w:lineRule="auto"/>
            </w:pPr>
            <w:r/>
            <w:r>
              <w:rPr>
                <w:rFonts w:ascii="Pretendard" w:hAnsi="Pretendard" w:eastAsia="Pretendard"/>
                <w:b w:val="0"/>
                <w:color w:val="28303E"/>
                <w:sz w:val="19"/>
              </w:rPr>
              <w:t>6. 주요 논거와 최종 판단</w:t>
            </w:r>
          </w:p>
        </w:tc>
        <w:tc>
          <w:tcPr>
            <w:tcW w:type="dxa" w:w="6066"/>
            <w:vAlign w:val="center"/>
            <w:shd w:fill="F8F9FB"/>
          </w:tcPr>
          <w:p>
            <w:pPr>
              <w:keepNext w:val="0"/>
              <w:widowControl/>
              <w:spacing w:after="60" w:before="20" w:line="283" w:lineRule="auto"/>
            </w:pPr>
            <w:r/>
            <w:r>
              <w:rPr>
                <w:rFonts w:ascii="Pretendard" w:hAnsi="Pretendard" w:eastAsia="Pretendard"/>
                <w:b w:val="0"/>
                <w:color w:val="28303E"/>
                <w:sz w:val="19"/>
              </w:rPr>
              <w:t>1~5장의 자료를 입장별 논거와 최종 판단 질문으로 회수한다.</w:t>
            </w:r>
          </w:p>
        </w:tc>
      </w:tr>
    </w:tbl>
    <w:p>
      <w:pPr>
        <w:widowControl/>
        <w:spacing w:after="20"/>
      </w:pPr>
    </w:p>
    <w:p>
      <w:pPr>
        <w:pStyle w:val="Heading2"/>
        <w:widowControl/>
      </w:pPr>
      <w:r>
        <w:rPr>
          <w:rFonts w:ascii="Pretendard" w:hAnsi="Pretendard" w:eastAsia="Pretendard"/>
          <w:b w:val="0"/>
        </w:rPr>
        <w:t>제4장과 제5장의 경계</w:t>
      </w:r>
    </w:p>
    <w:p>
      <w:pPr>
        <w:widowControl/>
      </w:pPr>
      <w:r>
        <w:rPr>
          <w:rFonts w:ascii="Pretendard" w:hAnsi="Pretendard" w:eastAsia="Pretendard"/>
          <w:b w:val="0"/>
        </w:rPr>
        <w:t xml:space="preserve">제4장은 </w:t>
      </w:r>
      <w:r>
        <w:rPr>
          <w:rFonts w:ascii="Pretendard" w:hAnsi="Pretendard" w:eastAsia="Pretendard"/>
          <w:b/>
        </w:rPr>
        <w:t>같은 사용행위라도 치료필요와 개입필요가 왜 달라지는지</w:t>
      </w:r>
      <w:r>
        <w:rPr>
          <w:rFonts w:ascii="Pretendard" w:hAnsi="Pretendard" w:eastAsia="Pretendard"/>
          <w:b w:val="0"/>
        </w:rPr>
        <w:t xml:space="preserve">를 설명한다. 제5장은 그 차이를 근거로 </w:t>
      </w:r>
      <w:r>
        <w:rPr>
          <w:rFonts w:ascii="Pretendard" w:hAnsi="Pretendard" w:eastAsia="Pretendard"/>
          <w:b/>
        </w:rPr>
        <w:t>집중 법원치료를 누구에게 적용하고, 진행 중 문제가 생기면 누가 무엇을 결정하는지</w:t>
      </w:r>
      <w:r>
        <w:rPr>
          <w:rFonts w:ascii="Pretendard" w:hAnsi="Pretendard" w:eastAsia="Pretendard"/>
          <w:b w:val="0"/>
        </w:rPr>
        <w:t>를 다룬다. 제4장의 새 문안은 아직 확정본으로 간주하지 않는다.</w:t>
      </w:r>
    </w:p>
    <w:p>
      <w:pPr>
        <w:pStyle w:val="Heading2"/>
        <w:widowControl/>
      </w:pPr>
      <w:r>
        <w:rPr>
          <w:rFonts w:ascii="Pretendard" w:hAnsi="Pretendard" w:eastAsia="Pretendard"/>
          <w:b w:val="0"/>
        </w:rPr>
        <w:t>논제에 대응하는 방식</w:t>
      </w:r>
    </w:p>
    <w:p>
      <w:pPr>
        <w:widowControl/>
      </w:pPr>
      <w:r>
        <w:rPr>
          <w:rFonts w:ascii="Pretendard" w:hAnsi="Pretendard" w:eastAsia="Pretendard"/>
          <w:b w:val="0"/>
        </w:rPr>
        <w:t xml:space="preserve">치료·재활 우선의 기대효과만 강조하지 않는다. 치료기회를 실제로 제공할 조건, 준수 여부를 확인할 감독, 공공안전을 위한 대응, 권리 제한의 근거를 함께 보여준다. </w:t>
      </w:r>
      <w:r>
        <w:rPr>
          <w:rFonts w:ascii="Pretendard" w:hAnsi="Pretendard" w:eastAsia="Pretendard"/>
          <w:b/>
        </w:rPr>
        <w:t>운영상 한계가 발견되었다는 사실만으로 형사처벌 우선이 증명되지는 않는다.</w:t>
      </w:r>
      <w:r>
        <w:rPr>
          <w:rFonts w:ascii="Pretendard" w:hAnsi="Pretendard" w:eastAsia="Pretendard"/>
          <w:b w:val="0"/>
        </w:rPr>
        <w:t xml:space="preserve"> 반대로 감독을 결합할 수 있다는 사실만으로 치료우선이 정답이 되지도 않는다.</w:t>
      </w:r>
    </w:p>
    <w:p>
      <w:pPr>
        <w:pStyle w:val="Caption"/>
        <w:widowControl/>
      </w:pPr>
      <w:r>
        <w:rPr>
          <w:rFonts w:ascii="Pretendard" w:hAnsi="Pretendard" w:eastAsia="Pretendard"/>
          <w:b w:val="0"/>
        </w:rPr>
        <w:t>근거: v14의 목차(2쪽), 논제 범위(3쪽), 현행 대응 정리(16쪽). Git PPT_RULES §4-6 및 PPT_WORKFLOW의 논제-역할 게이트.</w:t>
      </w:r>
    </w:p>
    <w:p>
      <w:pPr>
        <w:widowControl/>
      </w:pPr>
      <w:r>
        <w:br w:type="page"/>
      </w:r>
    </w:p>
    <w:p>
      <w:pPr>
        <w:widowControl/>
        <w:spacing w:after="120"/>
      </w:pPr>
      <w:r>
        <w:rPr>
          <w:rFonts w:ascii="Pretendard" w:hAnsi="Pretendard" w:eastAsia="Pretendard"/>
          <w:b/>
          <w:color w:val="A8871C"/>
          <w:sz w:val="19"/>
        </w:rPr>
        <w:t>02  /  중복 대조</w:t>
      </w:r>
    </w:p>
    <w:p>
      <w:pPr>
        <w:pStyle w:val="Heading1"/>
        <w:widowControl/>
      </w:pPr>
      <w:r>
        <w:rPr>
          <w:rFonts w:ascii="Pretendard" w:hAnsi="Pretendard" w:eastAsia="Pretendard"/>
          <w:b w:val="0"/>
        </w:rPr>
        <w:t>이미 설명한 내용과 제5장의 새 질문</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2438"/>
        <w:gridCol w:w="3118"/>
        <w:gridCol w:w="4195"/>
      </w:tblGrid>
      <w:tr>
        <w:trPr>
          <w:tblHeader/>
          <w:cantSplit/>
        </w:trPr>
        <w:tc>
          <w:tcPr>
            <w:tcW w:type="dxa" w:w="2438"/>
            <w:shd w:fill="20285F"/>
            <w:vAlign w:val="center"/>
          </w:tcPr>
          <w:p>
            <w:pPr>
              <w:keepNext w:val="0"/>
              <w:widowControl/>
              <w:spacing w:after="60" w:before="20" w:line="283" w:lineRule="auto"/>
            </w:pPr>
            <w:r/>
            <w:r>
              <w:rPr>
                <w:rFonts w:ascii="Pretendard" w:hAnsi="Pretendard" w:eastAsia="Pretendard"/>
                <w:b/>
                <w:color w:val="FFFFFF"/>
                <w:sz w:val="18"/>
              </w:rPr>
              <w:t>v14의 기존 내용</w:t>
            </w:r>
          </w:p>
        </w:tc>
        <w:tc>
          <w:tcPr>
            <w:tcW w:type="dxa" w:w="3118"/>
            <w:shd w:fill="20285F"/>
            <w:vAlign w:val="center"/>
          </w:tcPr>
          <w:p>
            <w:pPr>
              <w:keepNext w:val="0"/>
              <w:widowControl/>
              <w:spacing w:after="60" w:before="20" w:line="283" w:lineRule="auto"/>
            </w:pPr>
            <w:r/>
            <w:r>
              <w:rPr>
                <w:rFonts w:ascii="Pretendard" w:hAnsi="Pretendard" w:eastAsia="Pretendard"/>
                <w:b/>
                <w:color w:val="FFFFFF"/>
                <w:sz w:val="18"/>
              </w:rPr>
              <w:t>제5장에서 반복하지 않을 것</w:t>
            </w:r>
          </w:p>
        </w:tc>
        <w:tc>
          <w:tcPr>
            <w:tcW w:type="dxa" w:w="4195"/>
            <w:shd w:fill="20285F"/>
            <w:vAlign w:val="center"/>
          </w:tcPr>
          <w:p>
            <w:pPr>
              <w:keepNext w:val="0"/>
              <w:widowControl/>
              <w:spacing w:after="60" w:before="20" w:line="283" w:lineRule="auto"/>
            </w:pPr>
            <w:r/>
            <w:r>
              <w:rPr>
                <w:rFonts w:ascii="Pretendard" w:hAnsi="Pretendard" w:eastAsia="Pretendard"/>
                <w:b/>
                <w:color w:val="FFFFFF"/>
                <w:sz w:val="18"/>
              </w:rPr>
              <w:t>새로 제시할 내용</w:t>
            </w:r>
          </w:p>
        </w:tc>
      </w:tr>
      <w:tr>
        <w:trPr>
          <w:cantSplit/>
        </w:trPr>
        <w:tc>
          <w:tcPr>
            <w:tcW w:type="dxa" w:w="2438"/>
            <w:vAlign w:val="center"/>
          </w:tcPr>
          <w:p>
            <w:pPr>
              <w:keepNext w:val="0"/>
              <w:widowControl/>
              <w:spacing w:after="60" w:before="20" w:line="283" w:lineRule="auto"/>
            </w:pPr>
            <w:r/>
            <w:r>
              <w:rPr>
                <w:rFonts w:ascii="Pretendard" w:hAnsi="Pretendard" w:eastAsia="Pretendard"/>
                <w:b w:val="0"/>
                <w:color w:val="28303E"/>
                <w:sz w:val="18"/>
              </w:rPr>
              <w:t>3쪽 · 책임과 치료필요</w:t>
            </w:r>
          </w:p>
        </w:tc>
        <w:tc>
          <w:tcPr>
            <w:tcW w:type="dxa" w:w="3118"/>
            <w:vAlign w:val="center"/>
          </w:tcPr>
          <w:p>
            <w:pPr>
              <w:keepNext w:val="0"/>
              <w:widowControl/>
              <w:spacing w:after="60" w:before="20" w:line="283" w:lineRule="auto"/>
            </w:pPr>
            <w:r/>
            <w:r>
              <w:rPr>
                <w:rFonts w:ascii="Pretendard" w:hAnsi="Pretendard" w:eastAsia="Pretendard"/>
                <w:b w:val="0"/>
                <w:color w:val="28303E"/>
                <w:sz w:val="18"/>
              </w:rPr>
              <w:t>두 개념의 정의와 14~18세 범위 재설명</w:t>
            </w:r>
          </w:p>
        </w:tc>
        <w:tc>
          <w:tcPr>
            <w:tcW w:type="dxa" w:w="4195"/>
            <w:vAlign w:val="center"/>
          </w:tcPr>
          <w:p>
            <w:pPr>
              <w:keepNext w:val="0"/>
              <w:widowControl/>
              <w:spacing w:after="60" w:before="20" w:line="283" w:lineRule="auto"/>
            </w:pPr>
            <w:r/>
            <w:r>
              <w:rPr>
                <w:rFonts w:ascii="Pretendard" w:hAnsi="Pretendard" w:eastAsia="Pretendard"/>
                <w:b w:val="0"/>
                <w:color w:val="28303E"/>
                <w:sz w:val="18"/>
              </w:rPr>
              <w:t>집중형 법원치료의 실제 선정기준(C5-01)</w:t>
            </w:r>
          </w:p>
        </w:tc>
      </w:tr>
      <w:tr>
        <w:trPr>
          <w:cantSplit/>
        </w:trPr>
        <w:tc>
          <w:tcPr>
            <w:tcW w:type="dxa" w:w="2438"/>
            <w:vAlign w:val="center"/>
            <w:shd w:fill="F8F9FB"/>
          </w:tcPr>
          <w:p>
            <w:pPr>
              <w:keepNext w:val="0"/>
              <w:widowControl/>
              <w:spacing w:after="60" w:before="20" w:line="283" w:lineRule="auto"/>
            </w:pPr>
            <w:r/>
            <w:r>
              <w:rPr>
                <w:rFonts w:ascii="Pretendard" w:hAnsi="Pretendard" w:eastAsia="Pretendard"/>
                <w:b w:val="0"/>
                <w:color w:val="28303E"/>
                <w:sz w:val="18"/>
              </w:rPr>
              <w:t>9~12쪽 · 보호관찰·치료명령·연계모델</w:t>
            </w:r>
          </w:p>
        </w:tc>
        <w:tc>
          <w:tcPr>
            <w:tcW w:type="dxa" w:w="3118"/>
            <w:vAlign w:val="center"/>
            <w:shd w:fill="F8F9FB"/>
          </w:tcPr>
          <w:p>
            <w:pPr>
              <w:keepNext w:val="0"/>
              <w:widowControl/>
              <w:spacing w:after="60" w:before="20" w:line="283" w:lineRule="auto"/>
            </w:pPr>
            <w:r/>
            <w:r>
              <w:rPr>
                <w:rFonts w:ascii="Pretendard" w:hAnsi="Pretendard" w:eastAsia="Pretendard"/>
                <w:b w:val="0"/>
                <w:color w:val="28303E"/>
                <w:sz w:val="18"/>
              </w:rPr>
              <w:t>처분 목록, 검찰→평가→치료의 전체 흐름</w:t>
            </w:r>
          </w:p>
        </w:tc>
        <w:tc>
          <w:tcPr>
            <w:tcW w:type="dxa" w:w="4195"/>
            <w:vAlign w:val="center"/>
            <w:shd w:fill="F8F9FB"/>
          </w:tcPr>
          <w:p>
            <w:pPr>
              <w:keepNext w:val="0"/>
              <w:widowControl/>
              <w:spacing w:after="60" w:before="20" w:line="283" w:lineRule="auto"/>
            </w:pPr>
            <w:r/>
            <w:r>
              <w:rPr>
                <w:rFonts w:ascii="Pretendard" w:hAnsi="Pretendard" w:eastAsia="Pretendard"/>
                <w:b w:val="0"/>
                <w:color w:val="28303E"/>
                <w:sz w:val="18"/>
              </w:rPr>
              <w:t>위반 원인의 구분과 중대한 위반의 처분변경(C5-02·03)</w:t>
            </w:r>
          </w:p>
        </w:tc>
      </w:tr>
      <w:tr>
        <w:trPr>
          <w:cantSplit/>
        </w:trPr>
        <w:tc>
          <w:tcPr>
            <w:tcW w:type="dxa" w:w="2438"/>
            <w:vAlign w:val="center"/>
          </w:tcPr>
          <w:p>
            <w:pPr>
              <w:keepNext w:val="0"/>
              <w:widowControl/>
              <w:spacing w:after="60" w:before="20" w:line="283" w:lineRule="auto"/>
            </w:pPr>
            <w:r/>
            <w:r>
              <w:rPr>
                <w:rFonts w:ascii="Pretendard" w:hAnsi="Pretendard" w:eastAsia="Pretendard"/>
                <w:b w:val="0"/>
                <w:color w:val="28303E"/>
                <w:sz w:val="18"/>
              </w:rPr>
              <w:t>13~15쪽 · 기관·병상·사후연계</w:t>
            </w:r>
          </w:p>
        </w:tc>
        <w:tc>
          <w:tcPr>
            <w:tcW w:type="dxa" w:w="3118"/>
            <w:vAlign w:val="center"/>
          </w:tcPr>
          <w:p>
            <w:pPr>
              <w:keepNext w:val="0"/>
              <w:widowControl/>
              <w:spacing w:after="60" w:before="20" w:line="283" w:lineRule="auto"/>
            </w:pPr>
            <w:r/>
            <w:r>
              <w:rPr>
                <w:rFonts w:ascii="Pretendard" w:hAnsi="Pretendard" w:eastAsia="Pretendard"/>
                <w:b w:val="0"/>
                <w:color w:val="28303E"/>
                <w:sz w:val="18"/>
              </w:rPr>
              <w:t>32개 기관·332개 지정병상·17개 센터 재나열</w:t>
            </w:r>
          </w:p>
        </w:tc>
        <w:tc>
          <w:tcPr>
            <w:tcW w:type="dxa" w:w="4195"/>
            <w:vAlign w:val="center"/>
          </w:tcPr>
          <w:p>
            <w:pPr>
              <w:keepNext w:val="0"/>
              <w:widowControl/>
              <w:spacing w:after="60" w:before="20" w:line="283" w:lineRule="auto"/>
            </w:pPr>
            <w:r/>
            <w:r>
              <w:rPr>
                <w:rFonts w:ascii="Pretendard" w:hAnsi="Pretendard" w:eastAsia="Pretendard"/>
                <w:b w:val="0"/>
                <w:color w:val="28303E"/>
                <w:sz w:val="18"/>
              </w:rPr>
              <w:t>당일 입소 가능성, 대기, 첫 방문 확인(C5-08·09)</w:t>
            </w:r>
          </w:p>
        </w:tc>
      </w:tr>
      <w:tr>
        <w:trPr>
          <w:cantSplit/>
        </w:trPr>
        <w:tc>
          <w:tcPr>
            <w:tcW w:type="dxa" w:w="2438"/>
            <w:vAlign w:val="center"/>
            <w:shd w:fill="F8F9FB"/>
          </w:tcPr>
          <w:p>
            <w:pPr>
              <w:keepNext w:val="0"/>
              <w:widowControl/>
              <w:spacing w:after="60" w:before="20" w:line="283" w:lineRule="auto"/>
            </w:pPr>
            <w:r/>
            <w:r>
              <w:rPr>
                <w:rFonts w:ascii="Pretendard" w:hAnsi="Pretendard" w:eastAsia="Pretendard"/>
                <w:b w:val="0"/>
                <w:color w:val="28303E"/>
                <w:sz w:val="18"/>
              </w:rPr>
              <w:t>20~25쪽 · 관계·도움요청·지원 공백</w:t>
            </w:r>
          </w:p>
        </w:tc>
        <w:tc>
          <w:tcPr>
            <w:tcW w:type="dxa" w:w="3118"/>
            <w:vAlign w:val="center"/>
            <w:shd w:fill="F8F9FB"/>
          </w:tcPr>
          <w:p>
            <w:pPr>
              <w:keepNext w:val="0"/>
              <w:widowControl/>
              <w:spacing w:after="60" w:before="20" w:line="283" w:lineRule="auto"/>
            </w:pPr>
            <w:r/>
            <w:r>
              <w:rPr>
                <w:rFonts w:ascii="Pretendard" w:hAnsi="Pretendard" w:eastAsia="Pretendard"/>
                <w:b w:val="0"/>
                <w:color w:val="28303E"/>
                <w:sz w:val="18"/>
              </w:rPr>
              <w:t>또래 유입과 부모에게 숨긴 사례 재소개</w:t>
            </w:r>
          </w:p>
        </w:tc>
        <w:tc>
          <w:tcPr>
            <w:tcW w:type="dxa" w:w="4195"/>
            <w:vAlign w:val="center"/>
            <w:shd w:fill="F8F9FB"/>
          </w:tcPr>
          <w:p>
            <w:pPr>
              <w:keepNext w:val="0"/>
              <w:widowControl/>
              <w:spacing w:after="60" w:before="20" w:line="283" w:lineRule="auto"/>
            </w:pPr>
            <w:r/>
            <w:r>
              <w:rPr>
                <w:rFonts w:ascii="Pretendard" w:hAnsi="Pretendard" w:eastAsia="Pretendard"/>
                <w:b w:val="0"/>
                <w:color w:val="28303E"/>
                <w:sz w:val="18"/>
              </w:rPr>
              <w:t>불참을 거부로 단정하지 않고 실제 접근장벽을 확인하는 운영안(C5-02)</w:t>
            </w:r>
          </w:p>
        </w:tc>
      </w:tr>
      <w:tr>
        <w:trPr>
          <w:cantSplit/>
        </w:trPr>
        <w:tc>
          <w:tcPr>
            <w:tcW w:type="dxa" w:w="2438"/>
            <w:vAlign w:val="center"/>
          </w:tcPr>
          <w:p>
            <w:pPr>
              <w:keepNext w:val="0"/>
              <w:widowControl/>
              <w:spacing w:after="60" w:before="20" w:line="283" w:lineRule="auto"/>
            </w:pPr>
            <w:r/>
            <w:r>
              <w:rPr>
                <w:rFonts w:ascii="Pretendard" w:hAnsi="Pretendard" w:eastAsia="Pretendard"/>
                <w:b w:val="0"/>
                <w:color w:val="28303E"/>
                <w:sz w:val="18"/>
              </w:rPr>
              <w:t>27~30쪽 · JDTC·MST·CM</w:t>
            </w:r>
          </w:p>
        </w:tc>
        <w:tc>
          <w:tcPr>
            <w:tcW w:type="dxa" w:w="3118"/>
            <w:vAlign w:val="center"/>
          </w:tcPr>
          <w:p>
            <w:pPr>
              <w:keepNext w:val="0"/>
              <w:widowControl/>
              <w:spacing w:after="60" w:before="20" w:line="283" w:lineRule="auto"/>
            </w:pPr>
            <w:r/>
            <w:r>
              <w:rPr>
                <w:rFonts w:ascii="Pretendard" w:hAnsi="Pretendard" w:eastAsia="Pretendard"/>
                <w:b w:val="0"/>
                <w:color w:val="28303E"/>
                <w:sz w:val="18"/>
              </w:rPr>
              <w:t>JDTC 정의, 가족치료 내용, 소변검사 효과 수치</w:t>
            </w:r>
          </w:p>
        </w:tc>
        <w:tc>
          <w:tcPr>
            <w:tcW w:type="dxa" w:w="4195"/>
            <w:vAlign w:val="center"/>
          </w:tcPr>
          <w:p>
            <w:pPr>
              <w:keepNext w:val="0"/>
              <w:widowControl/>
              <w:spacing w:after="60" w:before="20" w:line="283" w:lineRule="auto"/>
            </w:pPr>
            <w:r/>
            <w:r>
              <w:rPr>
                <w:rFonts w:ascii="Pretendard" w:hAnsi="Pretendard" w:eastAsia="Pretendard"/>
                <w:b w:val="0"/>
                <w:color w:val="28303E"/>
                <w:sz w:val="18"/>
              </w:rPr>
              <w:t>집중경로의 대상과 감독권한의 한계(C5-01·04·05)</w:t>
            </w:r>
          </w:p>
        </w:tc>
      </w:tr>
      <w:tr>
        <w:trPr>
          <w:cantSplit/>
        </w:trPr>
        <w:tc>
          <w:tcPr>
            <w:tcW w:type="dxa" w:w="2438"/>
            <w:vAlign w:val="center"/>
            <w:shd w:fill="F8F9FB"/>
          </w:tcPr>
          <w:p>
            <w:pPr>
              <w:keepNext w:val="0"/>
              <w:widowControl/>
              <w:spacing w:after="60" w:before="20" w:line="283" w:lineRule="auto"/>
            </w:pPr>
            <w:r/>
            <w:r>
              <w:rPr>
                <w:rFonts w:ascii="Pretendard" w:hAnsi="Pretendard" w:eastAsia="Pretendard"/>
                <w:b w:val="0"/>
                <w:color w:val="28303E"/>
                <w:sz w:val="18"/>
              </w:rPr>
              <w:t>31~32쪽 · JDTC 메타분석</w:t>
            </w:r>
          </w:p>
        </w:tc>
        <w:tc>
          <w:tcPr>
            <w:tcW w:type="dxa" w:w="3118"/>
            <w:vAlign w:val="center"/>
            <w:shd w:fill="F8F9FB"/>
          </w:tcPr>
          <w:p>
            <w:pPr>
              <w:keepNext w:val="0"/>
              <w:widowControl/>
              <w:spacing w:after="60" w:before="20" w:line="283" w:lineRule="auto"/>
            </w:pPr>
            <w:r/>
            <w:r>
              <w:rPr>
                <w:rFonts w:ascii="Pretendard" w:hAnsi="Pretendard" w:eastAsia="Pretendard"/>
                <w:b w:val="0"/>
                <w:color w:val="28303E"/>
                <w:sz w:val="18"/>
              </w:rPr>
              <w:t>평균 수료율 54.7%와 평균효과 재설명</w:t>
            </w:r>
          </w:p>
        </w:tc>
        <w:tc>
          <w:tcPr>
            <w:tcW w:type="dxa" w:w="4195"/>
            <w:vAlign w:val="center"/>
            <w:shd w:fill="F8F9FB"/>
          </w:tcPr>
          <w:p>
            <w:pPr>
              <w:keepNext w:val="0"/>
              <w:widowControl/>
              <w:spacing w:after="60" w:before="20" w:line="283" w:lineRule="auto"/>
            </w:pPr>
            <w:r/>
            <w:r>
              <w:rPr>
                <w:rFonts w:ascii="Pretendard" w:hAnsi="Pretendard" w:eastAsia="Pretendard"/>
                <w:b w:val="0"/>
                <w:color w:val="28303E"/>
                <w:sz w:val="18"/>
              </w:rPr>
              <w:t>별도 연구에서 제공계획·요소별 참여·완수의 차이(C5-06·07)</w:t>
            </w:r>
          </w:p>
        </w:tc>
      </w:tr>
      <w:tr>
        <w:trPr>
          <w:cantSplit/>
        </w:trPr>
        <w:tc>
          <w:tcPr>
            <w:tcW w:type="dxa" w:w="2438"/>
            <w:vAlign w:val="center"/>
          </w:tcPr>
          <w:p>
            <w:pPr>
              <w:keepNext w:val="0"/>
              <w:widowControl/>
              <w:spacing w:after="60" w:before="20" w:line="283" w:lineRule="auto"/>
            </w:pPr>
            <w:r/>
            <w:r>
              <w:rPr>
                <w:rFonts w:ascii="Pretendard" w:hAnsi="Pretendard" w:eastAsia="Pretendard"/>
                <w:b w:val="0"/>
                <w:color w:val="28303E"/>
                <w:sz w:val="18"/>
              </w:rPr>
              <w:t>33~37쪽 · 효과 종합</w:t>
            </w:r>
          </w:p>
        </w:tc>
        <w:tc>
          <w:tcPr>
            <w:tcW w:type="dxa" w:w="3118"/>
            <w:vAlign w:val="center"/>
          </w:tcPr>
          <w:p>
            <w:pPr>
              <w:keepNext w:val="0"/>
              <w:widowControl/>
              <w:spacing w:after="60" w:before="20" w:line="283" w:lineRule="auto"/>
            </w:pPr>
            <w:r/>
            <w:r>
              <w:rPr>
                <w:rFonts w:ascii="Pretendard" w:hAnsi="Pretendard" w:eastAsia="Pretendard"/>
                <w:b w:val="0"/>
                <w:color w:val="28303E"/>
                <w:sz w:val="18"/>
              </w:rPr>
              <w:t>치료 대 형사처벌의 지지·부담 표 재작성</w:t>
            </w:r>
          </w:p>
        </w:tc>
        <w:tc>
          <w:tcPr>
            <w:tcW w:type="dxa" w:w="4195"/>
            <w:vAlign w:val="center"/>
          </w:tcPr>
          <w:p>
            <w:pPr>
              <w:keepNext w:val="0"/>
              <w:widowControl/>
              <w:spacing w:after="60" w:before="20" w:line="283" w:lineRule="auto"/>
            </w:pPr>
            <w:r/>
            <w:r>
              <w:rPr>
                <w:rFonts w:ascii="Pretendard" w:hAnsi="Pretendard" w:eastAsia="Pretendard"/>
                <w:b w:val="0"/>
                <w:color w:val="28303E"/>
                <w:sz w:val="18"/>
              </w:rPr>
              <w:t>운영조건을 제6장에 넘기되 최종 입장을 결론내리지 않음</w:t>
            </w:r>
          </w:p>
        </w:tc>
      </w:tr>
    </w:tbl>
    <w:p>
      <w:pPr>
        <w:widowControl/>
        <w:spacing w:after="20"/>
      </w:pPr>
    </w:p>
    <w:p>
      <w:pPr>
        <w:pStyle w:val="Heading2"/>
        <w:widowControl/>
      </w:pPr>
      <w:r>
        <w:rPr>
          <w:rFonts w:ascii="Pretendard" w:hAnsi="Pretendard" w:eastAsia="Pretendard"/>
          <w:b w:val="0"/>
        </w:rPr>
        <w:t>반복이 허용되는 범위</w:t>
      </w:r>
    </w:p>
    <w:p>
      <w:pPr>
        <w:widowControl/>
      </w:pPr>
      <w:r>
        <w:rPr>
          <w:rFonts w:ascii="Pretendard" w:hAnsi="Pretendard" w:eastAsia="Pretendard"/>
          <w:b w:val="0"/>
        </w:rPr>
        <w:t xml:space="preserve">기존 용어는 그대로 사용하되, 앞 장 내용을 다시 풀어 쓰는 대신 “앞서 본 보호관찰 경로에서…”처럼 한 문장으로 연결한다. 제5장의 법령은 기존 제32조·제40조의2를 재설명하기보다 </w:t>
      </w:r>
      <w:r>
        <w:rPr>
          <w:rFonts w:ascii="Pretendard" w:hAnsi="Pretendard" w:eastAsia="Pretendard"/>
          <w:b/>
        </w:rPr>
        <w:t>처분변경·결정 전 조사·민감정보 처리</w:t>
      </w:r>
      <w:r>
        <w:rPr>
          <w:rFonts w:ascii="Pretendard" w:hAnsi="Pretendard" w:eastAsia="Pretendard"/>
          <w:b w:val="0"/>
        </w:rPr>
        <w:t>처럼 아직 제시하지 않은 조문에 초점을 둔다.</w:t>
      </w:r>
    </w:p>
    <w:p>
      <w:pPr>
        <w:pStyle w:val="Caption"/>
        <w:widowControl/>
      </w:pPr>
      <w:r>
        <w:rPr>
          <w:rFonts w:ascii="Pretendard" w:hAnsi="Pretendard" w:eastAsia="Pretendard"/>
          <w:b w:val="0"/>
        </w:rPr>
        <w:t>이 대조는 현재 첨부된 v14 37쪽 전체의 내용에 한정한다. 과거 초안에만 있던 내용은 “이미 강의한 내용”으로 취급하지 않는다.</w:t>
      </w:r>
    </w:p>
    <w:p>
      <w:pPr>
        <w:widowControl/>
      </w:pPr>
      <w:r>
        <w:br w:type="page"/>
      </w:r>
    </w:p>
    <w:p>
      <w:pPr>
        <w:widowControl/>
        <w:spacing w:after="120"/>
      </w:pPr>
      <w:r>
        <w:rPr>
          <w:rFonts w:ascii="Pretendard" w:hAnsi="Pretendard" w:eastAsia="Pretendard"/>
          <w:b/>
          <w:color w:val="A8871C"/>
          <w:sz w:val="19"/>
        </w:rPr>
        <w:t>03  /  재검증 결과</w:t>
      </w:r>
    </w:p>
    <w:p>
      <w:pPr>
        <w:pStyle w:val="Heading1"/>
        <w:widowControl/>
      </w:pPr>
      <w:r>
        <w:rPr>
          <w:rFonts w:ascii="Pretendard" w:hAnsi="Pretendard" w:eastAsia="Pretendard"/>
          <w:b w:val="0"/>
        </w:rPr>
        <w:t>기존 수집안에서 바로잡은 핵심 사항</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2381"/>
        <w:gridCol w:w="7370"/>
      </w:tblGrid>
      <w:tr>
        <w:trPr>
          <w:tblHeader/>
          <w:cantSplit/>
        </w:trPr>
        <w:tc>
          <w:tcPr>
            <w:tcW w:type="dxa" w:w="2381"/>
            <w:shd w:fill="20285F"/>
            <w:vAlign w:val="center"/>
          </w:tcPr>
          <w:p>
            <w:pPr>
              <w:keepNext w:val="0"/>
              <w:widowControl/>
              <w:spacing w:after="60" w:before="20" w:line="283" w:lineRule="auto"/>
            </w:pPr>
            <w:r/>
            <w:r>
              <w:rPr>
                <w:rFonts w:ascii="Pretendard" w:hAnsi="Pretendard" w:eastAsia="Pretendard"/>
                <w:b/>
                <w:color w:val="FFFFFF"/>
                <w:sz w:val="19"/>
              </w:rPr>
              <w:t>항목</w:t>
            </w:r>
          </w:p>
        </w:tc>
        <w:tc>
          <w:tcPr>
            <w:tcW w:type="dxa" w:w="7370"/>
            <w:shd w:fill="20285F"/>
            <w:vAlign w:val="center"/>
          </w:tcPr>
          <w:p>
            <w:pPr>
              <w:keepNext w:val="0"/>
              <w:widowControl/>
              <w:spacing w:after="60" w:before="20" w:line="283" w:lineRule="auto"/>
            </w:pPr>
            <w:r/>
            <w:r>
              <w:rPr>
                <w:rFonts w:ascii="Pretendard" w:hAnsi="Pretendard" w:eastAsia="Pretendard"/>
                <w:b/>
                <w:color w:val="FFFFFF"/>
                <w:sz w:val="19"/>
              </w:rPr>
              <w:t>이번 설계의 처리</w:t>
            </w:r>
          </w:p>
        </w:tc>
      </w:tr>
      <w:tr>
        <w:trPr>
          <w:cantSplit/>
        </w:trPr>
        <w:tc>
          <w:tcPr>
            <w:tcW w:type="dxa" w:w="2381"/>
            <w:vAlign w:val="center"/>
          </w:tcPr>
          <w:p>
            <w:pPr>
              <w:keepNext w:val="0"/>
              <w:widowControl/>
              <w:spacing w:after="60" w:before="20" w:line="283" w:lineRule="auto"/>
            </w:pPr>
            <w:r/>
            <w:r>
              <w:rPr>
                <w:rFonts w:ascii="Pretendard" w:hAnsi="Pretendard" w:eastAsia="Pretendard"/>
                <w:b w:val="0"/>
                <w:color w:val="28303E"/>
                <w:sz w:val="19"/>
              </w:rPr>
              <w:t>T.N. v. Portesy</w:t>
            </w:r>
          </w:p>
        </w:tc>
        <w:tc>
          <w:tcPr>
            <w:tcW w:type="dxa" w:w="7370"/>
            <w:vAlign w:val="center"/>
          </w:tcPr>
          <w:p>
            <w:pPr>
              <w:keepNext w:val="0"/>
              <w:widowControl/>
              <w:spacing w:after="60" w:before="20" w:line="283" w:lineRule="auto"/>
            </w:pPr>
            <w:r/>
            <w:r>
              <w:rPr>
                <w:rFonts w:ascii="Pretendard" w:hAnsi="Pretendard" w:eastAsia="Pretendard"/>
                <w:b w:val="0"/>
                <w:color w:val="28303E"/>
                <w:sz w:val="19"/>
              </w:rPr>
              <w:t>법정모욕 판단 자체의 오류를 인정한 판결로 쓰지 않는다. ACTS 수용과 주거형 치료를 법정모욕 제재로 사용한 부분을 취소한 판단을 중심으로 제시한다. 동의에 관한 설명은 Davis 판사의 별개의견으로 구분한다.</w:t>
            </w:r>
          </w:p>
        </w:tc>
      </w:tr>
      <w:tr>
        <w:trPr>
          <w:cantSplit/>
        </w:trPr>
        <w:tc>
          <w:tcPr>
            <w:tcW w:type="dxa" w:w="2381"/>
            <w:vAlign w:val="center"/>
            <w:shd w:fill="F8F9FB"/>
          </w:tcPr>
          <w:p>
            <w:pPr>
              <w:keepNext w:val="0"/>
              <w:widowControl/>
              <w:spacing w:after="60" w:before="20" w:line="283" w:lineRule="auto"/>
            </w:pPr>
            <w:r/>
            <w:r>
              <w:rPr>
                <w:rFonts w:ascii="Pretendard" w:hAnsi="Pretendard" w:eastAsia="Pretendard"/>
                <w:b w:val="0"/>
                <w:color w:val="28303E"/>
                <w:sz w:val="19"/>
              </w:rPr>
              <w:t>RISKIT-CJS 완수율</w:t>
            </w:r>
          </w:p>
        </w:tc>
        <w:tc>
          <w:tcPr>
            <w:tcW w:type="dxa" w:w="7370"/>
            <w:vAlign w:val="center"/>
            <w:shd w:fill="F8F9FB"/>
          </w:tcPr>
          <w:p>
            <w:pPr>
              <w:keepNext w:val="0"/>
              <w:widowControl/>
              <w:spacing w:after="60" w:before="20" w:line="283" w:lineRule="auto"/>
            </w:pPr>
            <w:r/>
            <w:r>
              <w:rPr>
                <w:rFonts w:ascii="Pretendard" w:hAnsi="Pretendard" w:eastAsia="Pretendard"/>
                <w:b w:val="0"/>
                <w:color w:val="28303E"/>
                <w:sz w:val="19"/>
              </w:rPr>
              <w:t>전체 모집 505명과 추가개입 배정 246명을 구분한다. 전체 4요소 완수는 47/246=19.1%이다. 연구 결과에서 “재범 차이 없음”이라고 쓰지 않는다. 범죄기록 확보는 코로나19로 제약되었다.</w:t>
            </w:r>
          </w:p>
        </w:tc>
      </w:tr>
      <w:tr>
        <w:trPr>
          <w:cantSplit/>
        </w:trPr>
        <w:tc>
          <w:tcPr>
            <w:tcW w:type="dxa" w:w="2381"/>
            <w:vAlign w:val="center"/>
          </w:tcPr>
          <w:p>
            <w:pPr>
              <w:keepNext w:val="0"/>
              <w:widowControl/>
              <w:spacing w:after="60" w:before="20" w:line="283" w:lineRule="auto"/>
            </w:pPr>
            <w:r/>
            <w:r>
              <w:rPr>
                <w:rFonts w:ascii="Pretendard" w:hAnsi="Pretendard" w:eastAsia="Pretendard"/>
                <w:b w:val="0"/>
                <w:color w:val="28303E"/>
                <w:sz w:val="19"/>
              </w:rPr>
              <w:t>RISKIT-CJS 결과지표</w:t>
            </w:r>
          </w:p>
        </w:tc>
        <w:tc>
          <w:tcPr>
            <w:tcW w:type="dxa" w:w="7370"/>
            <w:vAlign w:val="center"/>
          </w:tcPr>
          <w:p>
            <w:pPr>
              <w:keepNext w:val="0"/>
              <w:widowControl/>
              <w:spacing w:after="60" w:before="20" w:line="283" w:lineRule="auto"/>
            </w:pPr>
            <w:r/>
            <w:r>
              <w:rPr>
                <w:rFonts w:ascii="Pretendard" w:hAnsi="Pretendard" w:eastAsia="Pretendard"/>
                <w:b w:val="0"/>
                <w:color w:val="28303E"/>
                <w:sz w:val="19"/>
              </w:rPr>
              <w:t>12개월 평가의 주지표는 지난 28일 중 물질을 사용하지 않은 날의 비율이다. 그 수치를 “완전 단약에 성공한 청소년의 비율”로 바꾸지 않는다.</w:t>
            </w:r>
          </w:p>
        </w:tc>
      </w:tr>
      <w:tr>
        <w:trPr>
          <w:cantSplit/>
        </w:trPr>
        <w:tc>
          <w:tcPr>
            <w:tcW w:type="dxa" w:w="2381"/>
            <w:vAlign w:val="center"/>
            <w:shd w:fill="F8F9FB"/>
          </w:tcPr>
          <w:p>
            <w:pPr>
              <w:keepNext w:val="0"/>
              <w:widowControl/>
              <w:spacing w:after="60" w:before="20" w:line="283" w:lineRule="auto"/>
            </w:pPr>
            <w:r/>
            <w:r>
              <w:rPr>
                <w:rFonts w:ascii="Pretendard" w:hAnsi="Pretendard" w:eastAsia="Pretendard"/>
                <w:b w:val="0"/>
                <w:color w:val="28303E"/>
                <w:sz w:val="19"/>
              </w:rPr>
              <w:t>King 외(2024)</w:t>
            </w:r>
          </w:p>
        </w:tc>
        <w:tc>
          <w:tcPr>
            <w:tcW w:type="dxa" w:w="7370"/>
            <w:vAlign w:val="center"/>
            <w:shd w:fill="F8F9FB"/>
          </w:tcPr>
          <w:p>
            <w:pPr>
              <w:keepNext w:val="0"/>
              <w:widowControl/>
              <w:spacing w:after="60" w:before="20" w:line="283" w:lineRule="auto"/>
            </w:pPr>
            <w:r/>
            <w:r>
              <w:rPr>
                <w:rFonts w:ascii="Pretendard" w:hAnsi="Pretendard" w:eastAsia="Pretendard"/>
                <w:b w:val="0"/>
                <w:color w:val="28303E"/>
                <w:sz w:val="19"/>
              </w:rPr>
              <w:t>2022년 미국 시설 전화조사이다. 당일 입소 가능은 87/160=54.4%, 대기기간은 예상 일수를 응답한 65개 시설의 평균 28.4일이다. 한국의 현재 병상 이용률로 제시하지 않는다.</w:t>
            </w:r>
          </w:p>
        </w:tc>
      </w:tr>
      <w:tr>
        <w:trPr>
          <w:cantSplit/>
        </w:trPr>
        <w:tc>
          <w:tcPr>
            <w:tcW w:type="dxa" w:w="2381"/>
            <w:vAlign w:val="center"/>
          </w:tcPr>
          <w:p>
            <w:pPr>
              <w:keepNext w:val="0"/>
              <w:widowControl/>
              <w:spacing w:after="60" w:before="20" w:line="283" w:lineRule="auto"/>
            </w:pPr>
            <w:r/>
            <w:r>
              <w:rPr>
                <w:rFonts w:ascii="Pretendard" w:hAnsi="Pretendard" w:eastAsia="Pretendard"/>
                <w:b w:val="0"/>
                <w:color w:val="28303E"/>
                <w:sz w:val="19"/>
              </w:rPr>
              <w:t>국내 법적 근거</w:t>
            </w:r>
          </w:p>
        </w:tc>
        <w:tc>
          <w:tcPr>
            <w:tcW w:type="dxa" w:w="7370"/>
            <w:vAlign w:val="center"/>
          </w:tcPr>
          <w:p>
            <w:pPr>
              <w:keepNext w:val="0"/>
              <w:widowControl/>
              <w:spacing w:after="60" w:before="20" w:line="283" w:lineRule="auto"/>
            </w:pPr>
            <w:r/>
            <w:r>
              <w:rPr>
                <w:rFonts w:ascii="Pretendard" w:hAnsi="Pretendard" w:eastAsia="Pretendard"/>
                <w:b w:val="0"/>
                <w:color w:val="28303E"/>
                <w:sz w:val="19"/>
              </w:rPr>
              <w:t>소년 보호관찰의 중대한 준수사항 위반은 보호관찰법 제49조의 신청과 소년법 제37조의 처분변경을 연결한다. 제49조를 모든 조건부 기소유예나 형사재판 보호관찰에 적용하지 않는다.</w:t>
            </w:r>
          </w:p>
        </w:tc>
      </w:tr>
      <w:tr>
        <w:trPr>
          <w:cantSplit/>
        </w:trPr>
        <w:tc>
          <w:tcPr>
            <w:tcW w:type="dxa" w:w="2381"/>
            <w:vAlign w:val="center"/>
            <w:shd w:fill="F8F9FB"/>
          </w:tcPr>
          <w:p>
            <w:pPr>
              <w:keepNext w:val="0"/>
              <w:widowControl/>
              <w:spacing w:after="60" w:before="20" w:line="283" w:lineRule="auto"/>
            </w:pPr>
            <w:r/>
            <w:r>
              <w:rPr>
                <w:rFonts w:ascii="Pretendard" w:hAnsi="Pretendard" w:eastAsia="Pretendard"/>
                <w:b w:val="0"/>
                <w:color w:val="28303E"/>
                <w:sz w:val="19"/>
              </w:rPr>
              <w:t>KICJ·Florida 후보</w:t>
            </w:r>
          </w:p>
        </w:tc>
        <w:tc>
          <w:tcPr>
            <w:tcW w:type="dxa" w:w="7370"/>
            <w:vAlign w:val="center"/>
            <w:shd w:fill="F8F9FB"/>
          </w:tcPr>
          <w:p>
            <w:pPr>
              <w:keepNext w:val="0"/>
              <w:widowControl/>
              <w:spacing w:after="60" w:before="20" w:line="283" w:lineRule="auto"/>
            </w:pPr>
            <w:r/>
            <w:r>
              <w:rPr>
                <w:rFonts w:ascii="Pretendard" w:hAnsi="Pretendard" w:eastAsia="Pretendard"/>
                <w:b w:val="0"/>
                <w:color w:val="28303E"/>
                <w:sz w:val="19"/>
              </w:rPr>
              <w:t>KICJ 해당 보고서는 2025년 발간 서지를 확인했지만 관련 본문 대조는 완료하지 못했다. Florida 2025 지침도 원문 확보가 되지 않아 핵심 근거에서 제외하고, 열람 가능한 OJJDP 2016 지침을 사용한다.</w:t>
            </w:r>
          </w:p>
        </w:tc>
      </w:tr>
    </w:tbl>
    <w:p>
      <w:pPr>
        <w:widowControl/>
        <w:spacing w:after="20"/>
      </w:pPr>
    </w:p>
    <w:p>
      <w:pPr>
        <w:widowControl/>
      </w:pPr>
      <w:r>
        <w:rPr>
          <w:rFonts w:ascii="Pretendard" w:hAnsi="Pretendard" w:eastAsia="Pretendard"/>
          <w:b w:val="0"/>
          <w:color w:val="626C7B"/>
          <w:sz w:val="19"/>
        </w:rPr>
        <w:t>확인 수준은 뒤의 자료목록에서 구분한다. “원문”은 실제 열람한 법령·판결문·연구 본문을 뜻하며, 서지·초록 확인을 본문 검증으로 올려 쓰지 않는다.</w:t>
      </w:r>
    </w:p>
    <w:p>
      <w:pPr>
        <w:widowControl/>
      </w:pPr>
      <w:r>
        <w:br w:type="page"/>
      </w:r>
    </w:p>
    <w:p>
      <w:pPr>
        <w:widowControl/>
        <w:spacing w:after="120"/>
      </w:pPr>
      <w:r>
        <w:rPr>
          <w:rFonts w:ascii="Pretendard" w:hAnsi="Pretendard" w:eastAsia="Pretendard"/>
          <w:b/>
          <w:color w:val="A8871C"/>
          <w:sz w:val="19"/>
        </w:rPr>
        <w:t>04  /  슬라이드 지도</w:t>
      </w:r>
    </w:p>
    <w:p>
      <w:pPr>
        <w:pStyle w:val="Heading1"/>
        <w:widowControl/>
      </w:pPr>
      <w:r>
        <w:rPr>
          <w:rFonts w:ascii="Pretendard" w:hAnsi="Pretendard" w:eastAsia="Pretendard"/>
          <w:b w:val="0"/>
        </w:rPr>
        <w:t>제5장 본편 9개 슬라이드</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1020"/>
        <w:gridCol w:w="5102"/>
        <w:gridCol w:w="3628"/>
      </w:tblGrid>
      <w:tr>
        <w:trPr>
          <w:tblHeader/>
          <w:cantSplit/>
        </w:trPr>
        <w:tc>
          <w:tcPr>
            <w:tcW w:type="dxa" w:w="1020"/>
            <w:shd w:fill="20285F"/>
            <w:vAlign w:val="center"/>
          </w:tcPr>
          <w:p>
            <w:pPr>
              <w:keepNext w:val="0"/>
              <w:widowControl/>
              <w:spacing w:after="60" w:before="20" w:line="283" w:lineRule="auto"/>
            </w:pPr>
            <w:r/>
            <w:r>
              <w:rPr>
                <w:rFonts w:ascii="Pretendard" w:hAnsi="Pretendard" w:eastAsia="Pretendard"/>
                <w:b/>
                <w:color w:val="FFFFFF"/>
                <w:sz w:val="19"/>
              </w:rPr>
              <w:t>ID</w:t>
            </w:r>
          </w:p>
        </w:tc>
        <w:tc>
          <w:tcPr>
            <w:tcW w:type="dxa" w:w="5102"/>
            <w:shd w:fill="20285F"/>
            <w:vAlign w:val="center"/>
          </w:tcPr>
          <w:p>
            <w:pPr>
              <w:keepNext w:val="0"/>
              <w:widowControl/>
              <w:spacing w:after="60" w:before="20" w:line="283" w:lineRule="auto"/>
            </w:pPr>
            <w:r/>
            <w:r>
              <w:rPr>
                <w:rFonts w:ascii="Pretendard" w:hAnsi="Pretendard" w:eastAsia="Pretendard"/>
                <w:b/>
                <w:color w:val="FFFFFF"/>
                <w:sz w:val="19"/>
              </w:rPr>
              <w:t>화면 제목</w:t>
            </w:r>
          </w:p>
        </w:tc>
        <w:tc>
          <w:tcPr>
            <w:tcW w:type="dxa" w:w="3628"/>
            <w:shd w:fill="20285F"/>
            <w:vAlign w:val="center"/>
          </w:tcPr>
          <w:p>
            <w:pPr>
              <w:keepNext w:val="0"/>
              <w:widowControl/>
              <w:spacing w:after="60" w:before="20" w:line="283" w:lineRule="auto"/>
            </w:pPr>
            <w:r/>
            <w:r>
              <w:rPr>
                <w:rFonts w:ascii="Pretendard" w:hAnsi="Pretendard" w:eastAsia="Pretendard"/>
                <w:b/>
                <w:color w:val="FFFFFF"/>
                <w:sz w:val="19"/>
              </w:rPr>
              <w:t>새 정보 · 목차 대응</w:t>
            </w:r>
          </w:p>
        </w:tc>
      </w:tr>
      <w:tr>
        <w:trPr>
          <w:cantSplit/>
        </w:trPr>
        <w:tc>
          <w:tcPr>
            <w:tcW w:type="dxa" w:w="1020"/>
            <w:vAlign w:val="center"/>
          </w:tcPr>
          <w:p>
            <w:pPr>
              <w:keepNext w:val="0"/>
              <w:widowControl/>
              <w:spacing w:after="60" w:before="20" w:line="283" w:lineRule="auto"/>
            </w:pPr>
            <w:r/>
            <w:r>
              <w:rPr>
                <w:rFonts w:ascii="Pretendard" w:hAnsi="Pretendard" w:eastAsia="Pretendard"/>
                <w:b w:val="0"/>
                <w:color w:val="28303E"/>
                <w:sz w:val="19"/>
              </w:rPr>
              <w:t>C5-01</w:t>
            </w:r>
          </w:p>
        </w:tc>
        <w:tc>
          <w:tcPr>
            <w:tcW w:type="dxa" w:w="5102"/>
            <w:vAlign w:val="center"/>
          </w:tcPr>
          <w:p>
            <w:pPr>
              <w:keepNext w:val="0"/>
              <w:widowControl/>
              <w:spacing w:after="60" w:before="20" w:line="283" w:lineRule="auto"/>
            </w:pPr>
            <w:r/>
            <w:r>
              <w:rPr>
                <w:rFonts w:ascii="Pretendard" w:hAnsi="Pretendard" w:eastAsia="Pretendard"/>
                <w:b w:val="0"/>
                <w:color w:val="28303E"/>
                <w:sz w:val="19"/>
              </w:rPr>
              <w:t>집중 법원치료의 대상 — 치료필요와 재범위험</w:t>
            </w:r>
          </w:p>
        </w:tc>
        <w:tc>
          <w:tcPr>
            <w:tcW w:type="dxa" w:w="3628"/>
            <w:vAlign w:val="center"/>
          </w:tcPr>
          <w:p>
            <w:pPr>
              <w:keepNext w:val="0"/>
              <w:widowControl/>
              <w:spacing w:after="60" w:before="20" w:line="283" w:lineRule="auto"/>
            </w:pPr>
            <w:r/>
            <w:r>
              <w:rPr>
                <w:rFonts w:ascii="Pretendard" w:hAnsi="Pretendard" w:eastAsia="Pretendard"/>
                <w:b w:val="0"/>
                <w:color w:val="28303E"/>
                <w:sz w:val="19"/>
              </w:rPr>
              <w:t>집중감독의 선정기준 · 대상 선정</w:t>
            </w:r>
          </w:p>
        </w:tc>
      </w:tr>
      <w:tr>
        <w:trPr>
          <w:cantSplit/>
        </w:trPr>
        <w:tc>
          <w:tcPr>
            <w:tcW w:type="dxa" w:w="1020"/>
            <w:vAlign w:val="center"/>
            <w:shd w:fill="F8F9FB"/>
          </w:tcPr>
          <w:p>
            <w:pPr>
              <w:keepNext w:val="0"/>
              <w:widowControl/>
              <w:spacing w:after="60" w:before="20" w:line="283" w:lineRule="auto"/>
            </w:pPr>
            <w:r/>
            <w:r>
              <w:rPr>
                <w:rFonts w:ascii="Pretendard" w:hAnsi="Pretendard" w:eastAsia="Pretendard"/>
                <w:b w:val="0"/>
                <w:color w:val="28303E"/>
                <w:sz w:val="19"/>
              </w:rPr>
              <w:t>C5-02</w:t>
            </w:r>
          </w:p>
        </w:tc>
        <w:tc>
          <w:tcPr>
            <w:tcW w:type="dxa" w:w="5102"/>
            <w:vAlign w:val="center"/>
            <w:shd w:fill="F8F9FB"/>
          </w:tcPr>
          <w:p>
            <w:pPr>
              <w:keepNext w:val="0"/>
              <w:widowControl/>
              <w:spacing w:after="60" w:before="20" w:line="283" w:lineRule="auto"/>
            </w:pPr>
            <w:r/>
            <w:r>
              <w:rPr>
                <w:rFonts w:ascii="Pretendard" w:hAnsi="Pretendard" w:eastAsia="Pretendard"/>
                <w:b w:val="0"/>
                <w:color w:val="28303E"/>
                <w:sz w:val="19"/>
              </w:rPr>
              <w:t>재사용·검사 불이행·접근장벽에 대한 세 대응</w:t>
            </w:r>
          </w:p>
        </w:tc>
        <w:tc>
          <w:tcPr>
            <w:tcW w:type="dxa" w:w="3628"/>
            <w:vAlign w:val="center"/>
            <w:shd w:fill="F8F9FB"/>
          </w:tcPr>
          <w:p>
            <w:pPr>
              <w:keepNext w:val="0"/>
              <w:widowControl/>
              <w:spacing w:after="60" w:before="20" w:line="283" w:lineRule="auto"/>
            </w:pPr>
            <w:r/>
            <w:r>
              <w:rPr>
                <w:rFonts w:ascii="Pretendard" w:hAnsi="Pretendard" w:eastAsia="Pretendard"/>
                <w:b w:val="0"/>
                <w:color w:val="28303E"/>
                <w:sz w:val="19"/>
              </w:rPr>
              <w:t>치료조정·제재·장벽해소 · 법적 감독</w:t>
            </w:r>
          </w:p>
        </w:tc>
      </w:tr>
      <w:tr>
        <w:trPr>
          <w:cantSplit/>
        </w:trPr>
        <w:tc>
          <w:tcPr>
            <w:tcW w:type="dxa" w:w="1020"/>
            <w:vAlign w:val="center"/>
          </w:tcPr>
          <w:p>
            <w:pPr>
              <w:keepNext w:val="0"/>
              <w:widowControl/>
              <w:spacing w:after="60" w:before="20" w:line="283" w:lineRule="auto"/>
            </w:pPr>
            <w:r/>
            <w:r>
              <w:rPr>
                <w:rFonts w:ascii="Pretendard" w:hAnsi="Pretendard" w:eastAsia="Pretendard"/>
                <w:b w:val="0"/>
                <w:color w:val="28303E"/>
                <w:sz w:val="19"/>
              </w:rPr>
              <w:t>C5-03</w:t>
            </w:r>
          </w:p>
        </w:tc>
        <w:tc>
          <w:tcPr>
            <w:tcW w:type="dxa" w:w="5102"/>
            <w:vAlign w:val="center"/>
          </w:tcPr>
          <w:p>
            <w:pPr>
              <w:keepNext w:val="0"/>
              <w:widowControl/>
              <w:spacing w:after="60" w:before="20" w:line="283" w:lineRule="auto"/>
            </w:pPr>
            <w:r/>
            <w:r>
              <w:rPr>
                <w:rFonts w:ascii="Pretendard" w:hAnsi="Pretendard" w:eastAsia="Pretendard"/>
                <w:b w:val="0"/>
                <w:color w:val="28303E"/>
                <w:sz w:val="19"/>
              </w:rPr>
              <w:t>소년 보호관찰의 중대한 위반 — 신청과 처분변경</w:t>
            </w:r>
          </w:p>
        </w:tc>
        <w:tc>
          <w:tcPr>
            <w:tcW w:type="dxa" w:w="3628"/>
            <w:vAlign w:val="center"/>
          </w:tcPr>
          <w:p>
            <w:pPr>
              <w:keepNext w:val="0"/>
              <w:widowControl/>
              <w:spacing w:after="60" w:before="20" w:line="283" w:lineRule="auto"/>
            </w:pPr>
            <w:r/>
            <w:r>
              <w:rPr>
                <w:rFonts w:ascii="Pretendard" w:hAnsi="Pretendard" w:eastAsia="Pretendard"/>
                <w:b w:val="0"/>
                <w:color w:val="28303E"/>
                <w:sz w:val="19"/>
              </w:rPr>
              <w:t>국내 요건과 결정주체 · 감독·권리</w:t>
            </w:r>
          </w:p>
        </w:tc>
      </w:tr>
      <w:tr>
        <w:trPr>
          <w:cantSplit/>
        </w:trPr>
        <w:tc>
          <w:tcPr>
            <w:tcW w:type="dxa" w:w="1020"/>
            <w:vAlign w:val="center"/>
            <w:shd w:fill="F8F9FB"/>
          </w:tcPr>
          <w:p>
            <w:pPr>
              <w:keepNext w:val="0"/>
              <w:widowControl/>
              <w:spacing w:after="60" w:before="20" w:line="283" w:lineRule="auto"/>
            </w:pPr>
            <w:r/>
            <w:r>
              <w:rPr>
                <w:rFonts w:ascii="Pretendard" w:hAnsi="Pretendard" w:eastAsia="Pretendard"/>
                <w:b w:val="0"/>
                <w:color w:val="28303E"/>
                <w:sz w:val="19"/>
              </w:rPr>
              <w:t>C5-04</w:t>
            </w:r>
          </w:p>
        </w:tc>
        <w:tc>
          <w:tcPr>
            <w:tcW w:type="dxa" w:w="5102"/>
            <w:vAlign w:val="center"/>
            <w:shd w:fill="F8F9FB"/>
          </w:tcPr>
          <w:p>
            <w:pPr>
              <w:keepNext w:val="0"/>
              <w:widowControl/>
              <w:spacing w:after="60" w:before="20" w:line="283" w:lineRule="auto"/>
            </w:pPr>
            <w:r/>
            <w:r>
              <w:rPr>
                <w:rFonts w:ascii="Pretendard" w:hAnsi="Pretendard" w:eastAsia="Pretendard"/>
                <w:b w:val="0"/>
                <w:color w:val="28303E"/>
                <w:sz w:val="19"/>
              </w:rPr>
              <w:t>약물법원 참여 동의 뒤 이어진 구금·시설치료 명령</w:t>
            </w:r>
          </w:p>
        </w:tc>
        <w:tc>
          <w:tcPr>
            <w:tcW w:type="dxa" w:w="3628"/>
            <w:vAlign w:val="center"/>
            <w:shd w:fill="F8F9FB"/>
          </w:tcPr>
          <w:p>
            <w:pPr>
              <w:keepNext w:val="0"/>
              <w:widowControl/>
              <w:spacing w:after="60" w:before="20" w:line="283" w:lineRule="auto"/>
            </w:pPr>
            <w:r/>
            <w:r>
              <w:rPr>
                <w:rFonts w:ascii="Pretendard" w:hAnsi="Pretendard" w:eastAsia="Pretendard"/>
                <w:b w:val="0"/>
                <w:color w:val="28303E"/>
                <w:sz w:val="19"/>
              </w:rPr>
              <w:t>T.N. 사건의 실제 경위 · 권리 보장</w:t>
            </w:r>
          </w:p>
        </w:tc>
      </w:tr>
      <w:tr>
        <w:trPr>
          <w:cantSplit/>
        </w:trPr>
        <w:tc>
          <w:tcPr>
            <w:tcW w:type="dxa" w:w="1020"/>
            <w:vAlign w:val="center"/>
          </w:tcPr>
          <w:p>
            <w:pPr>
              <w:keepNext w:val="0"/>
              <w:widowControl/>
              <w:spacing w:after="60" w:before="20" w:line="283" w:lineRule="auto"/>
            </w:pPr>
            <w:r/>
            <w:r>
              <w:rPr>
                <w:rFonts w:ascii="Pretendard" w:hAnsi="Pretendard" w:eastAsia="Pretendard"/>
                <w:b w:val="0"/>
                <w:color w:val="28303E"/>
                <w:sz w:val="19"/>
              </w:rPr>
              <w:t>C5-05</w:t>
            </w:r>
          </w:p>
        </w:tc>
        <w:tc>
          <w:tcPr>
            <w:tcW w:type="dxa" w:w="5102"/>
            <w:vAlign w:val="center"/>
          </w:tcPr>
          <w:p>
            <w:pPr>
              <w:keepNext w:val="0"/>
              <w:widowControl/>
              <w:spacing w:after="60" w:before="20" w:line="283" w:lineRule="auto"/>
            </w:pPr>
            <w:r/>
            <w:r>
              <w:rPr>
                <w:rFonts w:ascii="Pretendard" w:hAnsi="Pretendard" w:eastAsia="Pretendard"/>
                <w:b w:val="0"/>
                <w:color w:val="28303E"/>
                <w:sz w:val="19"/>
              </w:rPr>
              <w:t>법정모욕 판단과 시설치료 제재를 구별한 판결</w:t>
            </w:r>
          </w:p>
        </w:tc>
        <w:tc>
          <w:tcPr>
            <w:tcW w:type="dxa" w:w="3628"/>
            <w:vAlign w:val="center"/>
          </w:tcPr>
          <w:p>
            <w:pPr>
              <w:keepNext w:val="0"/>
              <w:widowControl/>
              <w:spacing w:after="60" w:before="20" w:line="283" w:lineRule="auto"/>
            </w:pPr>
            <w:r/>
            <w:r>
              <w:rPr>
                <w:rFonts w:ascii="Pretendard" w:hAnsi="Pretendard" w:eastAsia="Pretendard"/>
                <w:b w:val="0"/>
                <w:color w:val="28303E"/>
                <w:sz w:val="19"/>
              </w:rPr>
              <w:t>T.N. 사건의 취소 범위 · 권리 보장</w:t>
            </w:r>
          </w:p>
        </w:tc>
      </w:tr>
      <w:tr>
        <w:trPr>
          <w:cantSplit/>
        </w:trPr>
        <w:tc>
          <w:tcPr>
            <w:tcW w:type="dxa" w:w="1020"/>
            <w:vAlign w:val="center"/>
            <w:shd w:fill="F8F9FB"/>
          </w:tcPr>
          <w:p>
            <w:pPr>
              <w:keepNext w:val="0"/>
              <w:widowControl/>
              <w:spacing w:after="60" w:before="20" w:line="283" w:lineRule="auto"/>
            </w:pPr>
            <w:r/>
            <w:r>
              <w:rPr>
                <w:rFonts w:ascii="Pretendard" w:hAnsi="Pretendard" w:eastAsia="Pretendard"/>
                <w:b w:val="0"/>
                <w:color w:val="28303E"/>
                <w:sz w:val="19"/>
              </w:rPr>
              <w:t>C5-06</w:t>
            </w:r>
          </w:p>
        </w:tc>
        <w:tc>
          <w:tcPr>
            <w:tcW w:type="dxa" w:w="5102"/>
            <w:vAlign w:val="center"/>
            <w:shd w:fill="F8F9FB"/>
          </w:tcPr>
          <w:p>
            <w:pPr>
              <w:keepNext w:val="0"/>
              <w:widowControl/>
              <w:spacing w:after="60" w:before="20" w:line="283" w:lineRule="auto"/>
            </w:pPr>
            <w:r/>
            <w:r>
              <w:rPr>
                <w:rFonts w:ascii="Pretendard" w:hAnsi="Pretendard" w:eastAsia="Pretendard"/>
                <w:b w:val="0"/>
                <w:color w:val="28303E"/>
                <w:sz w:val="19"/>
              </w:rPr>
              <w:t>RISKIT-CJS — 기존서비스에 면담·집단훈련 추가</w:t>
            </w:r>
          </w:p>
        </w:tc>
        <w:tc>
          <w:tcPr>
            <w:tcW w:type="dxa" w:w="3628"/>
            <w:vAlign w:val="center"/>
            <w:shd w:fill="F8F9FB"/>
          </w:tcPr>
          <w:p>
            <w:pPr>
              <w:keepNext w:val="0"/>
              <w:widowControl/>
              <w:spacing w:after="60" w:before="20" w:line="283" w:lineRule="auto"/>
            </w:pPr>
            <w:r/>
            <w:r>
              <w:rPr>
                <w:rFonts w:ascii="Pretendard" w:hAnsi="Pretendard" w:eastAsia="Pretendard"/>
                <w:b w:val="0"/>
                <w:color w:val="28303E"/>
                <w:sz w:val="19"/>
              </w:rPr>
              <w:t>무엇을 제공하도록 설계했나 · 인프라</w:t>
            </w:r>
          </w:p>
        </w:tc>
      </w:tr>
      <w:tr>
        <w:trPr>
          <w:cantSplit/>
        </w:trPr>
        <w:tc>
          <w:tcPr>
            <w:tcW w:type="dxa" w:w="1020"/>
            <w:vAlign w:val="center"/>
          </w:tcPr>
          <w:p>
            <w:pPr>
              <w:keepNext w:val="0"/>
              <w:widowControl/>
              <w:spacing w:after="60" w:before="20" w:line="283" w:lineRule="auto"/>
            </w:pPr>
            <w:r/>
            <w:r>
              <w:rPr>
                <w:rFonts w:ascii="Pretendard" w:hAnsi="Pretendard" w:eastAsia="Pretendard"/>
                <w:b w:val="0"/>
                <w:color w:val="28303E"/>
                <w:sz w:val="19"/>
              </w:rPr>
              <w:t>C5-07</w:t>
            </w:r>
          </w:p>
        </w:tc>
        <w:tc>
          <w:tcPr>
            <w:tcW w:type="dxa" w:w="5102"/>
            <w:vAlign w:val="center"/>
          </w:tcPr>
          <w:p>
            <w:pPr>
              <w:keepNext w:val="0"/>
              <w:widowControl/>
              <w:spacing w:after="60" w:before="20" w:line="283" w:lineRule="auto"/>
            </w:pPr>
            <w:r/>
            <w:r>
              <w:rPr>
                <w:rFonts w:ascii="Pretendard" w:hAnsi="Pretendard" w:eastAsia="Pretendard"/>
                <w:b w:val="0"/>
                <w:color w:val="28303E"/>
                <w:sz w:val="19"/>
              </w:rPr>
              <w:t>RISKIT-CJS — 완수 19%, 추가효과는 미확인</w:t>
            </w:r>
          </w:p>
        </w:tc>
        <w:tc>
          <w:tcPr>
            <w:tcW w:type="dxa" w:w="3628"/>
            <w:vAlign w:val="center"/>
          </w:tcPr>
          <w:p>
            <w:pPr>
              <w:keepNext w:val="0"/>
              <w:widowControl/>
              <w:spacing w:after="60" w:before="20" w:line="283" w:lineRule="auto"/>
            </w:pPr>
            <w:r/>
            <w:r>
              <w:rPr>
                <w:rFonts w:ascii="Pretendard" w:hAnsi="Pretendard" w:eastAsia="Pretendard"/>
                <w:b w:val="0"/>
                <w:color w:val="28303E"/>
                <w:sz w:val="19"/>
              </w:rPr>
              <w:t>실제 전달·완수와 결과 · 인프라</w:t>
            </w:r>
          </w:p>
        </w:tc>
      </w:tr>
      <w:tr>
        <w:trPr>
          <w:cantSplit/>
        </w:trPr>
        <w:tc>
          <w:tcPr>
            <w:tcW w:type="dxa" w:w="1020"/>
            <w:vAlign w:val="center"/>
            <w:shd w:fill="F8F9FB"/>
          </w:tcPr>
          <w:p>
            <w:pPr>
              <w:keepNext w:val="0"/>
              <w:widowControl/>
              <w:spacing w:after="60" w:before="20" w:line="283" w:lineRule="auto"/>
            </w:pPr>
            <w:r/>
            <w:r>
              <w:rPr>
                <w:rFonts w:ascii="Pretendard" w:hAnsi="Pretendard" w:eastAsia="Pretendard"/>
                <w:b w:val="0"/>
                <w:color w:val="28303E"/>
                <w:sz w:val="19"/>
              </w:rPr>
              <w:t>C5-08</w:t>
            </w:r>
          </w:p>
        </w:tc>
        <w:tc>
          <w:tcPr>
            <w:tcW w:type="dxa" w:w="5102"/>
            <w:vAlign w:val="center"/>
            <w:shd w:fill="F8F9FB"/>
          </w:tcPr>
          <w:p>
            <w:pPr>
              <w:keepNext w:val="0"/>
              <w:widowControl/>
              <w:spacing w:after="60" w:before="20" w:line="283" w:lineRule="auto"/>
            </w:pPr>
            <w:r/>
            <w:r>
              <w:rPr>
                <w:rFonts w:ascii="Pretendard" w:hAnsi="Pretendard" w:eastAsia="Pretendard"/>
                <w:b w:val="0"/>
                <w:color w:val="28303E"/>
                <w:sz w:val="19"/>
              </w:rPr>
              <w:t>미국 청소년 주거형 치료, 당일 입소 가능은 54%</w:t>
            </w:r>
          </w:p>
        </w:tc>
        <w:tc>
          <w:tcPr>
            <w:tcW w:type="dxa" w:w="3628"/>
            <w:vAlign w:val="center"/>
            <w:shd w:fill="F8F9FB"/>
          </w:tcPr>
          <w:p>
            <w:pPr>
              <w:keepNext w:val="0"/>
              <w:widowControl/>
              <w:spacing w:after="60" w:before="20" w:line="283" w:lineRule="auto"/>
            </w:pPr>
            <w:r/>
            <w:r>
              <w:rPr>
                <w:rFonts w:ascii="Pretendard" w:hAnsi="Pretendard" w:eastAsia="Pretendard"/>
                <w:b w:val="0"/>
                <w:color w:val="28303E"/>
                <w:sz w:val="19"/>
              </w:rPr>
              <w:t>입소 가능성과 대기 · 인프라</w:t>
            </w:r>
          </w:p>
        </w:tc>
      </w:tr>
      <w:tr>
        <w:trPr>
          <w:cantSplit/>
        </w:trPr>
        <w:tc>
          <w:tcPr>
            <w:tcW w:type="dxa" w:w="1020"/>
            <w:vAlign w:val="center"/>
          </w:tcPr>
          <w:p>
            <w:pPr>
              <w:keepNext w:val="0"/>
              <w:widowControl/>
              <w:spacing w:after="60" w:before="20" w:line="283" w:lineRule="auto"/>
            </w:pPr>
            <w:r/>
            <w:r>
              <w:rPr>
                <w:rFonts w:ascii="Pretendard" w:hAnsi="Pretendard" w:eastAsia="Pretendard"/>
                <w:b w:val="0"/>
                <w:color w:val="28303E"/>
                <w:sz w:val="19"/>
              </w:rPr>
              <w:t>C5-09</w:t>
            </w:r>
          </w:p>
        </w:tc>
        <w:tc>
          <w:tcPr>
            <w:tcW w:type="dxa" w:w="5102"/>
            <w:vAlign w:val="center"/>
          </w:tcPr>
          <w:p>
            <w:pPr>
              <w:keepNext w:val="0"/>
              <w:widowControl/>
              <w:spacing w:after="60" w:before="20" w:line="283" w:lineRule="auto"/>
            </w:pPr>
            <w:r/>
            <w:r>
              <w:rPr>
                <w:rFonts w:ascii="Pretendard" w:hAnsi="Pretendard" w:eastAsia="Pretendard"/>
                <w:b w:val="0"/>
                <w:color w:val="28303E"/>
                <w:sz w:val="19"/>
              </w:rPr>
              <w:t>치료 연계의 완료기준 — 예약·첫 방문·사후지원</w:t>
            </w:r>
          </w:p>
        </w:tc>
        <w:tc>
          <w:tcPr>
            <w:tcW w:type="dxa" w:w="3628"/>
            <w:vAlign w:val="center"/>
          </w:tcPr>
          <w:p>
            <w:pPr>
              <w:keepNext w:val="0"/>
              <w:widowControl/>
              <w:spacing w:after="60" w:before="20" w:line="283" w:lineRule="auto"/>
            </w:pPr>
            <w:r/>
            <w:r>
              <w:rPr>
                <w:rFonts w:ascii="Pretendard" w:hAnsi="Pretendard" w:eastAsia="Pretendard"/>
                <w:b w:val="0"/>
                <w:color w:val="28303E"/>
                <w:sz w:val="19"/>
              </w:rPr>
              <w:t>기관 간 확인·담당·정보공유 · 인프라·권리</w:t>
            </w:r>
          </w:p>
        </w:tc>
      </w:tr>
    </w:tbl>
    <w:p>
      <w:pPr>
        <w:widowControl/>
        <w:spacing w:after="20"/>
      </w:pPr>
    </w:p>
    <w:p>
      <w:pPr>
        <w:pStyle w:val="Heading2"/>
        <w:widowControl/>
      </w:pPr>
      <w:r>
        <w:rPr>
          <w:rFonts w:ascii="Pretendard" w:hAnsi="Pretendard" w:eastAsia="Pretendard"/>
          <w:b w:val="0"/>
        </w:rPr>
        <w:t>전체 흐름</w:t>
      </w:r>
    </w:p>
    <w:p>
      <w:pPr>
        <w:widowControl/>
      </w:pPr>
      <w:r>
        <w:rPr>
          <w:rFonts w:ascii="Pretendard" w:hAnsi="Pretendard" w:eastAsia="Pretendard"/>
          <w:b/>
        </w:rPr>
        <w:t>선별 → 문제의 구분 → 국내 법적 대응 → 외국 판례의 권한 경계 → 실제 프로그램 전달 → 치료 접근 → 연결 책임</w:t>
      </w:r>
    </w:p>
    <w:p>
      <w:pPr>
        <w:pStyle w:val="Heading2"/>
        <w:widowControl/>
      </w:pPr>
      <w:r>
        <w:rPr>
          <w:rFonts w:ascii="Pretendard" w:hAnsi="Pretendard" w:eastAsia="Pretendard"/>
          <w:b w:val="0"/>
        </w:rPr>
        <w:t>장수와 운영</w:t>
      </w:r>
    </w:p>
    <w:p>
      <w:pPr>
        <w:widowControl/>
      </w:pPr>
      <w:r>
        <w:rPr>
          <w:rFonts w:ascii="Pretendard" w:hAnsi="Pretendard" w:eastAsia="Pretendard"/>
          <w:b w:val="0"/>
        </w:rPr>
        <w:t>기본형은 약 25~32분을 염두에 둔 9개 화면이다. 이는 발화 분량에 따른 설계상 추정이지 실제 수업시간의 확정치가 아니다. 판례의 경위/판단과 연구의 설계/결과를 각각 나누어 화면을 이해시키는 편을 우선했다.</w:t>
      </w:r>
    </w:p>
    <w:p>
      <w:pPr>
        <w:widowControl/>
      </w:pPr>
      <w:r>
        <w:rPr>
          <w:rFonts w:ascii="Pretendard" w:hAnsi="Pretendard" w:eastAsia="Pretendard"/>
          <w:b w:val="0"/>
          <w:color w:val="626C7B"/>
          <w:sz w:val="19"/>
        </w:rPr>
        <w:t>시간을 줄여야 할 때에는 C5-04·05와 C5-06·07을 각각 한 장으로 압축한 7장형을 검토할 수 있다. 이 경우 대본으로 내릴 내용을 먼저 정하고, 글자를 줄여 전부 유지하지 않는다.</w:t>
      </w:r>
    </w:p>
    <w:p>
      <w:pPr>
        <w:widowControl/>
      </w:pPr>
      <w:r>
        <w:br w:type="page"/>
      </w:r>
    </w:p>
    <w:p>
      <w:pPr>
        <w:widowControl/>
        <w:spacing w:after="120"/>
      </w:pPr>
      <w:r>
        <w:rPr>
          <w:rFonts w:ascii="Pretendard" w:hAnsi="Pretendard" w:eastAsia="Pretendard"/>
          <w:b/>
          <w:color w:val="A8871C"/>
          <w:sz w:val="19"/>
        </w:rPr>
        <w:t>05  /  공통 제작 사양</w:t>
      </w:r>
    </w:p>
    <w:p>
      <w:pPr>
        <w:pStyle w:val="Heading1"/>
        <w:widowControl/>
      </w:pPr>
      <w:r>
        <w:rPr>
          <w:rFonts w:ascii="Pretendard" w:hAnsi="Pretendard" w:eastAsia="Pretendard"/>
          <w:b w:val="0"/>
        </w:rPr>
        <w:t>화면 문구와 대본을 구분해 사용한다</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1871"/>
        <w:gridCol w:w="7880"/>
      </w:tblGrid>
      <w:tr>
        <w:trPr>
          <w:tblHeader/>
          <w:cantSplit/>
        </w:trPr>
        <w:tc>
          <w:tcPr>
            <w:tcW w:type="dxa" w:w="1871"/>
            <w:shd w:fill="20285F"/>
            <w:vAlign w:val="center"/>
          </w:tcPr>
          <w:p>
            <w:pPr>
              <w:keepNext w:val="0"/>
              <w:widowControl/>
              <w:spacing w:after="60" w:before="20" w:line="283" w:lineRule="auto"/>
            </w:pPr>
            <w:r/>
            <w:r>
              <w:rPr>
                <w:rFonts w:ascii="Pretendard" w:hAnsi="Pretendard" w:eastAsia="Pretendard"/>
                <w:b/>
                <w:color w:val="FFFFFF"/>
                <w:sz w:val="19"/>
              </w:rPr>
              <w:t>항목</w:t>
            </w:r>
          </w:p>
        </w:tc>
        <w:tc>
          <w:tcPr>
            <w:tcW w:type="dxa" w:w="7880"/>
            <w:shd w:fill="20285F"/>
            <w:vAlign w:val="center"/>
          </w:tcPr>
          <w:p>
            <w:pPr>
              <w:keepNext w:val="0"/>
              <w:widowControl/>
              <w:spacing w:after="60" w:before="20" w:line="283" w:lineRule="auto"/>
            </w:pPr>
            <w:r/>
            <w:r>
              <w:rPr>
                <w:rFonts w:ascii="Pretendard" w:hAnsi="Pretendard" w:eastAsia="Pretendard"/>
                <w:b/>
                <w:color w:val="FFFFFF"/>
                <w:sz w:val="19"/>
              </w:rPr>
              <w:t>적용</w:t>
            </w:r>
          </w:p>
        </w:tc>
      </w:tr>
      <w:tr>
        <w:trPr>
          <w:cantSplit/>
        </w:trPr>
        <w:tc>
          <w:tcPr>
            <w:tcW w:type="dxa" w:w="1871"/>
            <w:vAlign w:val="center"/>
          </w:tcPr>
          <w:p>
            <w:pPr>
              <w:keepNext w:val="0"/>
              <w:widowControl/>
              <w:spacing w:after="60" w:before="20" w:line="283" w:lineRule="auto"/>
            </w:pPr>
            <w:r/>
            <w:r>
              <w:rPr>
                <w:rFonts w:ascii="Pretendard" w:hAnsi="Pretendard" w:eastAsia="Pretendard"/>
                <w:b w:val="0"/>
                <w:color w:val="28303E"/>
                <w:sz w:val="19"/>
              </w:rPr>
              <w:t>키커</w:t>
            </w:r>
          </w:p>
        </w:tc>
        <w:tc>
          <w:tcPr>
            <w:tcW w:type="dxa" w:w="7880"/>
            <w:vAlign w:val="center"/>
          </w:tcPr>
          <w:p>
            <w:pPr>
              <w:keepNext w:val="0"/>
              <w:widowControl/>
              <w:spacing w:after="60" w:before="20" w:line="283" w:lineRule="auto"/>
            </w:pPr>
            <w:r/>
            <w:r>
              <w:rPr>
                <w:rFonts w:ascii="Pretendard" w:hAnsi="Pretendard" w:eastAsia="Pretendard"/>
                <w:b w:val="0"/>
                <w:color w:val="28303E"/>
                <w:sz w:val="19"/>
              </w:rPr>
              <w:t>9개 화면 모두 “치료·재활 우선의 조건과 한계”로 고정한다. 현행 목차 문구와 동일하게 쓴다.</w:t>
            </w:r>
          </w:p>
        </w:tc>
      </w:tr>
      <w:tr>
        <w:trPr>
          <w:cantSplit/>
        </w:trPr>
        <w:tc>
          <w:tcPr>
            <w:tcW w:type="dxa" w:w="1871"/>
            <w:vAlign w:val="center"/>
            <w:shd w:fill="F8F9FB"/>
          </w:tcPr>
          <w:p>
            <w:pPr>
              <w:keepNext w:val="0"/>
              <w:widowControl/>
              <w:spacing w:after="60" w:before="20" w:line="283" w:lineRule="auto"/>
            </w:pPr>
            <w:r/>
            <w:r>
              <w:rPr>
                <w:rFonts w:ascii="Pretendard" w:hAnsi="Pretendard" w:eastAsia="Pretendard"/>
                <w:b w:val="0"/>
                <w:color w:val="28303E"/>
                <w:sz w:val="19"/>
              </w:rPr>
              <w:t>제목·밴드</w:t>
            </w:r>
          </w:p>
        </w:tc>
        <w:tc>
          <w:tcPr>
            <w:tcW w:type="dxa" w:w="7880"/>
            <w:vAlign w:val="center"/>
            <w:shd w:fill="F8F9FB"/>
          </w:tcPr>
          <w:p>
            <w:pPr>
              <w:keepNext w:val="0"/>
              <w:widowControl/>
              <w:spacing w:after="60" w:before="20" w:line="283" w:lineRule="auto"/>
            </w:pPr>
            <w:r/>
            <w:r>
              <w:rPr>
                <w:rFonts w:ascii="Pretendard" w:hAnsi="Pretendard" w:eastAsia="Pretendard"/>
                <w:b w:val="0"/>
                <w:color w:val="28303E"/>
                <w:sz w:val="19"/>
              </w:rPr>
              <w:t>제목은 해당 화면의 실제 내용이다. 밴드는 자료의 범위 또는 논제와의 관계를 한 문장으로 제시한다. 제목·밴드·하단에서 같은 말을 세 번 반복하지 않는다.</w:t>
            </w:r>
          </w:p>
        </w:tc>
      </w:tr>
      <w:tr>
        <w:trPr>
          <w:cantSplit/>
        </w:trPr>
        <w:tc>
          <w:tcPr>
            <w:tcW w:type="dxa" w:w="1871"/>
            <w:vAlign w:val="center"/>
          </w:tcPr>
          <w:p>
            <w:pPr>
              <w:keepNext w:val="0"/>
              <w:widowControl/>
              <w:spacing w:after="60" w:before="20" w:line="283" w:lineRule="auto"/>
            </w:pPr>
            <w:r/>
            <w:r>
              <w:rPr>
                <w:rFonts w:ascii="Pretendard" w:hAnsi="Pretendard" w:eastAsia="Pretendard"/>
                <w:b w:val="0"/>
                <w:color w:val="28303E"/>
                <w:sz w:val="19"/>
              </w:rPr>
              <w:t>연구·사건 경계</w:t>
            </w:r>
          </w:p>
        </w:tc>
        <w:tc>
          <w:tcPr>
            <w:tcW w:type="dxa" w:w="7880"/>
            <w:vAlign w:val="center"/>
          </w:tcPr>
          <w:p>
            <w:pPr>
              <w:keepNext w:val="0"/>
              <w:widowControl/>
              <w:spacing w:after="60" w:before="20" w:line="283" w:lineRule="auto"/>
            </w:pPr>
            <w:r/>
            <w:r>
              <w:rPr>
                <w:rFonts w:ascii="Pretendard" w:hAnsi="Pretendard" w:eastAsia="Pretendard"/>
                <w:b w:val="0"/>
                <w:color w:val="28303E"/>
                <w:sz w:val="19"/>
              </w:rPr>
              <w:t>C5-04·05에는 T.N. 사건명·연도, C5-06·07에는 RISKIT-CJS·연도를 같은 자리에서 반복한다. 다른 연구로 넘어갈 때 라벨도 바꾼다.</w:t>
            </w:r>
          </w:p>
        </w:tc>
      </w:tr>
      <w:tr>
        <w:trPr>
          <w:cantSplit/>
        </w:trPr>
        <w:tc>
          <w:tcPr>
            <w:tcW w:type="dxa" w:w="1871"/>
            <w:vAlign w:val="center"/>
            <w:shd w:fill="F8F9FB"/>
          </w:tcPr>
          <w:p>
            <w:pPr>
              <w:keepNext w:val="0"/>
              <w:widowControl/>
              <w:spacing w:after="60" w:before="20" w:line="283" w:lineRule="auto"/>
            </w:pPr>
            <w:r/>
            <w:r>
              <w:rPr>
                <w:rFonts w:ascii="Pretendard" w:hAnsi="Pretendard" w:eastAsia="Pretendard"/>
                <w:b w:val="0"/>
                <w:color w:val="28303E"/>
                <w:sz w:val="19"/>
              </w:rPr>
              <w:t>화면/대본</w:t>
            </w:r>
          </w:p>
        </w:tc>
        <w:tc>
          <w:tcPr>
            <w:tcW w:type="dxa" w:w="7880"/>
            <w:vAlign w:val="center"/>
            <w:shd w:fill="F8F9FB"/>
          </w:tcPr>
          <w:p>
            <w:pPr>
              <w:keepNext w:val="0"/>
              <w:widowControl/>
              <w:spacing w:after="60" w:before="20" w:line="283" w:lineRule="auto"/>
            </w:pPr>
            <w:r/>
            <w:r>
              <w:rPr>
                <w:rFonts w:ascii="Pretendard" w:hAnsi="Pretendard" w:eastAsia="Pretendard"/>
                <w:b w:val="0"/>
                <w:color w:val="28303E"/>
                <w:sz w:val="19"/>
              </w:rPr>
              <w:t>다음 장별 “화면에 넣을 문구”만 PPT 본문으로 옮긴다. 대본·근거의 성격·확인 메모는 노트와 자료집에 둔다.</w:t>
            </w:r>
          </w:p>
        </w:tc>
      </w:tr>
      <w:tr>
        <w:trPr>
          <w:cantSplit/>
        </w:trPr>
        <w:tc>
          <w:tcPr>
            <w:tcW w:type="dxa" w:w="1871"/>
            <w:vAlign w:val="center"/>
          </w:tcPr>
          <w:p>
            <w:pPr>
              <w:keepNext w:val="0"/>
              <w:widowControl/>
              <w:spacing w:after="60" w:before="20" w:line="283" w:lineRule="auto"/>
            </w:pPr>
            <w:r/>
            <w:r>
              <w:rPr>
                <w:rFonts w:ascii="Pretendard" w:hAnsi="Pretendard" w:eastAsia="Pretendard"/>
                <w:b w:val="0"/>
                <w:color w:val="28303E"/>
                <w:sz w:val="19"/>
              </w:rPr>
              <w:t>법령</w:t>
            </w:r>
          </w:p>
        </w:tc>
        <w:tc>
          <w:tcPr>
            <w:tcW w:type="dxa" w:w="7880"/>
            <w:vAlign w:val="center"/>
          </w:tcPr>
          <w:p>
            <w:pPr>
              <w:keepNext w:val="0"/>
              <w:widowControl/>
              <w:spacing w:after="60" w:before="20" w:line="283" w:lineRule="auto"/>
            </w:pPr>
            <w:r/>
            <w:r>
              <w:rPr>
                <w:rFonts w:ascii="Pretendard" w:hAnsi="Pretendard" w:eastAsia="Pretendard"/>
                <w:b w:val="0"/>
                <w:color w:val="28303E"/>
                <w:sz w:val="19"/>
              </w:rPr>
              <w:t>핵심 조문은 정확한 문언으로 짧게 발췌하고, 생략은 …로 표시한다. 상세 전문은 문서 후반에 둔다. 외국 권고·판례를 한국의 현행 권한처럼 쓰지 않는다.</w:t>
            </w:r>
          </w:p>
        </w:tc>
      </w:tr>
      <w:tr>
        <w:trPr>
          <w:cantSplit/>
        </w:trPr>
        <w:tc>
          <w:tcPr>
            <w:tcW w:type="dxa" w:w="1871"/>
            <w:vAlign w:val="center"/>
            <w:shd w:fill="F8F9FB"/>
          </w:tcPr>
          <w:p>
            <w:pPr>
              <w:keepNext w:val="0"/>
              <w:widowControl/>
              <w:spacing w:after="60" w:before="20" w:line="283" w:lineRule="auto"/>
            </w:pPr>
            <w:r/>
            <w:r>
              <w:rPr>
                <w:rFonts w:ascii="Pretendard" w:hAnsi="Pretendard" w:eastAsia="Pretendard"/>
                <w:b w:val="0"/>
                <w:color w:val="28303E"/>
                <w:sz w:val="19"/>
              </w:rPr>
              <w:t>수치</w:t>
            </w:r>
          </w:p>
        </w:tc>
        <w:tc>
          <w:tcPr>
            <w:tcW w:type="dxa" w:w="7880"/>
            <w:vAlign w:val="center"/>
            <w:shd w:fill="F8F9FB"/>
          </w:tcPr>
          <w:p>
            <w:pPr>
              <w:keepNext w:val="0"/>
              <w:widowControl/>
              <w:spacing w:after="60" w:before="20" w:line="283" w:lineRule="auto"/>
            </w:pPr>
            <w:r/>
            <w:r>
              <w:rPr>
                <w:rFonts w:ascii="Pretendard" w:hAnsi="Pretendard" w:eastAsia="Pretendard"/>
                <w:b w:val="0"/>
                <w:color w:val="28303E"/>
                <w:sz w:val="19"/>
              </w:rPr>
              <w:t>분자/분모·관찰기간·평가대상을 함께 적는다. 서로 다른 분모의 지표를 한 흐름의 탈락률처럼 연결하지 않는다.</w:t>
            </w:r>
          </w:p>
        </w:tc>
      </w:tr>
    </w:tbl>
    <w:p>
      <w:pPr>
        <w:widowControl/>
        <w:spacing w:after="20"/>
      </w:pPr>
    </w:p>
    <w:p>
      <w:pPr>
        <w:pStyle w:val="Heading2"/>
        <w:widowControl/>
      </w:pPr>
      <w:r>
        <w:rPr>
          <w:rFonts w:ascii="Pretendard" w:hAnsi="Pretendard" w:eastAsia="Pretendard"/>
          <w:b w:val="0"/>
        </w:rPr>
        <w:t>Git 고정 골격</w:t>
      </w:r>
    </w:p>
    <w:p>
      <w:pPr>
        <w:widowControl/>
      </w:pPr>
      <w:r>
        <w:rPr>
          <w:rFonts w:ascii="Pretendard" w:hAnsi="Pretendard" w:eastAsia="Pretendard"/>
          <w:b w:val="0"/>
        </w:rPr>
        <w:t>16:9(13.333×7.5인치). 좌우 본문 x=0.80~12.53, 폭 11.73. 제목 x=0.80, y=0.70, h=0.70, 27.5pt. 키커 y=0.40, 우상단 “다음 →” y=0.42. 상단 밴드 y=1.55, h=0.60 또는 0.85. 일반 장 마지막 구분선 y=6.72, 출처 y=7.02.</w:t>
      </w:r>
    </w:p>
    <w:p>
      <w:pPr>
        <w:widowControl/>
      </w:pPr>
      <w:r>
        <w:rPr>
          <w:rFonts w:ascii="Pretendard" w:hAnsi="Pretendard" w:eastAsia="Pretendard"/>
          <w:b w:val="0"/>
        </w:rPr>
        <w:t>좌우 대조는 x=0.80·6.87, 각 폭 5.66. 세 열은 x=0.80·4.81·8.82, 각 폭 3.71. 글자 크기·색은 Git의 역할별 설정을 따른다. 직각 박스는 허용하지만 둥근 카드·그림자·임의의 붉은 “반대자료” 색은 사용하지 않는다.</w:t>
      </w:r>
    </w:p>
    <w:p>
      <w:pPr>
        <w:widowControl/>
      </w:pPr>
      <w:r>
        <w:rPr>
          <w:rFonts w:ascii="Pretendard" w:hAnsi="Pretendard" w:eastAsia="Pretendard"/>
          <w:b w:val="0"/>
          <w:color w:val="626C7B"/>
          <w:sz w:val="19"/>
        </w:rPr>
        <w:t>아래의 화면 배치는 내용의 상대적 위치를 지시한다. 실제 제작자는 정확한 텍스트 폭을 측정하고 전체 렌더로 줄바꿈·하단 공백·겹침을 확인한다. 사용자 승인 없이 다른 자료나 새로운 주장으로 빈칸을 메우지 않는다.</w:t>
      </w:r>
    </w:p>
    <w:p>
      <w:pPr>
        <w:widowControl/>
      </w:pPr>
      <w:r>
        <w:br w:type="page"/>
      </w:r>
    </w:p>
    <w:p>
      <w:pPr>
        <w:widowControl/>
        <w:spacing w:after="120"/>
      </w:pPr>
      <w:r>
        <w:rPr>
          <w:rFonts w:ascii="Pretendard" w:hAnsi="Pretendard" w:eastAsia="Pretendard"/>
          <w:b/>
          <w:color w:val="A8871C"/>
          <w:sz w:val="19"/>
        </w:rPr>
        <w:t>C5-01  /  화면 설계</w:t>
      </w:r>
    </w:p>
    <w:p>
      <w:pPr>
        <w:pStyle w:val="Heading1"/>
        <w:widowControl/>
      </w:pPr>
      <w:r>
        <w:rPr>
          <w:rFonts w:ascii="Pretendard" w:hAnsi="Pretendard" w:eastAsia="Pretendard"/>
          <w:b w:val="0"/>
        </w:rPr>
        <w:t>집중 법원치료의 대상 — 치료필요와 재범위험</w:t>
      </w:r>
    </w:p>
    <w:p>
      <w:pPr>
        <w:widowControl/>
      </w:pPr>
      <w:r>
        <w:rPr>
          <w:rFonts w:ascii="Pretendard" w:hAnsi="Pretendard" w:eastAsia="Pretendard"/>
          <w:b w:val="0"/>
          <w:color w:val="626C7B"/>
          <w:sz w:val="19"/>
        </w:rPr>
        <w:t>대상 선정  |  키커: 치료·재활 우선의 조건과 한계</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상단 밴드 · 화면 문구</w:t>
            </w:r>
          </w:p>
          <w:p>
            <w:pPr>
              <w:keepNext w:val="0"/>
              <w:widowControl/>
              <w:spacing w:after="60" w:before="20" w:line="283" w:lineRule="auto"/>
            </w:pPr>
            <w:r>
              <w:rPr>
                <w:rFonts w:ascii="Pretendard" w:hAnsi="Pretendard" w:eastAsia="Pretendard"/>
                <w:b w:val="0"/>
                <w:color w:val="28303E"/>
                <w:sz w:val="21"/>
              </w:rPr>
              <w:t>집중 법원치료는 약물을 사용했다는 사실만으로 배정하지 않고, 치료필요와 재범위험을 함께 기준으로 삼는다.</w:t>
            </w:r>
          </w:p>
        </w:tc>
      </w:tr>
    </w:tbl>
    <w:p>
      <w:pPr>
        <w:widowControl/>
        <w:spacing w:after="0"/>
      </w:pPr>
    </w:p>
    <w:p>
      <w:pPr>
        <w:widowControl/>
      </w:pPr>
      <w:r>
        <w:rPr>
          <w:rFonts w:ascii="Pretendard" w:hAnsi="Pretendard" w:eastAsia="Pretendard"/>
          <w:b/>
          <w:color w:val="A8871C"/>
          <w:sz w:val="19"/>
        </w:rPr>
        <w:t>미국 OJJDP(2016) · 소년약물치료법원 선정지침 2.1~2.4</w:t>
      </w:r>
    </w:p>
    <w:p>
      <w:pPr>
        <w:pStyle w:val="Heading3"/>
        <w:widowControl/>
      </w:pPr>
      <w:r>
        <w:rPr>
          <w:rFonts w:ascii="Pretendard" w:hAnsi="Pretendard" w:eastAsia="Pretendard"/>
          <w:b w:val="0"/>
        </w:rPr>
        <w:t>중앙 세 기준</w:t>
      </w:r>
    </w:p>
    <w:p>
      <w:pPr>
        <w:widowControl/>
      </w:pPr>
      <w:r>
        <w:rPr>
          <w:rFonts w:ascii="Pretendard" w:hAnsi="Pretendard" w:eastAsia="Pretendard"/>
          <w:b/>
          <w:sz w:val="21"/>
        </w:rPr>
        <w:t>14세 이상</w:t>
      </w:r>
      <w:r>
        <w:rPr>
          <w:rFonts w:ascii="Pretendard" w:hAnsi="Pretendard" w:eastAsia="Pretendard"/>
          <w:b w:val="0"/>
          <w:sz w:val="21"/>
        </w:rPr>
        <w:br/>
      </w:r>
      <w:r>
        <w:rPr>
          <w:rFonts w:ascii="Pretendard" w:hAnsi="Pretendard" w:eastAsia="Pretendard"/>
          <w:b/>
          <w:sz w:val="21"/>
        </w:rPr>
        <w:t>물질사용장애가 있는 청소년</w:t>
      </w:r>
      <w:r>
        <w:rPr>
          <w:rFonts w:ascii="Pretendard" w:hAnsi="Pretendard" w:eastAsia="Pretendard"/>
          <w:b w:val="0"/>
          <w:sz w:val="21"/>
        </w:rPr>
        <w:br/>
      </w:r>
      <w:r>
        <w:rPr>
          <w:rFonts w:ascii="Pretendard" w:hAnsi="Pretendard" w:eastAsia="Pretendard"/>
          <w:b/>
          <w:sz w:val="21"/>
        </w:rPr>
        <w:t>재범위험이 중간~높은 청소년</w:t>
      </w:r>
    </w:p>
    <w:p>
      <w:pPr>
        <w:pStyle w:val="Heading3"/>
        <w:widowControl/>
      </w:pPr>
      <w:r>
        <w:rPr>
          <w:rFonts w:ascii="Pretendard" w:hAnsi="Pretendard" w:eastAsia="Pretendard"/>
          <w:b w:val="0"/>
        </w:rPr>
        <w:t>하단 경로</w:t>
      </w:r>
    </w:p>
    <w:p>
      <w:pPr>
        <w:widowControl/>
      </w:pPr>
      <w:r>
        <w:rPr>
          <w:rFonts w:ascii="Pretendard" w:hAnsi="Pretendard" w:eastAsia="Pretendard"/>
          <w:b w:val="0"/>
          <w:sz w:val="21"/>
        </w:rPr>
        <w:t>물질사용장애가 없고 재범위험이 낮은 청소년은</w:t>
        <w:br/>
        <w:t>정식 JDTC 대신 지역사회 대안으로 연결하도록 권고한다.</w:t>
      </w:r>
    </w:p>
    <w:p>
      <w:pPr>
        <w:pStyle w:val="Heading3"/>
        <w:widowControl/>
      </w:pPr>
      <w:r>
        <w:rPr>
          <w:rFonts w:ascii="Pretendard" w:hAnsi="Pretendard" w:eastAsia="Pretendard"/>
          <w:b w:val="0"/>
        </w:rPr>
        <w:t>논제 연결</w:t>
      </w:r>
    </w:p>
    <w:p>
      <w:pPr>
        <w:widowControl/>
      </w:pPr>
      <w:r>
        <w:rPr>
          <w:rFonts w:ascii="Pretendard" w:hAnsi="Pretendard" w:eastAsia="Pretendard"/>
          <w:b w:val="0"/>
          <w:sz w:val="21"/>
        </w:rPr>
        <w:t>치료가 필요한 범위와 집중적인 법원감독까지 필요한 범위는 일치하지 않을 수 있다.</w:t>
      </w:r>
    </w:p>
    <w:p>
      <w:pPr>
        <w:pStyle w:val="Heading3"/>
        <w:widowControl/>
      </w:pPr>
      <w:r>
        <w:rPr>
          <w:rFonts w:ascii="Pretendard" w:hAnsi="Pretendard" w:eastAsia="Pretendard"/>
          <w:b w:val="0"/>
        </w:rPr>
        <w:t>하단 문장</w:t>
      </w:r>
    </w:p>
    <w:p>
      <w:pPr>
        <w:widowControl/>
      </w:pPr>
      <w:r>
        <w:rPr>
          <w:rFonts w:ascii="Pretendard" w:hAnsi="Pretendard" w:eastAsia="Pretendard"/>
          <w:b/>
          <w:color w:val="20285F"/>
          <w:sz w:val="21"/>
        </w:rPr>
        <w:t>치료·재활 우선의 대상과 법원감독의 강도는 별도로 정할 수 있다.</w:t>
      </w:r>
    </w:p>
    <w:p>
      <w:pPr>
        <w:pStyle w:val="Heading3"/>
        <w:widowControl/>
      </w:pPr>
      <w:r>
        <w:rPr>
          <w:rFonts w:ascii="Pretendard" w:hAnsi="Pretendard" w:eastAsia="Pretendard"/>
          <w:b w:val="0"/>
        </w:rPr>
        <w:t>배치 지시</w:t>
      </w:r>
    </w:p>
    <w:p>
      <w:pPr>
        <w:widowControl/>
      </w:pPr>
      <w:r>
        <w:rPr>
          <w:rFonts w:ascii="Pretendard" w:hAnsi="Pretendard" w:eastAsia="Pretendard"/>
          <w:b w:val="0"/>
          <w:color w:val="626C7B"/>
          <w:sz w:val="18"/>
        </w:rPr>
        <w:t>E: 세 기준을 병렬 제시하고, 아래에 제외·대안 경로를 둔다. 밴드 아래 자료라벨을 둔다. 3개의 기준은 같은 위계로 나란히 배치한다. 아래에는 “낮은 위험·장애 없음 → 지역사회 대안”을 한 줄 경로로 둔다. 국내에서 모든 사용자를 자동 분류하는 2×2 배정표는 만들지 않는다.</w:t>
      </w:r>
    </w:p>
    <w:p>
      <w:pPr>
        <w:widowControl/>
      </w:pPr>
      <w:r>
        <w:rPr>
          <w:rFonts w:ascii="Pretendard" w:hAnsi="Pretendard" w:eastAsia="Pretendard"/>
          <w:b/>
          <w:color w:val="20285F"/>
          <w:sz w:val="19"/>
        </w:rPr>
        <w:t>다음 → 재사용·검사 불이행·접근장벽에 대한 대응</w:t>
      </w:r>
    </w:p>
    <w:p>
      <w:pPr>
        <w:pStyle w:val="Caption"/>
        <w:widowControl/>
      </w:pPr>
      <w:r>
        <w:rPr>
          <w:rFonts w:ascii="Pretendard" w:hAnsi="Pretendard" w:eastAsia="Pretendard"/>
          <w:b w:val="0"/>
        </w:rPr>
        <w:t>화면 출처: OJJDP(2016), Juvenile Drug Treatment Court Guidelines, 지침 2.1~2.4, 본문 16~18쪽. 미국 집중형 JDTC의 권고기준.</w:t>
      </w:r>
    </w:p>
    <w:p>
      <w:pPr>
        <w:widowControl/>
      </w:pPr>
      <w:r>
        <w:br w:type="page"/>
      </w:r>
    </w:p>
    <w:p>
      <w:pPr>
        <w:widowControl/>
        <w:spacing w:after="120"/>
      </w:pPr>
      <w:r>
        <w:rPr>
          <w:rFonts w:ascii="Pretendard" w:hAnsi="Pretendard" w:eastAsia="Pretendard"/>
          <w:b/>
          <w:color w:val="A8871C"/>
          <w:sz w:val="19"/>
        </w:rPr>
        <w:t>C5-01  /  대본·적용</w:t>
      </w:r>
    </w:p>
    <w:p>
      <w:pPr>
        <w:pStyle w:val="Heading1"/>
        <w:widowControl/>
      </w:pPr>
      <w:r>
        <w:rPr>
          <w:rFonts w:ascii="Pretendard" w:hAnsi="Pretendard" w:eastAsia="Pretendard"/>
          <w:b w:val="0"/>
        </w:rPr>
        <w:t>설명과 논제 연결</w:t>
      </w:r>
    </w:p>
    <w:p>
      <w:pPr>
        <w:widowControl/>
      </w:pPr>
      <w:r>
        <w:rPr>
          <w:rFonts w:ascii="Pretendard" w:hAnsi="Pretendard" w:eastAsia="Pretendard"/>
          <w:b w:val="0"/>
          <w:color w:val="626C7B"/>
          <w:sz w:val="19"/>
        </w:rPr>
        <w:t>집중 법원치료의 대상 — 치료필요와 재범위험</w:t>
      </w:r>
    </w:p>
    <w:p>
      <w:pPr>
        <w:pStyle w:val="Heading2"/>
        <w:widowControl/>
      </w:pPr>
      <w:r>
        <w:rPr>
          <w:rFonts w:ascii="Pretendard" w:hAnsi="Pretendard" w:eastAsia="Pretendard"/>
          <w:b w:val="0"/>
        </w:rPr>
        <w:t>강의 대본</w:t>
      </w:r>
    </w:p>
    <w:p>
      <w:pPr>
        <w:widowControl/>
      </w:pPr>
      <w:r>
        <w:rPr>
          <w:rFonts w:ascii="Pretendard" w:hAnsi="Pretendard" w:eastAsia="Pretendard"/>
          <w:b w:val="0"/>
        </w:rPr>
        <w:t>앞 장에서는 같은 위법한 사용이라도 치료필요가 다를 수 있다는 점을 다뤘습니다. 이제는 그 차이가 실제 선정기준에서 어떻게 쓰이는지를 봅니다. 이 화면의 기준은 미국의 집중형 소년약물치료법원에 들어갈 대상을 정한 지침입니다. 한국의 형사책임 연령을 새로 정하거나 모든 사용자의 치료 접근을 제한하는 기준은 아닙니다.</w:t>
      </w:r>
    </w:p>
    <w:p>
      <w:pPr>
        <w:widowControl/>
      </w:pPr>
      <w:r>
        <w:rPr>
          <w:rFonts w:ascii="Pretendard" w:hAnsi="Pretendard" w:eastAsia="Pretendard"/>
          <w:b w:val="0"/>
        </w:rPr>
        <w:t>여기서 눈여겨볼 점은 치료필요와 법원감독 필요가 함께 들어간다는 것입니다. 치료가 필요하다는 이유만으로 모두 강한 감독을 붙일 필요가 있는지, 반대로 사건이 가볍다는 이유로 치료필요도 작다고 보아도 되는지 질문할 수 있습니다. 예를 들어 임상적 도움이 많이 필요하지만 재범위험은 낮은 청소년을 떠올려 보겠습니다. 치료의 강도를 높이는 것과 법원의 출석·검사 요구를 늘리는 것은 같은 결정이 아닙니다.</w:t>
      </w:r>
    </w:p>
    <w:p>
      <w:pPr>
        <w:widowControl/>
      </w:pPr>
      <w:r>
        <w:rPr>
          <w:rFonts w:ascii="Pretendard" w:hAnsi="Pretendard" w:eastAsia="Pretendard"/>
          <w:b w:val="0"/>
        </w:rPr>
        <w:t>따라서 이 자료는 치료·재활을 우선하는 범위를 무조건 넓히거나 좁히라는 결론을 주지는 않습니다. 다만 어떤 청소년에게 집중적인 사법관리까지 결합할 것인지를 정할 때, 사용 여부 하나보다 구체적인 기준이 필요하다는 설계 사례를 제공합니다.</w:t>
      </w:r>
    </w:p>
    <w:p>
      <w:pPr>
        <w:pStyle w:val="Heading2"/>
        <w:widowControl/>
      </w:pPr>
      <w:r>
        <w:rPr>
          <w:rFonts w:ascii="Pretendard" w:hAnsi="Pretendard" w:eastAsia="Pretendard"/>
          <w:b w:val="0"/>
        </w:rPr>
        <w:t>논제에서 판단할 내용</w:t>
      </w:r>
    </w:p>
    <w:p>
      <w:pPr>
        <w:widowControl/>
      </w:pPr>
      <w:r>
        <w:rPr>
          <w:rFonts w:ascii="Pretendard" w:hAnsi="Pretendard" w:eastAsia="Pretendard"/>
          <w:b w:val="0"/>
          <w:sz w:val="20"/>
        </w:rPr>
        <w:t>치료 우선을 검토할 때: 임상적 필요가 있는 청소년에게 실제 치료기회를 우선 배정할 수 있는가.</w:t>
      </w:r>
    </w:p>
    <w:p>
      <w:pPr>
        <w:widowControl/>
      </w:pPr>
      <w:r>
        <w:rPr>
          <w:rFonts w:ascii="Pretendard" w:hAnsi="Pretendard" w:eastAsia="Pretendard"/>
          <w:b w:val="0"/>
          <w:sz w:val="20"/>
        </w:rPr>
        <w:t>감독·책임을 중시할 때: 재범위험이 큰 경우에 어떤 확인·감독을 함께 붙일 것인가.</w:t>
      </w:r>
    </w:p>
    <w:p>
      <w:pPr>
        <w:pStyle w:val="Heading2"/>
        <w:widowControl/>
      </w:pPr>
      <w:r>
        <w:rPr>
          <w:rFonts w:ascii="Pretendard" w:hAnsi="Pretendard" w:eastAsia="Pretendard"/>
          <w:b w:val="0"/>
        </w:rPr>
        <w:t>근거의 성격과 적용범위</w:t>
      </w:r>
    </w:p>
    <w:p>
      <w:pPr>
        <w:widowControl/>
      </w:pPr>
      <w:r>
        <w:rPr>
          <w:rFonts w:ascii="Pretendard" w:hAnsi="Pretendard" w:eastAsia="Pretendard"/>
          <w:b w:val="0"/>
          <w:color w:val="626C7B"/>
          <w:sz w:val="19"/>
        </w:rPr>
        <w:t>— 이 지침은 효과비교 실험 결과가 아니라 전문 법원 프로그램의 운영 권고이다.</w:t>
      </w:r>
    </w:p>
    <w:p>
      <w:pPr>
        <w:widowControl/>
      </w:pPr>
      <w:r>
        <w:rPr>
          <w:rFonts w:ascii="Pretendard" w:hAnsi="Pretendard" w:eastAsia="Pretendard"/>
          <w:b w:val="0"/>
          <w:color w:val="626C7B"/>
          <w:sz w:val="19"/>
        </w:rPr>
        <w:t>— 재범위험과 중독·금단 등 임상적 위험을 같은 점수로 취급하지 않는다.</w:t>
      </w:r>
    </w:p>
    <w:p>
      <w:pPr>
        <w:widowControl/>
      </w:pPr>
      <w:r>
        <w:rPr>
          <w:rFonts w:ascii="Pretendard" w:hAnsi="Pretendard" w:eastAsia="Pretendard"/>
          <w:b w:val="0"/>
          <w:color w:val="626C7B"/>
          <w:sz w:val="19"/>
        </w:rPr>
        <w:t>— 소년법 제49조의2는 국내 처분 결정 전 조사 근거로만 노트에서 연결한다. 미국 점수나 선정기준이 국내 법정 기준이라는 뜻은 아니다.</w:t>
      </w:r>
    </w:p>
    <w:p>
      <w:pPr>
        <w:pStyle w:val="Heading2"/>
        <w:widowControl/>
      </w:pPr>
      <w:r>
        <w:rPr>
          <w:rFonts w:ascii="Pretendard" w:hAnsi="Pretendard" w:eastAsia="Pretendard"/>
          <w:b w:val="0"/>
        </w:rPr>
        <w:t>중복 방지 · 다음 작업</w:t>
      </w:r>
    </w:p>
    <w:p>
      <w:pPr>
        <w:widowControl/>
      </w:pPr>
      <w:r>
        <w:rPr>
          <w:rFonts w:ascii="Pretendard" w:hAnsi="Pretendard" w:eastAsia="Pretendard"/>
          <w:b w:val="0"/>
          <w:sz w:val="20"/>
        </w:rPr>
        <w:t>v14 27쪽의 JDTC 정의·구성 소개는 반복하지 않는다. 제4장의 사용 심각도 개념 대신 실제 집중경로의 선정기준을 보여준다.</w:t>
      </w:r>
    </w:p>
    <w:p>
      <w:pPr>
        <w:pStyle w:val="Caption"/>
        <w:widowControl/>
      </w:pPr>
      <w:r>
        <w:rPr>
          <w:rFonts w:ascii="Pretendard" w:hAnsi="Pretendard" w:eastAsia="Pretendard"/>
          <w:b w:val="0"/>
        </w:rPr>
        <w:t>근거 위치: S1; 국내 연결은 S2(제49조의2).</w:t>
      </w:r>
    </w:p>
    <w:p>
      <w:pPr>
        <w:widowControl/>
      </w:pPr>
      <w:r>
        <w:br w:type="page"/>
      </w:r>
    </w:p>
    <w:p>
      <w:pPr>
        <w:widowControl/>
        <w:spacing w:after="120"/>
      </w:pPr>
      <w:r>
        <w:rPr>
          <w:rFonts w:ascii="Pretendard" w:hAnsi="Pretendard" w:eastAsia="Pretendard"/>
          <w:b/>
          <w:color w:val="A8871C"/>
          <w:sz w:val="19"/>
        </w:rPr>
        <w:t>C5-02  /  화면 설계</w:t>
      </w:r>
    </w:p>
    <w:p>
      <w:pPr>
        <w:pStyle w:val="Heading1"/>
        <w:widowControl/>
      </w:pPr>
      <w:r>
        <w:rPr>
          <w:rFonts w:ascii="Pretendard" w:hAnsi="Pretendard" w:eastAsia="Pretendard"/>
          <w:b w:val="0"/>
        </w:rPr>
        <w:t>재사용·검사 불이행·접근장벽에 대한 세 대응</w:t>
      </w:r>
    </w:p>
    <w:p>
      <w:pPr>
        <w:widowControl/>
      </w:pPr>
      <w:r>
        <w:rPr>
          <w:rFonts w:ascii="Pretendard" w:hAnsi="Pretendard" w:eastAsia="Pretendard"/>
          <w:b w:val="0"/>
          <w:color w:val="626C7B"/>
          <w:sz w:val="19"/>
        </w:rPr>
        <w:t>법적 감독  |  키커: 치료·재활 우선의 조건과 한계</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상단 밴드 · 화면 문구</w:t>
            </w:r>
          </w:p>
          <w:p>
            <w:pPr>
              <w:keepNext w:val="0"/>
              <w:widowControl/>
              <w:spacing w:after="60" w:before="20" w:line="283" w:lineRule="auto"/>
            </w:pPr>
            <w:r>
              <w:rPr>
                <w:rFonts w:ascii="Pretendard" w:hAnsi="Pretendard" w:eastAsia="Pretendard"/>
                <w:b w:val="0"/>
                <w:color w:val="28303E"/>
                <w:sz w:val="21"/>
              </w:rPr>
              <w:t>치료상태의 변화, 지시 불이행, 서비스 이용 실패는 확인할 내용과 대응주체가 서로 다르다.</w:t>
            </w:r>
          </w:p>
        </w:tc>
      </w:tr>
    </w:tbl>
    <w:p>
      <w:pPr>
        <w:widowControl/>
        <w:spacing w:after="0"/>
      </w:pPr>
    </w:p>
    <w:p>
      <w:pPr>
        <w:widowControl/>
      </w:pPr>
      <w:r>
        <w:rPr>
          <w:rFonts w:ascii="Pretendard" w:hAnsi="Pretendard" w:eastAsia="Pretendard"/>
          <w:b/>
          <w:color w:val="A8871C"/>
          <w:sz w:val="19"/>
        </w:rPr>
        <w:t>OJJDP 지침 5.4~5.6을 바탕으로 정리한 수업용 대응 구분</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1871"/>
        <w:gridCol w:w="2835"/>
        <w:gridCol w:w="5046"/>
      </w:tblGrid>
      <w:tr>
        <w:trPr>
          <w:tblHeader/>
          <w:cantSplit/>
        </w:trPr>
        <w:tc>
          <w:tcPr>
            <w:tcW w:type="dxa" w:w="1871"/>
            <w:shd w:fill="20285F"/>
            <w:vAlign w:val="center"/>
          </w:tcPr>
          <w:p>
            <w:pPr>
              <w:keepNext w:val="0"/>
              <w:widowControl/>
              <w:spacing w:after="60" w:before="20" w:line="283" w:lineRule="auto"/>
            </w:pPr>
            <w:r/>
            <w:r>
              <w:rPr>
                <w:rFonts w:ascii="Pretendard" w:hAnsi="Pretendard" w:eastAsia="Pretendard"/>
                <w:b/>
                <w:color w:val="FFFFFF"/>
                <w:sz w:val="19"/>
              </w:rPr>
              <w:t>상황</w:t>
            </w:r>
          </w:p>
        </w:tc>
        <w:tc>
          <w:tcPr>
            <w:tcW w:type="dxa" w:w="2835"/>
            <w:shd w:fill="20285F"/>
            <w:vAlign w:val="center"/>
          </w:tcPr>
          <w:p>
            <w:pPr>
              <w:keepNext w:val="0"/>
              <w:widowControl/>
              <w:spacing w:after="60" w:before="20" w:line="283" w:lineRule="auto"/>
            </w:pPr>
            <w:r/>
            <w:r>
              <w:rPr>
                <w:rFonts w:ascii="Pretendard" w:hAnsi="Pretendard" w:eastAsia="Pretendard"/>
                <w:b/>
                <w:color w:val="FFFFFF"/>
                <w:sz w:val="19"/>
              </w:rPr>
              <w:t>먼저 확인할 내용</w:t>
            </w:r>
          </w:p>
        </w:tc>
        <w:tc>
          <w:tcPr>
            <w:tcW w:type="dxa" w:w="5046"/>
            <w:shd w:fill="20285F"/>
            <w:vAlign w:val="center"/>
          </w:tcPr>
          <w:p>
            <w:pPr>
              <w:keepNext w:val="0"/>
              <w:widowControl/>
              <w:spacing w:after="60" w:before="20" w:line="283" w:lineRule="auto"/>
            </w:pPr>
            <w:r/>
            <w:r>
              <w:rPr>
                <w:rFonts w:ascii="Pretendard" w:hAnsi="Pretendard" w:eastAsia="Pretendard"/>
                <w:b/>
                <w:color w:val="FFFFFF"/>
                <w:sz w:val="19"/>
              </w:rPr>
              <w:t>담당과 대응</w:t>
            </w:r>
          </w:p>
        </w:tc>
      </w:tr>
      <w:tr>
        <w:trPr>
          <w:cantSplit/>
        </w:trPr>
        <w:tc>
          <w:tcPr>
            <w:tcW w:type="dxa" w:w="1871"/>
            <w:vAlign w:val="center"/>
          </w:tcPr>
          <w:p>
            <w:pPr>
              <w:keepNext w:val="0"/>
              <w:widowControl/>
              <w:spacing w:after="60" w:before="20" w:line="283" w:lineRule="auto"/>
            </w:pPr>
            <w:r/>
            <w:r>
              <w:rPr>
                <w:rFonts w:ascii="Pretendard" w:hAnsi="Pretendard" w:eastAsia="Pretendard"/>
                <w:b w:val="0"/>
                <w:color w:val="28303E"/>
                <w:sz w:val="19"/>
              </w:rPr>
              <w:t>치료 중 재사용</w:t>
            </w:r>
          </w:p>
        </w:tc>
        <w:tc>
          <w:tcPr>
            <w:tcW w:type="dxa" w:w="2835"/>
            <w:vAlign w:val="center"/>
          </w:tcPr>
          <w:p>
            <w:pPr>
              <w:keepNext w:val="0"/>
              <w:widowControl/>
              <w:spacing w:after="60" w:before="20" w:line="283" w:lineRule="auto"/>
            </w:pPr>
            <w:r/>
            <w:r>
              <w:rPr>
                <w:rFonts w:ascii="Pretendard" w:hAnsi="Pretendard" w:eastAsia="Pretendard"/>
                <w:b w:val="0"/>
                <w:color w:val="28303E"/>
                <w:sz w:val="19"/>
              </w:rPr>
              <w:t>사용 양상·치료 참여·치료필요의 변화</w:t>
            </w:r>
          </w:p>
        </w:tc>
        <w:tc>
          <w:tcPr>
            <w:tcW w:type="dxa" w:w="5046"/>
            <w:vAlign w:val="center"/>
          </w:tcPr>
          <w:p>
            <w:pPr>
              <w:keepNext w:val="0"/>
              <w:widowControl/>
              <w:spacing w:after="60" w:before="20" w:line="283" w:lineRule="auto"/>
            </w:pPr>
            <w:r/>
            <w:r>
              <w:rPr>
                <w:rFonts w:ascii="Pretendard" w:hAnsi="Pretendard" w:eastAsia="Pretendard"/>
                <w:b w:val="0"/>
                <w:color w:val="28303E"/>
                <w:sz w:val="19"/>
              </w:rPr>
              <w:t>치료팀이 재평가하고 개입을 조정한다. 법적 조건위반은 별도로 판단한다.</w:t>
            </w:r>
          </w:p>
        </w:tc>
      </w:tr>
      <w:tr>
        <w:trPr>
          <w:cantSplit/>
        </w:trPr>
        <w:tc>
          <w:tcPr>
            <w:tcW w:type="dxa" w:w="1871"/>
            <w:vAlign w:val="center"/>
            <w:shd w:fill="F8F9FB"/>
          </w:tcPr>
          <w:p>
            <w:pPr>
              <w:keepNext w:val="0"/>
              <w:widowControl/>
              <w:spacing w:after="60" w:before="20" w:line="283" w:lineRule="auto"/>
            </w:pPr>
            <w:r/>
            <w:r>
              <w:rPr>
                <w:rFonts w:ascii="Pretendard" w:hAnsi="Pretendard" w:eastAsia="Pretendard"/>
                <w:b w:val="0"/>
                <w:color w:val="28303E"/>
                <w:sz w:val="19"/>
              </w:rPr>
              <w:t>검사 불이행·조작</w:t>
            </w:r>
          </w:p>
        </w:tc>
        <w:tc>
          <w:tcPr>
            <w:tcW w:type="dxa" w:w="2835"/>
            <w:vAlign w:val="center"/>
            <w:shd w:fill="F8F9FB"/>
          </w:tcPr>
          <w:p>
            <w:pPr>
              <w:keepNext w:val="0"/>
              <w:widowControl/>
              <w:spacing w:after="60" w:before="20" w:line="283" w:lineRule="auto"/>
            </w:pPr>
            <w:r/>
            <w:r>
              <w:rPr>
                <w:rFonts w:ascii="Pretendard" w:hAnsi="Pretendard" w:eastAsia="Pretendard"/>
                <w:b w:val="0"/>
                <w:color w:val="28303E"/>
                <w:sz w:val="19"/>
              </w:rPr>
              <w:t>요구가 명확했는지, 이행할 수 있었는지, 실제 조작·반복 불출석이 있었는지</w:t>
            </w:r>
          </w:p>
        </w:tc>
        <w:tc>
          <w:tcPr>
            <w:tcW w:type="dxa" w:w="5046"/>
            <w:vAlign w:val="center"/>
            <w:shd w:fill="F8F9FB"/>
          </w:tcPr>
          <w:p>
            <w:pPr>
              <w:keepNext w:val="0"/>
              <w:widowControl/>
              <w:spacing w:after="60" w:before="20" w:line="283" w:lineRule="auto"/>
            </w:pPr>
            <w:r/>
            <w:r>
              <w:rPr>
                <w:rFonts w:ascii="Pretendard" w:hAnsi="Pretendard" w:eastAsia="Pretendard"/>
                <w:b w:val="0"/>
                <w:color w:val="28303E"/>
                <w:sz w:val="19"/>
              </w:rPr>
              <w:t>법적 감독 주체가 사유를 확인하고 정해진 단계적 대응을 검토한다.</w:t>
            </w:r>
          </w:p>
        </w:tc>
      </w:tr>
      <w:tr>
        <w:trPr>
          <w:cantSplit/>
        </w:trPr>
        <w:tc>
          <w:tcPr>
            <w:tcW w:type="dxa" w:w="1871"/>
            <w:vAlign w:val="center"/>
          </w:tcPr>
          <w:p>
            <w:pPr>
              <w:keepNext w:val="0"/>
              <w:widowControl/>
              <w:spacing w:after="60" w:before="20" w:line="283" w:lineRule="auto"/>
            </w:pPr>
            <w:r/>
            <w:r>
              <w:rPr>
                <w:rFonts w:ascii="Pretendard" w:hAnsi="Pretendard" w:eastAsia="Pretendard"/>
                <w:b w:val="0"/>
                <w:color w:val="28303E"/>
                <w:sz w:val="19"/>
              </w:rPr>
              <w:t>접근장벽 때문에 불참</w:t>
            </w:r>
          </w:p>
        </w:tc>
        <w:tc>
          <w:tcPr>
            <w:tcW w:type="dxa" w:w="2835"/>
            <w:vAlign w:val="center"/>
          </w:tcPr>
          <w:p>
            <w:pPr>
              <w:keepNext w:val="0"/>
              <w:widowControl/>
              <w:spacing w:after="60" w:before="20" w:line="283" w:lineRule="auto"/>
            </w:pPr>
            <w:r/>
            <w:r>
              <w:rPr>
                <w:rFonts w:ascii="Pretendard" w:hAnsi="Pretendard" w:eastAsia="Pretendard"/>
                <w:b w:val="0"/>
                <w:color w:val="28303E"/>
                <w:sz w:val="19"/>
              </w:rPr>
              <w:t>예약 불가·교통·비용·돌봄 등 실제 장애가 있었는지</w:t>
            </w:r>
          </w:p>
        </w:tc>
        <w:tc>
          <w:tcPr>
            <w:tcW w:type="dxa" w:w="5046"/>
            <w:vAlign w:val="center"/>
          </w:tcPr>
          <w:p>
            <w:pPr>
              <w:keepNext w:val="0"/>
              <w:widowControl/>
              <w:spacing w:after="60" w:before="20" w:line="283" w:lineRule="auto"/>
            </w:pPr>
            <w:r/>
            <w:r>
              <w:rPr>
                <w:rFonts w:ascii="Pretendard" w:hAnsi="Pretendard" w:eastAsia="Pretendard"/>
                <w:b w:val="0"/>
                <w:color w:val="28303E"/>
                <w:sz w:val="19"/>
              </w:rPr>
              <w:t>사례담당자가 일정·기관·이동 지원을 조정하고 재연결한다.</w:t>
            </w:r>
          </w:p>
        </w:tc>
      </w:tr>
    </w:tbl>
    <w:p>
      <w:pPr>
        <w:widowControl/>
        <w:spacing w:after="20"/>
      </w:pPr>
    </w:p>
    <w:p>
      <w:pPr>
        <w:pStyle w:val="Heading3"/>
        <w:widowControl/>
      </w:pPr>
      <w:r>
        <w:rPr>
          <w:rFonts w:ascii="Pretendard" w:hAnsi="Pretendard" w:eastAsia="Pretendard"/>
          <w:b w:val="0"/>
        </w:rPr>
        <w:t>하단 문장</w:t>
      </w:r>
    </w:p>
    <w:p>
      <w:pPr>
        <w:widowControl/>
      </w:pPr>
      <w:r>
        <w:rPr>
          <w:rFonts w:ascii="Pretendard" w:hAnsi="Pretendard" w:eastAsia="Pretendard"/>
          <w:b/>
          <w:color w:val="20285F"/>
          <w:sz w:val="21"/>
        </w:rPr>
        <w:t>치료강도는 임상적 필요에, 법적 제재는 권한과 확인된 위반에 근거해 정한다.</w:t>
      </w:r>
    </w:p>
    <w:p>
      <w:pPr>
        <w:pStyle w:val="Heading3"/>
        <w:widowControl/>
      </w:pPr>
      <w:r>
        <w:rPr>
          <w:rFonts w:ascii="Pretendard" w:hAnsi="Pretendard" w:eastAsia="Pretendard"/>
          <w:b w:val="0"/>
        </w:rPr>
        <w:t>배치 지시</w:t>
      </w:r>
    </w:p>
    <w:p>
      <w:pPr>
        <w:widowControl/>
      </w:pPr>
      <w:r>
        <w:rPr>
          <w:rFonts w:ascii="Pretendard" w:hAnsi="Pretendard" w:eastAsia="Pretendard"/>
          <w:b w:val="0"/>
          <w:color w:val="626C7B"/>
          <w:sz w:val="18"/>
        </w:rPr>
        <w:t>F: 3행 표. 상황 / 확인할 내용 / 담당과 대응. 표의 행머리에는 사람이 아니라 상황을 둔다. 세 상황을 위험도 단계처럼 위→아래 화살표로 연결하지 않는다. “자동 구금”·“자동 면책” 표시는 넣지 않는다.</w:t>
      </w:r>
    </w:p>
    <w:p>
      <w:pPr>
        <w:widowControl/>
      </w:pPr>
      <w:r>
        <w:rPr>
          <w:rFonts w:ascii="Pretendard" w:hAnsi="Pretendard" w:eastAsia="Pretendard"/>
          <w:b/>
          <w:color w:val="20285F"/>
          <w:sz w:val="19"/>
        </w:rPr>
        <w:t>다음 → 소년 보호관찰의 중대한 위반과 처분변경</w:t>
      </w:r>
    </w:p>
    <w:p>
      <w:pPr>
        <w:pStyle w:val="Caption"/>
        <w:widowControl/>
      </w:pPr>
      <w:r>
        <w:rPr>
          <w:rFonts w:ascii="Pretendard" w:hAnsi="Pretendard" w:eastAsia="Pretendard"/>
          <w:b w:val="0"/>
        </w:rPr>
        <w:t>화면 출처: OJJDP(2016), 지침 5.4~5.6, 본문 30~32쪽. 3분류와 국내 적용 문구는 수업용 설계이며 일률적인 현행 처분표가 아니다.</w:t>
      </w:r>
    </w:p>
    <w:p>
      <w:pPr>
        <w:widowControl/>
      </w:pPr>
      <w:r>
        <w:br w:type="page"/>
      </w:r>
    </w:p>
    <w:p>
      <w:pPr>
        <w:widowControl/>
        <w:spacing w:after="120"/>
      </w:pPr>
      <w:r>
        <w:rPr>
          <w:rFonts w:ascii="Pretendard" w:hAnsi="Pretendard" w:eastAsia="Pretendard"/>
          <w:b/>
          <w:color w:val="A8871C"/>
          <w:sz w:val="19"/>
        </w:rPr>
        <w:t>C5-02  /  대본·적용</w:t>
      </w:r>
    </w:p>
    <w:p>
      <w:pPr>
        <w:pStyle w:val="Heading1"/>
        <w:widowControl/>
      </w:pPr>
      <w:r>
        <w:rPr>
          <w:rFonts w:ascii="Pretendard" w:hAnsi="Pretendard" w:eastAsia="Pretendard"/>
          <w:b w:val="0"/>
        </w:rPr>
        <w:t>설명과 논제 연결</w:t>
      </w:r>
    </w:p>
    <w:p>
      <w:pPr>
        <w:widowControl/>
      </w:pPr>
      <w:r>
        <w:rPr>
          <w:rFonts w:ascii="Pretendard" w:hAnsi="Pretendard" w:eastAsia="Pretendard"/>
          <w:b w:val="0"/>
          <w:color w:val="626C7B"/>
          <w:sz w:val="19"/>
        </w:rPr>
        <w:t>재사용·검사 불이행·접근장벽에 대한 세 대응</w:t>
      </w:r>
    </w:p>
    <w:p>
      <w:pPr>
        <w:pStyle w:val="Heading2"/>
        <w:widowControl/>
      </w:pPr>
      <w:r>
        <w:rPr>
          <w:rFonts w:ascii="Pretendard" w:hAnsi="Pretendard" w:eastAsia="Pretendard"/>
          <w:b w:val="0"/>
        </w:rPr>
        <w:t>강의 대본</w:t>
      </w:r>
    </w:p>
    <w:p>
      <w:pPr>
        <w:widowControl/>
      </w:pPr>
      <w:r>
        <w:rPr>
          <w:rFonts w:ascii="Pretendard" w:hAnsi="Pretendard" w:eastAsia="Pretendard"/>
          <w:b w:val="0"/>
        </w:rPr>
        <w:t>같은 “검사일에 나타나지 않았다”는 기록이라도 먼저 확인할 사실이 다를 수 있습니다. 이 화면은 사람을 세 유형으로 고정 분류한 것이 아니라, 치료 중 생긴 문제의 원인을 나누어 확인하는 예시입니다. 한 사람에게 여러 문제가 동시에 있을 수도 있습니다.</w:t>
      </w:r>
    </w:p>
    <w:p>
      <w:pPr>
        <w:widowControl/>
      </w:pPr>
      <w:r>
        <w:rPr>
          <w:rFonts w:ascii="Pretendard" w:hAnsi="Pretendard" w:eastAsia="Pretendard"/>
          <w:b w:val="0"/>
        </w:rPr>
        <w:t>사용이 다시 나타났다면 치료팀은 현재 치료가 그 상태에 맞는지 판단해야 합니다. 동시에 법적 조건위반이 있었는지는 해당 절차에서 확인할 수 있습니다. 두 판단을 구분한다는 것은 책임을 없애거나 제재를 금지한다는 뜻이 아닙니다. 반대로 조작이나 반복적인 불출석이 확인되었다면 정해진 감독 절차의 대응이 필요할 수 있습니다. 다만 예약 자체가 불가능했거나 이동수단이 없었던 사정을 이행 거부와 같은 것으로 적으면 실제 문제를 해결하지 못합니다.</w:t>
      </w:r>
    </w:p>
    <w:p>
      <w:pPr>
        <w:widowControl/>
      </w:pPr>
      <w:r>
        <w:rPr>
          <w:rFonts w:ascii="Pretendard" w:hAnsi="Pretendard" w:eastAsia="Pretendard"/>
          <w:b w:val="0"/>
        </w:rPr>
        <w:t>이 비교가 논제와 만나는 지점은 치료우선 경로의 신뢰성입니다. 무엇을 치료로 조정하고 무엇을 법적 위반으로 다룰지 명확해야 치료의 기회와 준수 의무가 함께 작동합니다. 다음 화면은 한국의 소년 보호관찰에서 중대한 위반이 있을 때 실제로 누가 무엇을 할 수 있는지 보여줍니다.</w:t>
      </w:r>
    </w:p>
    <w:p>
      <w:pPr>
        <w:pStyle w:val="Heading2"/>
        <w:widowControl/>
      </w:pPr>
      <w:r>
        <w:rPr>
          <w:rFonts w:ascii="Pretendard" w:hAnsi="Pretendard" w:eastAsia="Pretendard"/>
          <w:b w:val="0"/>
        </w:rPr>
        <w:t>논제에서 판단할 내용</w:t>
      </w:r>
    </w:p>
    <w:p>
      <w:pPr>
        <w:widowControl/>
      </w:pPr>
      <w:r>
        <w:rPr>
          <w:rFonts w:ascii="Pretendard" w:hAnsi="Pretendard" w:eastAsia="Pretendard"/>
          <w:b w:val="0"/>
          <w:sz w:val="20"/>
        </w:rPr>
        <w:t>치료 우선을 검토할 때: 재사용을 계기로 임상평가와 치료조정을 계속할 수 있는가.</w:t>
      </w:r>
    </w:p>
    <w:p>
      <w:pPr>
        <w:widowControl/>
      </w:pPr>
      <w:r>
        <w:rPr>
          <w:rFonts w:ascii="Pretendard" w:hAnsi="Pretendard" w:eastAsia="Pretendard"/>
          <w:b w:val="0"/>
          <w:sz w:val="20"/>
        </w:rPr>
        <w:t>감독·책임을 중시할 때: 확인된 고의적 불이행에 예측 가능한 법적 대응이 있는가.</w:t>
      </w:r>
    </w:p>
    <w:p>
      <w:pPr>
        <w:pStyle w:val="Heading2"/>
        <w:widowControl/>
      </w:pPr>
      <w:r>
        <w:rPr>
          <w:rFonts w:ascii="Pretendard" w:hAnsi="Pretendard" w:eastAsia="Pretendard"/>
          <w:b w:val="0"/>
        </w:rPr>
        <w:t>근거의 성격과 적용범위</w:t>
      </w:r>
    </w:p>
    <w:p>
      <w:pPr>
        <w:widowControl/>
      </w:pPr>
      <w:r>
        <w:rPr>
          <w:rFonts w:ascii="Pretendard" w:hAnsi="Pretendard" w:eastAsia="Pretendard"/>
          <w:b w:val="0"/>
          <w:color w:val="626C7B"/>
          <w:sz w:val="19"/>
        </w:rPr>
        <w:t>— “불출석”이라는 기록만으로 고의성을 확정하지 않는다. 먼저 설명·이행가능성·사유를 확인한다.</w:t>
      </w:r>
    </w:p>
    <w:p>
      <w:pPr>
        <w:widowControl/>
      </w:pPr>
      <w:r>
        <w:rPr>
          <w:rFonts w:ascii="Pretendard" w:hAnsi="Pretendard" w:eastAsia="Pretendard"/>
          <w:b w:val="0"/>
          <w:color w:val="626C7B"/>
          <w:sz w:val="19"/>
        </w:rPr>
        <w:t>— OJJDP 지침 자체도 검사 불이행에 단계적 제재를 권고한다. 이 문서의 접근장벽 구분을 그 지침의 문자 그대로인 3분류라고 소개하지 않는다.</w:t>
      </w:r>
    </w:p>
    <w:p>
      <w:pPr>
        <w:widowControl/>
      </w:pPr>
      <w:r>
        <w:rPr>
          <w:rFonts w:ascii="Pretendard" w:hAnsi="Pretendard" w:eastAsia="Pretendard"/>
          <w:b w:val="0"/>
          <w:color w:val="626C7B"/>
          <w:sz w:val="19"/>
        </w:rPr>
        <w:t>— 더 제한적인 치료를 벌로 부과하는 것과 임상평가에 따라 치료강도를 조정하는 것을 구분한다.</w:t>
      </w:r>
    </w:p>
    <w:p>
      <w:pPr>
        <w:pStyle w:val="Heading2"/>
        <w:widowControl/>
      </w:pPr>
      <w:r>
        <w:rPr>
          <w:rFonts w:ascii="Pretendard" w:hAnsi="Pretendard" w:eastAsia="Pretendard"/>
          <w:b w:val="0"/>
        </w:rPr>
        <w:t>중복 방지 · 다음 작업</w:t>
      </w:r>
    </w:p>
    <w:p>
      <w:pPr>
        <w:widowControl/>
      </w:pPr>
      <w:r>
        <w:rPr>
          <w:rFonts w:ascii="Pretendard" w:hAnsi="Pretendard" w:eastAsia="Pretendard"/>
          <w:b w:val="0"/>
          <w:sz w:val="20"/>
        </w:rPr>
        <w:t>v14 9쪽의 검사·프로그램 준수사항 목록은 되풀이하지 않고, 조건 미이행이 발생한 뒤의 대응을 추가한다.</w:t>
      </w:r>
    </w:p>
    <w:p>
      <w:pPr>
        <w:pStyle w:val="Caption"/>
        <w:widowControl/>
      </w:pPr>
      <w:r>
        <w:rPr>
          <w:rFonts w:ascii="Pretendard" w:hAnsi="Pretendard" w:eastAsia="Pretendard"/>
          <w:b w:val="0"/>
        </w:rPr>
        <w:t>근거 위치: S1(5.4~5.6). C5-03의 국내 법령과 연결.</w:t>
      </w:r>
    </w:p>
    <w:p>
      <w:pPr>
        <w:widowControl/>
      </w:pPr>
      <w:r>
        <w:br w:type="page"/>
      </w:r>
    </w:p>
    <w:p>
      <w:pPr>
        <w:widowControl/>
        <w:spacing w:after="120"/>
      </w:pPr>
      <w:r>
        <w:rPr>
          <w:rFonts w:ascii="Pretendard" w:hAnsi="Pretendard" w:eastAsia="Pretendard"/>
          <w:b/>
          <w:color w:val="A8871C"/>
          <w:sz w:val="19"/>
        </w:rPr>
        <w:t>C5-03  /  화면 설계</w:t>
      </w:r>
    </w:p>
    <w:p>
      <w:pPr>
        <w:pStyle w:val="Heading1"/>
        <w:widowControl/>
      </w:pPr>
      <w:r>
        <w:rPr>
          <w:rFonts w:ascii="Pretendard" w:hAnsi="Pretendard" w:eastAsia="Pretendard"/>
          <w:b w:val="0"/>
        </w:rPr>
        <w:t>소년 보호관찰의 중대한 위반 — 신청과 처분변경</w:t>
      </w:r>
    </w:p>
    <w:p>
      <w:pPr>
        <w:widowControl/>
      </w:pPr>
      <w:r>
        <w:rPr>
          <w:rFonts w:ascii="Pretendard" w:hAnsi="Pretendard" w:eastAsia="Pretendard"/>
          <w:b w:val="0"/>
          <w:color w:val="626C7B"/>
          <w:sz w:val="19"/>
        </w:rPr>
        <w:t>법적 감독 · 권리 보장  |  키커: 치료·재활 우선의 조건과 한계</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상단 밴드 · 화면 문구</w:t>
            </w:r>
          </w:p>
          <w:p>
            <w:pPr>
              <w:keepNext w:val="0"/>
              <w:widowControl/>
              <w:spacing w:after="60" w:before="20" w:line="283" w:lineRule="auto"/>
            </w:pPr>
            <w:r>
              <w:rPr>
                <w:rFonts w:ascii="Pretendard" w:hAnsi="Pretendard" w:eastAsia="Pretendard"/>
                <w:b w:val="0"/>
                <w:color w:val="28303E"/>
                <w:sz w:val="21"/>
              </w:rPr>
              <w:t>소년 보호관찰의 처분변경은 중대한 준수사항 위반을 전제로 보호관찰소장의 신청과 법원의 결정을 거친다.</w:t>
            </w:r>
          </w:p>
        </w:tc>
      </w:tr>
    </w:tbl>
    <w:p>
      <w:pPr>
        <w:widowControl/>
        <w:spacing w:after="0"/>
      </w:pPr>
    </w:p>
    <w:p>
      <w:pPr>
        <w:widowControl/>
      </w:pPr>
      <w:r>
        <w:rPr>
          <w:rFonts w:ascii="Pretendard" w:hAnsi="Pretendard" w:eastAsia="Pretendard"/>
          <w:b/>
          <w:color w:val="A8871C"/>
          <w:sz w:val="19"/>
        </w:rPr>
        <w:t>적용범위 │ 소년법 제32조 제1항 제4호·제5호에 따른 보호관찰</w:t>
      </w:r>
    </w:p>
    <w:p>
      <w:pPr>
        <w:pStyle w:val="Heading3"/>
        <w:widowControl/>
      </w:pPr>
      <w:r>
        <w:rPr>
          <w:rFonts w:ascii="Pretendard" w:hAnsi="Pretendard" w:eastAsia="Pretendard"/>
          <w:b w:val="0"/>
        </w:rPr>
        <w:t>법적 요건 — 보호관찰법 제49조 제1항 발췌</w:t>
      </w:r>
    </w:p>
    <w:p>
      <w:pPr>
        <w:widowControl/>
      </w:pPr>
      <w:r>
        <w:rPr>
          <w:rFonts w:ascii="Pretendard" w:hAnsi="Pretendard" w:eastAsia="Pretendard"/>
          <w:b w:val="0"/>
          <w:sz w:val="21"/>
        </w:rPr>
        <w:t>“준수사항을 위반하고 그 정도가 무거워 보호관찰을 계속하기 적절하지 아니하다고 판단되면 … 법원에 보호처분의 변경을 신청할 수 있다.”</w:t>
      </w:r>
    </w:p>
    <w:p>
      <w:pPr>
        <w:pStyle w:val="Heading3"/>
        <w:widowControl/>
      </w:pPr>
      <w:r>
        <w:rPr>
          <w:rFonts w:ascii="Pretendard" w:hAnsi="Pretendard" w:eastAsia="Pretendard"/>
          <w:b w:val="0"/>
        </w:rPr>
        <w:t>실제 절차</w:t>
      </w:r>
    </w:p>
    <w:p>
      <w:pPr>
        <w:widowControl/>
      </w:pPr>
      <w:r>
        <w:rPr>
          <w:rFonts w:ascii="Pretendard" w:hAnsi="Pretendard" w:eastAsia="Pretendard"/>
          <w:b/>
          <w:sz w:val="21"/>
        </w:rPr>
        <w:t>① 위반사실과 중대성 확인</w:t>
      </w:r>
      <w:r>
        <w:rPr>
          <w:rFonts w:ascii="Pretendard" w:hAnsi="Pretendard" w:eastAsia="Pretendard"/>
          <w:b w:val="0"/>
          <w:sz w:val="21"/>
        </w:rPr>
        <w:br/>
        <w:t>보호관찰소장이 보호관찰 지속의 적절성을 판단</w:t>
        <w:br/>
      </w:r>
      <w:r>
        <w:rPr>
          <w:rFonts w:ascii="Pretendard" w:hAnsi="Pretendard" w:eastAsia="Pretendard"/>
          <w:b/>
          <w:sz w:val="21"/>
        </w:rPr>
        <w:t>② 법원에 변경 신청</w:t>
      </w:r>
      <w:r>
        <w:rPr>
          <w:rFonts w:ascii="Pretendard" w:hAnsi="Pretendard" w:eastAsia="Pretendard"/>
          <w:b w:val="0"/>
          <w:sz w:val="21"/>
        </w:rPr>
        <w:br/>
        <w:t>보호관찰소 소재지를 관할하는 법원에 신청</w:t>
        <w:br/>
      </w:r>
      <w:r>
        <w:rPr>
          <w:rFonts w:ascii="Pretendard" w:hAnsi="Pretendard" w:eastAsia="Pretendard"/>
          <w:b/>
          <w:sz w:val="21"/>
        </w:rPr>
        <w:t>③ 소년부 판사의 결정</w:t>
      </w:r>
      <w:r>
        <w:rPr>
          <w:rFonts w:ascii="Pretendard" w:hAnsi="Pretendard" w:eastAsia="Pretendard"/>
          <w:b w:val="0"/>
          <w:sz w:val="21"/>
        </w:rPr>
        <w:br/>
        <w:t>소년법 제37조에 따라 보호처분·부가처분의 변경 여부 결정</w:t>
      </w:r>
    </w:p>
    <w:p>
      <w:pPr>
        <w:pStyle w:val="Heading3"/>
        <w:widowControl/>
      </w:pPr>
      <w:r>
        <w:rPr>
          <w:rFonts w:ascii="Pretendard" w:hAnsi="Pretendard" w:eastAsia="Pretendard"/>
          <w:b w:val="0"/>
        </w:rPr>
        <w:t>구별할 범위</w:t>
      </w:r>
    </w:p>
    <w:p>
      <w:pPr>
        <w:widowControl/>
      </w:pPr>
      <w:r>
        <w:rPr>
          <w:rFonts w:ascii="Pretendard" w:hAnsi="Pretendard" w:eastAsia="Pretendard"/>
          <w:b w:val="0"/>
          <w:sz w:val="21"/>
        </w:rPr>
        <w:t>보호처분 변경은 새로운 형사처벌 선고와 구별된다.</w:t>
        <w:br/>
        <w:t>조건부 기소유예나 형사재판에 따른 보호관찰에 이 절차를 그대로 대입하지 않는다.</w:t>
      </w:r>
    </w:p>
    <w:p>
      <w:pPr>
        <w:pStyle w:val="Heading3"/>
        <w:widowControl/>
      </w:pPr>
      <w:r>
        <w:rPr>
          <w:rFonts w:ascii="Pretendard" w:hAnsi="Pretendard" w:eastAsia="Pretendard"/>
          <w:b w:val="0"/>
        </w:rPr>
        <w:t>하단 문장</w:t>
      </w:r>
    </w:p>
    <w:p>
      <w:pPr>
        <w:widowControl/>
      </w:pPr>
      <w:r>
        <w:rPr>
          <w:rFonts w:ascii="Pretendard" w:hAnsi="Pretendard" w:eastAsia="Pretendard"/>
          <w:b/>
          <w:color w:val="20285F"/>
          <w:sz w:val="21"/>
        </w:rPr>
        <w:t>치료를 포함한 지역사회 처우에도 법적 대응은 존재하지만, 변경의 요건·신청권자·결정권자가 정해져 있다.</w:t>
      </w:r>
    </w:p>
    <w:p>
      <w:pPr>
        <w:pStyle w:val="Heading3"/>
        <w:widowControl/>
      </w:pPr>
      <w:r>
        <w:rPr>
          <w:rFonts w:ascii="Pretendard" w:hAnsi="Pretendard" w:eastAsia="Pretendard"/>
          <w:b w:val="0"/>
        </w:rPr>
        <w:t>배치 지시</w:t>
      </w:r>
    </w:p>
    <w:p>
      <w:pPr>
        <w:widowControl/>
      </w:pPr>
      <w:r>
        <w:rPr>
          <w:rFonts w:ascii="Pretendard" w:hAnsi="Pretendard" w:eastAsia="Pretendard"/>
          <w:b w:val="0"/>
          <w:color w:val="626C7B"/>
          <w:sz w:val="18"/>
        </w:rPr>
        <w:t>J: 요건→신청→결정의 3단계 절차 + 조문 발췌. 조문 발췌는 밴드 아래 전체 폭으로, 절차 3단계는 중앙에 둔다. “소년원 송치”를 자동 결과로 쓰지 않는다. 마지막 칸은 “변경 여부 결정”으로 끝낸다. 조문 전문은 자료집에 둔다.</w:t>
      </w:r>
    </w:p>
    <w:p>
      <w:pPr>
        <w:widowControl/>
      </w:pPr>
      <w:r>
        <w:rPr>
          <w:rFonts w:ascii="Pretendard" w:hAnsi="Pretendard" w:eastAsia="Pretendard"/>
          <w:b/>
          <w:color w:val="20285F"/>
          <w:sz w:val="19"/>
        </w:rPr>
        <w:t>다음 → 약물법원 참여 동의 뒤 내려진 제재</w:t>
      </w:r>
    </w:p>
    <w:p>
      <w:pPr>
        <w:pStyle w:val="Caption"/>
        <w:widowControl/>
      </w:pPr>
      <w:r>
        <w:rPr>
          <w:rFonts w:ascii="Pretendard" w:hAnsi="Pretendard" w:eastAsia="Pretendard"/>
          <w:b w:val="0"/>
        </w:rPr>
        <w:t>화면 출처: 「보호관찰 등에 관한 법률」 제49조 제1항(2026.2.1. 시행본); 「소년법」 제37조(2021.4.21. 시행본).</w:t>
      </w:r>
    </w:p>
    <w:p>
      <w:pPr>
        <w:widowControl/>
      </w:pPr>
      <w:r>
        <w:br w:type="page"/>
      </w:r>
    </w:p>
    <w:p>
      <w:pPr>
        <w:widowControl/>
        <w:spacing w:after="120"/>
      </w:pPr>
      <w:r>
        <w:rPr>
          <w:rFonts w:ascii="Pretendard" w:hAnsi="Pretendard" w:eastAsia="Pretendard"/>
          <w:b/>
          <w:color w:val="A8871C"/>
          <w:sz w:val="19"/>
        </w:rPr>
        <w:t>C5-03  /  대본·적용</w:t>
      </w:r>
    </w:p>
    <w:p>
      <w:pPr>
        <w:pStyle w:val="Heading1"/>
        <w:widowControl/>
      </w:pPr>
      <w:r>
        <w:rPr>
          <w:rFonts w:ascii="Pretendard" w:hAnsi="Pretendard" w:eastAsia="Pretendard"/>
          <w:b w:val="0"/>
        </w:rPr>
        <w:t>설명과 논제 연결</w:t>
      </w:r>
    </w:p>
    <w:p>
      <w:pPr>
        <w:widowControl/>
      </w:pPr>
      <w:r>
        <w:rPr>
          <w:rFonts w:ascii="Pretendard" w:hAnsi="Pretendard" w:eastAsia="Pretendard"/>
          <w:b w:val="0"/>
          <w:color w:val="626C7B"/>
          <w:sz w:val="19"/>
        </w:rPr>
        <w:t>소년 보호관찰의 중대한 위반 — 신청과 처분변경</w:t>
      </w:r>
    </w:p>
    <w:p>
      <w:pPr>
        <w:pStyle w:val="Heading2"/>
        <w:widowControl/>
      </w:pPr>
      <w:r>
        <w:rPr>
          <w:rFonts w:ascii="Pretendard" w:hAnsi="Pretendard" w:eastAsia="Pretendard"/>
          <w:b w:val="0"/>
        </w:rPr>
        <w:t>강의 대본</w:t>
      </w:r>
    </w:p>
    <w:p>
      <w:pPr>
        <w:widowControl/>
      </w:pPr>
      <w:r>
        <w:rPr>
          <w:rFonts w:ascii="Pretendard" w:hAnsi="Pretendard" w:eastAsia="Pretendard"/>
          <w:b w:val="0"/>
        </w:rPr>
        <w:t>앞서 보호관찰에는 약물검사나 프로그램 이행을 확인하는 장치가 있음을 봤습니다. 여기서는 의무를 지키지 않았을 때의 한 가지 국내 법적 경로를 추가합니다. 적용대상부터 좁혀야 합니다. 지금 보는 것은 소년부가 내린 4호 또는 5호 보호관찰입니다.</w:t>
      </w:r>
    </w:p>
    <w:p>
      <w:pPr>
        <w:widowControl/>
      </w:pPr>
      <w:r>
        <w:rPr>
          <w:rFonts w:ascii="Pretendard" w:hAnsi="Pretendard" w:eastAsia="Pretendard"/>
          <w:b w:val="0"/>
        </w:rPr>
        <w:t>변경 신청에는 단순히 불참 기록이 있다는 것 이상이 요구됩니다. 조문은 준수사항 위반의 정도가 무겁고 보호관찰을 계속하기 적절하지 않다고 판단하는 경우를 규정합니다. 보호관찰소장이 신청할 수 있고, 변경을 결정하는 쪽은 소년부 판사입니다. 치료기관이 결석을 확인했다고 곧바로 더 강한 보호처분을 결정하는 구조가 아닙니다.</w:t>
      </w:r>
    </w:p>
    <w:p>
      <w:pPr>
        <w:widowControl/>
      </w:pPr>
      <w:r>
        <w:rPr>
          <w:rFonts w:ascii="Pretendard" w:hAnsi="Pretendard" w:eastAsia="Pretendard"/>
          <w:b w:val="0"/>
        </w:rPr>
        <w:t>이 경로가 보여주는 것은 치료와 감독을 연결하더라도 법적 책임을 확인하는 장치가 없어진다는 뜻은 아니라는 점입니다. 동시에 그 대응은 정해진 권한과 절차 안에서 이루어져야 합니다. 이번 논제에서는 치료우선 경로에 어떤 의무를 붙일지뿐 아니라, 의무 위반에 누가 어떤 요건으로 대응할지도 설계의 일부가 됩니다.</w:t>
      </w:r>
    </w:p>
    <w:p>
      <w:pPr>
        <w:pStyle w:val="Heading2"/>
        <w:widowControl/>
      </w:pPr>
      <w:r>
        <w:rPr>
          <w:rFonts w:ascii="Pretendard" w:hAnsi="Pretendard" w:eastAsia="Pretendard"/>
          <w:b w:val="0"/>
        </w:rPr>
        <w:t>논제에서 판단할 내용</w:t>
      </w:r>
    </w:p>
    <w:p>
      <w:pPr>
        <w:widowControl/>
      </w:pPr>
      <w:r>
        <w:rPr>
          <w:rFonts w:ascii="Pretendard" w:hAnsi="Pretendard" w:eastAsia="Pretendard"/>
          <w:b w:val="0"/>
          <w:sz w:val="20"/>
        </w:rPr>
        <w:t>치료 우선을 검토할 때: 지역사회 치료를 먼저 제공하면서도 준수의무를 확인할 장치를 둘 수 있다.</w:t>
      </w:r>
    </w:p>
    <w:p>
      <w:pPr>
        <w:widowControl/>
      </w:pPr>
      <w:r>
        <w:rPr>
          <w:rFonts w:ascii="Pretendard" w:hAnsi="Pretendard" w:eastAsia="Pretendard"/>
          <w:b w:val="0"/>
          <w:sz w:val="20"/>
        </w:rPr>
        <w:t>감독·권리를 함께 검토할 때: 위반 정도를 확인하고 법원이 결정하도록 한 절차적 경계를 지킬 수 있다.</w:t>
      </w:r>
    </w:p>
    <w:p>
      <w:pPr>
        <w:pStyle w:val="Heading2"/>
        <w:widowControl/>
      </w:pPr>
      <w:r>
        <w:rPr>
          <w:rFonts w:ascii="Pretendard" w:hAnsi="Pretendard" w:eastAsia="Pretendard"/>
          <w:b w:val="0"/>
        </w:rPr>
        <w:t>근거의 성격과 적용범위</w:t>
      </w:r>
    </w:p>
    <w:p>
      <w:pPr>
        <w:widowControl/>
      </w:pPr>
      <w:r>
        <w:rPr>
          <w:rFonts w:ascii="Pretendard" w:hAnsi="Pretendard" w:eastAsia="Pretendard"/>
          <w:b w:val="0"/>
          <w:color w:val="626C7B"/>
          <w:sz w:val="19"/>
        </w:rPr>
        <w:t>— 소년법상 보호처분과 형사처벌을 동일한 용어로 바꾸지 않는다.</w:t>
      </w:r>
    </w:p>
    <w:p>
      <w:pPr>
        <w:widowControl/>
      </w:pPr>
      <w:r>
        <w:rPr>
          <w:rFonts w:ascii="Pretendard" w:hAnsi="Pretendard" w:eastAsia="Pretendard"/>
          <w:b w:val="0"/>
          <w:color w:val="626C7B"/>
          <w:sz w:val="19"/>
        </w:rPr>
        <w:t>— 일회 재사용이면 반드시 변경한다거나, 반드시 소년원에 보낸다는 기준을 만들지 않는다.</w:t>
      </w:r>
    </w:p>
    <w:p>
      <w:pPr>
        <w:widowControl/>
      </w:pPr>
      <w:r>
        <w:rPr>
          <w:rFonts w:ascii="Pretendard" w:hAnsi="Pretendard" w:eastAsia="Pretendard"/>
          <w:b w:val="0"/>
          <w:color w:val="626C7B"/>
          <w:sz w:val="19"/>
        </w:rPr>
        <w:t>— 소년법 제37조 제1항 단서에는 일부 처분의 직권변경도 있다. 화면의 신청 경로를 모든 처분변경의 유일한 방식이라고 설명하지 않는다.</w:t>
      </w:r>
    </w:p>
    <w:p>
      <w:pPr>
        <w:pStyle w:val="Heading2"/>
        <w:widowControl/>
      </w:pPr>
      <w:r>
        <w:rPr>
          <w:rFonts w:ascii="Pretendard" w:hAnsi="Pretendard" w:eastAsia="Pretendard"/>
          <w:b w:val="0"/>
        </w:rPr>
        <w:t>중복 방지 · 다음 작업</w:t>
      </w:r>
    </w:p>
    <w:p>
      <w:pPr>
        <w:widowControl/>
      </w:pPr>
      <w:r>
        <w:rPr>
          <w:rFonts w:ascii="Pretendard" w:hAnsi="Pretendard" w:eastAsia="Pretendard"/>
          <w:b w:val="0"/>
          <w:sz w:val="20"/>
        </w:rPr>
        <w:t>제1장에 없던 제49조·제37조의 위반 후 절차를 추가한다. 기존 연계모델·기소유예 전체 도식은 복제하지 않는다.</w:t>
      </w:r>
    </w:p>
    <w:p>
      <w:pPr>
        <w:pStyle w:val="Caption"/>
        <w:widowControl/>
      </w:pPr>
      <w:r>
        <w:rPr>
          <w:rFonts w:ascii="Pretendard" w:hAnsi="Pretendard" w:eastAsia="Pretendard"/>
          <w:b w:val="0"/>
        </w:rPr>
        <w:t>근거 위치: S3(보호관찰법49), S2(소년법37). 전문은 부록 A.</w:t>
      </w:r>
    </w:p>
    <w:p>
      <w:pPr>
        <w:widowControl/>
      </w:pPr>
      <w:r>
        <w:br w:type="page"/>
      </w:r>
    </w:p>
    <w:p>
      <w:pPr>
        <w:widowControl/>
        <w:spacing w:after="120"/>
      </w:pPr>
      <w:r>
        <w:rPr>
          <w:rFonts w:ascii="Pretendard" w:hAnsi="Pretendard" w:eastAsia="Pretendard"/>
          <w:b/>
          <w:color w:val="A8871C"/>
          <w:sz w:val="19"/>
        </w:rPr>
        <w:t>C5-04  /  화면 설계</w:t>
      </w:r>
    </w:p>
    <w:p>
      <w:pPr>
        <w:pStyle w:val="Heading1"/>
        <w:widowControl/>
      </w:pPr>
      <w:r>
        <w:rPr>
          <w:rFonts w:ascii="Pretendard" w:hAnsi="Pretendard" w:eastAsia="Pretendard"/>
          <w:b w:val="0"/>
        </w:rPr>
        <w:t>약물법원 참여 동의 뒤 이어진 구금·시설치료 명령</w:t>
      </w:r>
    </w:p>
    <w:p>
      <w:pPr>
        <w:widowControl/>
      </w:pPr>
      <w:r>
        <w:rPr>
          <w:rFonts w:ascii="Pretendard" w:hAnsi="Pretendard" w:eastAsia="Pretendard"/>
          <w:b w:val="0"/>
          <w:color w:val="626C7B"/>
          <w:sz w:val="19"/>
        </w:rPr>
        <w:t>권리 보장 — 사례 경위  |  키커: 치료·재활 우선의 조건과 한계</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상단 밴드 · 화면 문구</w:t>
            </w:r>
          </w:p>
          <w:p>
            <w:pPr>
              <w:keepNext w:val="0"/>
              <w:widowControl/>
              <w:spacing w:after="60" w:before="20" w:line="283" w:lineRule="auto"/>
            </w:pPr>
            <w:r>
              <w:rPr>
                <w:rFonts w:ascii="Pretendard" w:hAnsi="Pretendard" w:eastAsia="Pretendard"/>
                <w:b w:val="0"/>
                <w:color w:val="28303E"/>
                <w:sz w:val="21"/>
              </w:rPr>
              <w:t>치료프로그램 참여에 동의한 청소년이 조건을 지키지 않았을 때, 법원이 어떤 제재까지 부과할 수 있는지가 문제되었다.</w:t>
            </w:r>
          </w:p>
        </w:tc>
      </w:tr>
    </w:tbl>
    <w:p>
      <w:pPr>
        <w:widowControl/>
        <w:spacing w:after="0"/>
      </w:pPr>
    </w:p>
    <w:p>
      <w:pPr>
        <w:widowControl/>
      </w:pPr>
      <w:r>
        <w:rPr>
          <w:rFonts w:ascii="Pretendard" w:hAnsi="Pretendard" w:eastAsia="Pretendard"/>
          <w:b/>
          <w:color w:val="A8871C"/>
          <w:sz w:val="19"/>
        </w:rPr>
        <w:t>T.N. v. Portesy · 미국 플로리다 제2지구 항소법원 · 2005.10.7. · 2D05-01</w:t>
      </w:r>
    </w:p>
    <w:p>
      <w:pPr>
        <w:pStyle w:val="Heading3"/>
        <w:widowControl/>
      </w:pPr>
      <w:r>
        <w:rPr>
          <w:rFonts w:ascii="Pretendard" w:hAnsi="Pretendard" w:eastAsia="Pretendard"/>
          <w:b w:val="0"/>
        </w:rPr>
        <w:t>① 참여 동의 · 2004년 6월</w:t>
      </w:r>
    </w:p>
    <w:p>
      <w:pPr>
        <w:widowControl/>
      </w:pPr>
      <w:r>
        <w:rPr>
          <w:rFonts w:ascii="Pretendard" w:hAnsi="Pretendard" w:eastAsia="Pretendard"/>
          <w:b w:val="0"/>
          <w:sz w:val="21"/>
        </w:rPr>
        <w:t>대마소지 혐의로 기소된 소년과 어머니가 정식 혐의 인정·부인 절차 전에 약물법원 프로그램 참여에 동의했다.</w:t>
        <w:br/>
        <w:t>합의에는 치료·검사 의무와 불이행 시 제재가 포함되었고 법원이 이를 승인했다.</w:t>
      </w:r>
    </w:p>
    <w:p>
      <w:pPr>
        <w:pStyle w:val="Heading3"/>
        <w:widowControl/>
      </w:pPr>
      <w:r>
        <w:rPr>
          <w:rFonts w:ascii="Pretendard" w:hAnsi="Pretendard" w:eastAsia="Pretendard"/>
          <w:b w:val="0"/>
        </w:rPr>
        <w:t>② 반복 양성반응과 치료 참여 중단</w:t>
      </w:r>
    </w:p>
    <w:p>
      <w:pPr>
        <w:widowControl/>
      </w:pPr>
      <w:r>
        <w:rPr>
          <w:rFonts w:ascii="Pretendard" w:hAnsi="Pretendard" w:eastAsia="Pretendard"/>
          <w:b w:val="0"/>
          <w:sz w:val="21"/>
        </w:rPr>
        <w:t>대마검사에서 반복적으로 양성반응이 나왔고, 8월 중순 이후 치료프로그램 참여를 중단한 것으로 나타났다.</w:t>
      </w:r>
    </w:p>
    <w:p>
      <w:pPr>
        <w:pStyle w:val="Heading3"/>
        <w:widowControl/>
      </w:pPr>
      <w:r>
        <w:rPr>
          <w:rFonts w:ascii="Pretendard" w:hAnsi="Pretendard" w:eastAsia="Pretendard"/>
          <w:b w:val="0"/>
        </w:rPr>
        <w:t>③ 법정모욕 결정 · 2004년 12월</w:t>
      </w:r>
    </w:p>
    <w:p>
      <w:pPr>
        <w:widowControl/>
      </w:pPr>
      <w:r>
        <w:rPr>
          <w:rFonts w:ascii="Pretendard" w:hAnsi="Pretendard" w:eastAsia="Pretendard"/>
          <w:b w:val="0"/>
          <w:sz w:val="21"/>
        </w:rPr>
        <w:t>법원은 법정 밖에서 명령을 위반한 데 대해 간접 형사적 법정모욕을 인정했다.</w:t>
        <w:br/>
      </w:r>
      <w:r>
        <w:rPr>
          <w:rFonts w:ascii="Pretendard" w:hAnsi="Pretendard" w:eastAsia="Pretendard"/>
          <w:b/>
          <w:sz w:val="21"/>
        </w:rPr>
        <w:t>10일간 소년구금시설 수용 → ACTS 중독 수용시설 → 주거형 치료 배치까지 수용</w:t>
      </w:r>
      <w:r>
        <w:rPr>
          <w:rFonts w:ascii="Pretendard" w:hAnsi="Pretendard" w:eastAsia="Pretendard"/>
          <w:b w:val="0"/>
          <w:sz w:val="21"/>
        </w:rPr>
        <w:t>을 명령했다.</w:t>
      </w:r>
    </w:p>
    <w:p>
      <w:pPr>
        <w:pStyle w:val="Heading3"/>
        <w:widowControl/>
      </w:pPr>
      <w:r>
        <w:rPr>
          <w:rFonts w:ascii="Pretendard" w:hAnsi="Pretendard" w:eastAsia="Pretendard"/>
          <w:b w:val="0"/>
        </w:rPr>
        <w:t>하단 문장</w:t>
      </w:r>
    </w:p>
    <w:p>
      <w:pPr>
        <w:widowControl/>
      </w:pPr>
      <w:r>
        <w:rPr>
          <w:rFonts w:ascii="Pretendard" w:hAnsi="Pretendard" w:eastAsia="Pretendard"/>
          <w:b/>
          <w:color w:val="20285F"/>
          <w:sz w:val="21"/>
        </w:rPr>
        <w:t>법원의 명령을 위반했는지와 그 위반에 어떤 제재를 선택할 수 있는지가 별도로 다투어졌다.</w:t>
      </w:r>
    </w:p>
    <w:p>
      <w:pPr>
        <w:pStyle w:val="Heading3"/>
        <w:widowControl/>
      </w:pPr>
      <w:r>
        <w:rPr>
          <w:rFonts w:ascii="Pretendard" w:hAnsi="Pretendard" w:eastAsia="Pretendard"/>
          <w:b w:val="0"/>
        </w:rPr>
        <w:t>배치 지시</w:t>
      </w:r>
    </w:p>
    <w:p>
      <w:pPr>
        <w:widowControl/>
      </w:pPr>
      <w:r>
        <w:rPr>
          <w:rFonts w:ascii="Pretendard" w:hAnsi="Pretendard" w:eastAsia="Pretendard"/>
          <w:b w:val="0"/>
          <w:color w:val="626C7B"/>
          <w:sz w:val="18"/>
        </w:rPr>
        <w:t>I: 시간순 사건 경과. 판단은 다음 화면에 둔다. 3개의 시간 구간을 가로 또는 세로로 연결한다. 마지막 칸에서 “10일 구금”과 “그 뒤 시설치료”를 서로 다른 조치로 구분해 그린다. 제목 우측 사건번호 칩이 제목 폭을 해치면 라벨·각주로 내린다.</w:t>
      </w:r>
    </w:p>
    <w:p>
      <w:pPr>
        <w:widowControl/>
      </w:pPr>
      <w:r>
        <w:rPr>
          <w:rFonts w:ascii="Pretendard" w:hAnsi="Pretendard" w:eastAsia="Pretendard"/>
          <w:b/>
          <w:color w:val="20285F"/>
          <w:sz w:val="19"/>
        </w:rPr>
        <w:t>다음 → 법정모욕 판단과 시설치료 제재의 구별</w:t>
      </w:r>
    </w:p>
    <w:p>
      <w:pPr>
        <w:pStyle w:val="Caption"/>
        <w:widowControl/>
      </w:pPr>
      <w:r>
        <w:rPr>
          <w:rFonts w:ascii="Pretendard" w:hAnsi="Pretendard" w:eastAsia="Pretendard"/>
          <w:b w:val="0"/>
        </w:rPr>
        <w:t>화면 출처: T.N. v. Portesy, No. 2D05-01 (Fla. 2d DCA, Oct. 7, 2005), 판결문 1~3쪽. 당시 Florida Statutes §§985.306, 985.216.</w:t>
      </w:r>
    </w:p>
    <w:p>
      <w:pPr>
        <w:widowControl/>
      </w:pPr>
      <w:r>
        <w:br w:type="page"/>
      </w:r>
    </w:p>
    <w:p>
      <w:pPr>
        <w:widowControl/>
        <w:spacing w:after="120"/>
      </w:pPr>
      <w:r>
        <w:rPr>
          <w:rFonts w:ascii="Pretendard" w:hAnsi="Pretendard" w:eastAsia="Pretendard"/>
          <w:b/>
          <w:color w:val="A8871C"/>
          <w:sz w:val="19"/>
        </w:rPr>
        <w:t>C5-04  /  대본·적용</w:t>
      </w:r>
    </w:p>
    <w:p>
      <w:pPr>
        <w:pStyle w:val="Heading1"/>
        <w:widowControl/>
      </w:pPr>
      <w:r>
        <w:rPr>
          <w:rFonts w:ascii="Pretendard" w:hAnsi="Pretendard" w:eastAsia="Pretendard"/>
          <w:b w:val="0"/>
        </w:rPr>
        <w:t>설명과 논제 연결</w:t>
      </w:r>
    </w:p>
    <w:p>
      <w:pPr>
        <w:widowControl/>
      </w:pPr>
      <w:r>
        <w:rPr>
          <w:rFonts w:ascii="Pretendard" w:hAnsi="Pretendard" w:eastAsia="Pretendard"/>
          <w:b w:val="0"/>
          <w:color w:val="626C7B"/>
          <w:sz w:val="19"/>
        </w:rPr>
        <w:t>약물법원 참여 동의 뒤 이어진 구금·시설치료 명령</w:t>
      </w:r>
    </w:p>
    <w:p>
      <w:pPr>
        <w:pStyle w:val="Heading2"/>
        <w:widowControl/>
      </w:pPr>
      <w:r>
        <w:rPr>
          <w:rFonts w:ascii="Pretendard" w:hAnsi="Pretendard" w:eastAsia="Pretendard"/>
          <w:b w:val="0"/>
        </w:rPr>
        <w:t>강의 대본</w:t>
      </w:r>
    </w:p>
    <w:p>
      <w:pPr>
        <w:widowControl/>
      </w:pPr>
      <w:r>
        <w:rPr>
          <w:rFonts w:ascii="Pretendard" w:hAnsi="Pretendard" w:eastAsia="Pretendard"/>
          <w:b w:val="0"/>
        </w:rPr>
        <w:t>국내의 처분변경 절차를 본 뒤, 이번에는 외국 약물법원에서 실제로 감독의 권한이 다투어진 사건을 보겠습니다. 이 사례는 치료효과를 측정한 연구가 아니라, 치료우선 경로에 붙인 강제조치의 법적 범위를 보여주는 판례입니다. 최초 혐의가 대마소지였다는 점도 오늘 논제의 투약·사용과 구별해 둡니다.</w:t>
      </w:r>
    </w:p>
    <w:p>
      <w:pPr>
        <w:widowControl/>
      </w:pPr>
      <w:r>
        <w:rPr>
          <w:rFonts w:ascii="Pretendard" w:hAnsi="Pretendard" w:eastAsia="Pretendard"/>
          <w:b w:val="0"/>
        </w:rPr>
        <w:t>소년과 어머니는 프로그램에 동의했고, 법원은 합의 내용을 명령으로 승인했습니다. 이후 참여가 중단되자 법원은 제재를 부과했습니다. 중요한 것은 제재가 한 가지가 아니었다는 점입니다. 먼저 열흘 동안 구금하고, 그 뒤 별도의 중독 관련 시설에 두었다가 주거형 치료로 보내도록 했습니다. 치료라는 이름의 조치도 생활장소와 이동의 자유를 제한할 수 있다는 것을 이 사건 경위가 보여줍니다.</w:t>
      </w:r>
    </w:p>
    <w:p>
      <w:pPr>
        <w:widowControl/>
      </w:pPr>
      <w:r>
        <w:rPr>
          <w:rFonts w:ascii="Pretendard" w:hAnsi="Pretendard" w:eastAsia="Pretendard"/>
          <w:b w:val="0"/>
        </w:rPr>
        <w:t>학생에게는 여기서 두 질문을 나누어 제시합니다. 첫째, 법원의 명령을 지키지 않은 사실에 대해 제재할 수 있는가. 둘째, 그렇다면 합의서에 적혀 있다는 이유로 시설치료까지 어떤 조치든 선택할 수 있는가. 항소법원은 이 두 질문을 같은 것으로 다루지 않았습니다.</w:t>
      </w:r>
    </w:p>
    <w:p>
      <w:pPr>
        <w:pStyle w:val="Heading2"/>
        <w:widowControl/>
      </w:pPr>
      <w:r>
        <w:rPr>
          <w:rFonts w:ascii="Pretendard" w:hAnsi="Pretendard" w:eastAsia="Pretendard"/>
          <w:b w:val="0"/>
        </w:rPr>
        <w:t>논제에서 판단할 내용</w:t>
      </w:r>
    </w:p>
    <w:p>
      <w:pPr>
        <w:widowControl/>
      </w:pPr>
      <w:r>
        <w:rPr>
          <w:rFonts w:ascii="Pretendard" w:hAnsi="Pretendard" w:eastAsia="Pretendard"/>
          <w:b w:val="0"/>
          <w:sz w:val="20"/>
        </w:rPr>
        <w:t>치료우선의 조건: 프로그램 동의와 준수의무를 사전에 명확하게 제시할 수 있는가.</w:t>
      </w:r>
    </w:p>
    <w:p>
      <w:pPr>
        <w:widowControl/>
      </w:pPr>
      <w:r>
        <w:rPr>
          <w:rFonts w:ascii="Pretendard" w:hAnsi="Pretendard" w:eastAsia="Pretendard"/>
          <w:b w:val="0"/>
          <w:sz w:val="20"/>
        </w:rPr>
        <w:t>권리의 조건: 치료라는 이름으로 부과한 자유제한에도 독립적인 법적 근거가 있는가.</w:t>
      </w:r>
    </w:p>
    <w:p>
      <w:pPr>
        <w:pStyle w:val="Heading2"/>
        <w:widowControl/>
      </w:pPr>
      <w:r>
        <w:rPr>
          <w:rFonts w:ascii="Pretendard" w:hAnsi="Pretendard" w:eastAsia="Pretendard"/>
          <w:b w:val="0"/>
        </w:rPr>
        <w:t>근거의 성격과 적용범위</w:t>
      </w:r>
    </w:p>
    <w:p>
      <w:pPr>
        <w:widowControl/>
      </w:pPr>
      <w:r>
        <w:rPr>
          <w:rFonts w:ascii="Pretendard" w:hAnsi="Pretendard" w:eastAsia="Pretendard"/>
          <w:b w:val="0"/>
          <w:color w:val="626C7B"/>
          <w:sz w:val="19"/>
        </w:rPr>
        <w:t>— ACTS는 이 사건에서 지정된 시설 이름이다. 한국의 치료보호기관·소년원으로 번역하지 않는다.</w:t>
      </w:r>
    </w:p>
    <w:p>
      <w:pPr>
        <w:widowControl/>
      </w:pPr>
      <w:r>
        <w:rPr>
          <w:rFonts w:ascii="Pretendard" w:hAnsi="Pretendard" w:eastAsia="Pretendard"/>
          <w:b w:val="0"/>
          <w:color w:val="626C7B"/>
          <w:sz w:val="19"/>
        </w:rPr>
        <w:t>— 원문에 석방명령 날짜의 표기가 일치하지 않는 부분이 있어 일자는 사용하지 않는다. 2005년 석방명령 후 10월 판결문이 나왔다는 범위만 유지한다.</w:t>
      </w:r>
    </w:p>
    <w:p>
      <w:pPr>
        <w:widowControl/>
      </w:pPr>
      <w:r>
        <w:rPr>
          <w:rFonts w:ascii="Pretendard" w:hAnsi="Pretendard" w:eastAsia="Pretendard"/>
          <w:b w:val="0"/>
          <w:color w:val="626C7B"/>
          <w:sz w:val="19"/>
        </w:rPr>
        <w:t>— 2004년 플로리다 법을 적용한 사건이다. 미국 전체 또는 현재 플로리다의 모든 약물법원 권한에 대한 설명으로 일반화하지 않는다.</w:t>
      </w:r>
    </w:p>
    <w:p>
      <w:pPr>
        <w:pStyle w:val="Heading2"/>
        <w:widowControl/>
      </w:pPr>
      <w:r>
        <w:rPr>
          <w:rFonts w:ascii="Pretendard" w:hAnsi="Pretendard" w:eastAsia="Pretendard"/>
          <w:b w:val="0"/>
        </w:rPr>
        <w:t>중복 방지 · 다음 작업</w:t>
      </w:r>
    </w:p>
    <w:p>
      <w:pPr>
        <w:widowControl/>
      </w:pPr>
      <w:r>
        <w:rPr>
          <w:rFonts w:ascii="Pretendard" w:hAnsi="Pretendard" w:eastAsia="Pretendard"/>
          <w:b w:val="0"/>
          <w:sz w:val="20"/>
        </w:rPr>
        <w:t>v14에는 없는 구체적 감독권한 사례이다. 약물법원 구성요소 설명 대신 실제로 내려진 조치를 보여준다.</w:t>
      </w:r>
    </w:p>
    <w:p>
      <w:pPr>
        <w:pStyle w:val="Caption"/>
        <w:widowControl/>
      </w:pPr>
      <w:r>
        <w:rPr>
          <w:rFonts w:ascii="Pretendard" w:hAnsi="Pretendard" w:eastAsia="Pretendard"/>
          <w:b w:val="0"/>
        </w:rPr>
        <w:t>근거 위치: S4. C5-05에서 다수의견과 별개의견을 구분해 회수한다.</w:t>
      </w:r>
    </w:p>
    <w:p>
      <w:pPr>
        <w:widowControl/>
      </w:pPr>
      <w:r>
        <w:br w:type="page"/>
      </w:r>
    </w:p>
    <w:p>
      <w:pPr>
        <w:widowControl/>
        <w:spacing w:after="120"/>
      </w:pPr>
      <w:r>
        <w:rPr>
          <w:rFonts w:ascii="Pretendard" w:hAnsi="Pretendard" w:eastAsia="Pretendard"/>
          <w:b/>
          <w:color w:val="A8871C"/>
          <w:sz w:val="19"/>
        </w:rPr>
        <w:t>C5-05  /  화면 설계</w:t>
      </w:r>
    </w:p>
    <w:p>
      <w:pPr>
        <w:pStyle w:val="Heading1"/>
        <w:widowControl/>
      </w:pPr>
      <w:r>
        <w:rPr>
          <w:rFonts w:ascii="Pretendard" w:hAnsi="Pretendard" w:eastAsia="Pretendard"/>
          <w:b w:val="0"/>
        </w:rPr>
        <w:t>법정모욕 판단과 시설치료 제재를 구별한 판결</w:t>
      </w:r>
    </w:p>
    <w:p>
      <w:pPr>
        <w:widowControl/>
      </w:pPr>
      <w:r>
        <w:rPr>
          <w:rFonts w:ascii="Pretendard" w:hAnsi="Pretendard" w:eastAsia="Pretendard"/>
          <w:b w:val="0"/>
          <w:color w:val="626C7B"/>
          <w:sz w:val="19"/>
        </w:rPr>
        <w:t>권리 보장 — 판결의 실제 내용  |  키커: 치료·재활 우선의 조건과 한계</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상단 밴드 · 화면 문구</w:t>
            </w:r>
          </w:p>
          <w:p>
            <w:pPr>
              <w:keepNext w:val="0"/>
              <w:widowControl/>
              <w:spacing w:after="60" w:before="20" w:line="283" w:lineRule="auto"/>
            </w:pPr>
            <w:r>
              <w:rPr>
                <w:rFonts w:ascii="Pretendard" w:hAnsi="Pretendard" w:eastAsia="Pretendard"/>
                <w:b w:val="0"/>
                <w:color w:val="28303E"/>
                <w:sz w:val="21"/>
              </w:rPr>
              <w:t>항소법원은 명령 불이행에 대한 법정모욕 판단은 오류로 보지 않았지만, 당시 법률이 정하지 않은 시설치료 제재는 취소했다.</w:t>
            </w:r>
          </w:p>
        </w:tc>
      </w:tr>
    </w:tbl>
    <w:p>
      <w:pPr>
        <w:widowControl/>
        <w:spacing w:after="0"/>
      </w:pPr>
    </w:p>
    <w:p>
      <w:pPr>
        <w:widowControl/>
      </w:pPr>
      <w:r>
        <w:rPr>
          <w:rFonts w:ascii="Pretendard" w:hAnsi="Pretendard" w:eastAsia="Pretendard"/>
          <w:b/>
          <w:color w:val="A8871C"/>
          <w:sz w:val="19"/>
        </w:rPr>
        <w:t>T.N. v. Portesy(2005) · 앞 화면과 같은 사건</w:t>
      </w:r>
    </w:p>
    <w:p>
      <w:pPr>
        <w:pStyle w:val="Heading3"/>
        <w:widowControl/>
      </w:pPr>
      <w:r>
        <w:rPr>
          <w:rFonts w:ascii="Pretendard" w:hAnsi="Pretendard" w:eastAsia="Pretendard"/>
          <w:b w:val="0"/>
        </w:rPr>
        <w:t>법정모욕 판단</w:t>
      </w:r>
    </w:p>
    <w:p>
      <w:pPr>
        <w:widowControl/>
      </w:pPr>
      <w:r>
        <w:rPr>
          <w:rFonts w:ascii="Pretendard" w:hAnsi="Pretendard" w:eastAsia="Pretendard"/>
          <w:b w:val="0"/>
          <w:sz w:val="21"/>
        </w:rPr>
        <w:t>법원이 합의를 승인하면서 준수 의무는 법원의 명령이 되었다.</w:t>
        <w:br/>
        <w:t>그 명령을 지키지 않은 것에 대해 간접 형사적 법정모욕을 인정한 판단은 잘못이라고 보지 않았다.</w:t>
      </w:r>
    </w:p>
    <w:p>
      <w:pPr>
        <w:pStyle w:val="Heading3"/>
        <w:widowControl/>
      </w:pPr>
      <w:r>
        <w:rPr>
          <w:rFonts w:ascii="Pretendard" w:hAnsi="Pretendard" w:eastAsia="Pretendard"/>
          <w:b w:val="0"/>
        </w:rPr>
        <w:t>취소된 제재</w:t>
      </w:r>
    </w:p>
    <w:p>
      <w:pPr>
        <w:widowControl/>
      </w:pPr>
      <w:r>
        <w:rPr>
          <w:rFonts w:ascii="Pretendard" w:hAnsi="Pretendard" w:eastAsia="Pretendard"/>
          <w:b/>
          <w:sz w:val="21"/>
        </w:rPr>
        <w:t>ACTS 시설 수용과 주거형 약물치료</w:t>
      </w:r>
      <w:r>
        <w:rPr>
          <w:rFonts w:ascii="Pretendard" w:hAnsi="Pretendard" w:eastAsia="Pretendard"/>
          <w:b w:val="0"/>
          <w:sz w:val="21"/>
        </w:rPr>
        <w:t>를 법정모욕의 제재로 부과한 부분은 당시 법률의 제재 목록에 없었다.</w:t>
        <w:br/>
        <w:t>항소법원은 그 부분을 취소했다.</w:t>
      </w:r>
    </w:p>
    <w:p>
      <w:pPr>
        <w:pStyle w:val="Heading3"/>
        <w:widowControl/>
      </w:pPr>
      <w:r>
        <w:rPr>
          <w:rFonts w:ascii="Pretendard" w:hAnsi="Pretendard" w:eastAsia="Pretendard"/>
          <w:b w:val="0"/>
        </w:rPr>
        <w:t>Davis 판사의 별개의견</w:t>
      </w:r>
    </w:p>
    <w:p>
      <w:pPr>
        <w:widowControl/>
      </w:pPr>
      <w:r>
        <w:rPr>
          <w:rFonts w:ascii="Pretendard" w:hAnsi="Pretendard" w:eastAsia="Pretendard"/>
          <w:b w:val="0"/>
          <w:sz w:val="21"/>
        </w:rPr>
        <w:t>청소년이 동의했다는 사실만으로 법률이 허용하지 않은 제재를 부과할 권한이 생기는 것은 아니라는 취지를 덧붙였다.</w:t>
      </w:r>
    </w:p>
    <w:p>
      <w:pPr>
        <w:pStyle w:val="Heading3"/>
        <w:widowControl/>
      </w:pPr>
      <w:r>
        <w:rPr>
          <w:rFonts w:ascii="Pretendard" w:hAnsi="Pretendard" w:eastAsia="Pretendard"/>
          <w:b w:val="0"/>
        </w:rPr>
        <w:t>하단 문장</w:t>
      </w:r>
    </w:p>
    <w:p>
      <w:pPr>
        <w:widowControl/>
      </w:pPr>
      <w:r>
        <w:rPr>
          <w:rFonts w:ascii="Pretendard" w:hAnsi="Pretendard" w:eastAsia="Pretendard"/>
          <w:b/>
          <w:color w:val="20285F"/>
          <w:sz w:val="21"/>
        </w:rPr>
        <w:t>치료 참여 동의와 감독의 필요성만으로 법률 밖의 강제조치가 정당화되지는 않는다.</w:t>
      </w:r>
    </w:p>
    <w:p>
      <w:pPr>
        <w:pStyle w:val="Heading3"/>
        <w:widowControl/>
      </w:pPr>
      <w:r>
        <w:rPr>
          <w:rFonts w:ascii="Pretendard" w:hAnsi="Pretendard" w:eastAsia="Pretendard"/>
          <w:b w:val="0"/>
        </w:rPr>
        <w:t>배치 지시</w:t>
      </w:r>
    </w:p>
    <w:p>
      <w:pPr>
        <w:widowControl/>
      </w:pPr>
      <w:r>
        <w:rPr>
          <w:rFonts w:ascii="Pretendard" w:hAnsi="Pretendard" w:eastAsia="Pretendard"/>
          <w:b w:val="0"/>
          <w:color w:val="626C7B"/>
          <w:sz w:val="18"/>
        </w:rPr>
        <w:t>D: 인정된 판단 / 취소된 제재를 나란히 제시. 좌우 칸 제목을 “유지/취소”만 적지 말고 대상까지 적는다. 아래에는 별개의견을 작은 별도 행으로 배치한다. 합의·법정모욕·시설치료를 한 덩어리로 요약하지 않는다.</w:t>
      </w:r>
    </w:p>
    <w:p>
      <w:pPr>
        <w:widowControl/>
      </w:pPr>
      <w:r>
        <w:rPr>
          <w:rFonts w:ascii="Pretendard" w:hAnsi="Pretendard" w:eastAsia="Pretendard"/>
          <w:b/>
          <w:color w:val="20285F"/>
          <w:sz w:val="19"/>
        </w:rPr>
        <w:t>다음 → 계획한 치료가 실제로 제공·완수되었는가</w:t>
      </w:r>
    </w:p>
    <w:p>
      <w:pPr>
        <w:pStyle w:val="Caption"/>
        <w:widowControl/>
      </w:pPr>
      <w:r>
        <w:rPr>
          <w:rFonts w:ascii="Pretendard" w:hAnsi="Pretendard" w:eastAsia="Pretendard"/>
          <w:b w:val="0"/>
        </w:rPr>
        <w:t>화면 출처: T.N. v. Portesy(2005), 다수의견 3~4쪽; Davis 판사 별개의견 4~5쪽. 한국법의 결론으로 직접 옮기지 않는다.</w:t>
      </w:r>
    </w:p>
    <w:p>
      <w:pPr>
        <w:widowControl/>
      </w:pPr>
      <w:r>
        <w:br w:type="page"/>
      </w:r>
    </w:p>
    <w:p>
      <w:pPr>
        <w:widowControl/>
        <w:spacing w:after="120"/>
      </w:pPr>
      <w:r>
        <w:rPr>
          <w:rFonts w:ascii="Pretendard" w:hAnsi="Pretendard" w:eastAsia="Pretendard"/>
          <w:b/>
          <w:color w:val="A8871C"/>
          <w:sz w:val="19"/>
        </w:rPr>
        <w:t>C5-05  /  대본·적용</w:t>
      </w:r>
    </w:p>
    <w:p>
      <w:pPr>
        <w:pStyle w:val="Heading1"/>
        <w:widowControl/>
      </w:pPr>
      <w:r>
        <w:rPr>
          <w:rFonts w:ascii="Pretendard" w:hAnsi="Pretendard" w:eastAsia="Pretendard"/>
          <w:b w:val="0"/>
        </w:rPr>
        <w:t>설명과 논제 연결</w:t>
      </w:r>
    </w:p>
    <w:p>
      <w:pPr>
        <w:widowControl/>
      </w:pPr>
      <w:r>
        <w:rPr>
          <w:rFonts w:ascii="Pretendard" w:hAnsi="Pretendard" w:eastAsia="Pretendard"/>
          <w:b w:val="0"/>
          <w:color w:val="626C7B"/>
          <w:sz w:val="19"/>
        </w:rPr>
        <w:t>법정모욕 판단과 시설치료 제재를 구별한 판결</w:t>
      </w:r>
    </w:p>
    <w:p>
      <w:pPr>
        <w:pStyle w:val="Heading2"/>
        <w:widowControl/>
      </w:pPr>
      <w:r>
        <w:rPr>
          <w:rFonts w:ascii="Pretendard" w:hAnsi="Pretendard" w:eastAsia="Pretendard"/>
          <w:b w:val="0"/>
        </w:rPr>
        <w:t>강의 대본</w:t>
      </w:r>
    </w:p>
    <w:p>
      <w:pPr>
        <w:widowControl/>
      </w:pPr>
      <w:r>
        <w:rPr>
          <w:rFonts w:ascii="Pretendard" w:hAnsi="Pretendard" w:eastAsia="Pretendard"/>
          <w:b w:val="0"/>
        </w:rPr>
        <w:t>항소법원은 소년이 주장한 내용을 모두 받아들인 것이 아닙니다. 소년은 약물법원에서 제외하고 원래 사건의 절차로 돌아가야지 법정모욕으로 다룰 수는 없다고 주장했습니다. 그러나 법원은 합의가 법원의 명령이 된 이상 명령 불이행에 대한 법정모욕 판단 자체는 가능하다고 봤습니다.</w:t>
      </w:r>
    </w:p>
    <w:p>
      <w:pPr>
        <w:widowControl/>
      </w:pPr>
      <w:r>
        <w:rPr>
          <w:rFonts w:ascii="Pretendard" w:hAnsi="Pretendard" w:eastAsia="Pretendard"/>
          <w:b w:val="0"/>
        </w:rPr>
        <w:t>문제가 된 것은 제재의 종류였습니다. 당시 법률이 정한 법정모욕 제재에 이 사건의 ACTS 수용과 주거형 치료가 포함되어 있지 않았기 때문에 그 부분을 취소했습니다. 따라서 “법원은 치료프로그램 위반에 아무 제재도 할 수 없다고 판단했다”거나 “10일 구금까지 모두 위법으로 판단했다”고 정리하면 판결과 달라집니다. 동의의 한계에 관한 문장은 Davis 판사가 별개의견에서 설명한 취지로 구분합니다.</w:t>
      </w:r>
    </w:p>
    <w:p>
      <w:pPr>
        <w:widowControl/>
      </w:pPr>
      <w:r>
        <w:rPr>
          <w:rFonts w:ascii="Pretendard" w:hAnsi="Pretendard" w:eastAsia="Pretendard"/>
          <w:b w:val="0"/>
        </w:rPr>
        <w:t>이 사례가 우리 논제에 보태는 내용은 법원감독의 필요성을 지우는 것이 아니라, 그 감독을 집행 가능한 법적 형태로 설계해야 한다는 점입니다. 한국에 적용할 때에는 앞 화면의 국내 조문처럼 어떤 처분에서 누가 어떤 신청·결정을 할 수 있는지를 확인해야 합니다. 이제 법적 경로를 마련한 뒤 실제 치료가 전달되었는지로 넘어갑니다.</w:t>
      </w:r>
    </w:p>
    <w:p>
      <w:pPr>
        <w:pStyle w:val="Heading2"/>
        <w:widowControl/>
      </w:pPr>
      <w:r>
        <w:rPr>
          <w:rFonts w:ascii="Pretendard" w:hAnsi="Pretendard" w:eastAsia="Pretendard"/>
          <w:b w:val="0"/>
        </w:rPr>
        <w:t>논제에서 판단할 내용</w:t>
      </w:r>
    </w:p>
    <w:p>
      <w:pPr>
        <w:widowControl/>
      </w:pPr>
      <w:r>
        <w:rPr>
          <w:rFonts w:ascii="Pretendard" w:hAnsi="Pretendard" w:eastAsia="Pretendard"/>
          <w:b w:val="0"/>
          <w:sz w:val="20"/>
        </w:rPr>
        <w:t>치료우선의 조건: 동의·검사·제재·경로 종료를 예측 가능하게 설계할 수 있는가.</w:t>
      </w:r>
    </w:p>
    <w:p>
      <w:pPr>
        <w:widowControl/>
      </w:pPr>
      <w:r>
        <w:rPr>
          <w:rFonts w:ascii="Pretendard" w:hAnsi="Pretendard" w:eastAsia="Pretendard"/>
          <w:b w:val="0"/>
          <w:sz w:val="20"/>
        </w:rPr>
        <w:t>형사책임·감독의 조건: 제재의 필요와 별개로 그 종류·정도에 관한 권한과 절차가 확보되어 있는가.</w:t>
      </w:r>
    </w:p>
    <w:p>
      <w:pPr>
        <w:pStyle w:val="Heading2"/>
        <w:widowControl/>
      </w:pPr>
      <w:r>
        <w:rPr>
          <w:rFonts w:ascii="Pretendard" w:hAnsi="Pretendard" w:eastAsia="Pretendard"/>
          <w:b w:val="0"/>
        </w:rPr>
        <w:t>근거의 성격과 적용범위</w:t>
      </w:r>
    </w:p>
    <w:p>
      <w:pPr>
        <w:widowControl/>
      </w:pPr>
      <w:r>
        <w:rPr>
          <w:rFonts w:ascii="Pretendard" w:hAnsi="Pretendard" w:eastAsia="Pretendard"/>
          <w:b w:val="0"/>
          <w:color w:val="626C7B"/>
          <w:sz w:val="19"/>
        </w:rPr>
        <w:t>— 다수의견의 취소 범위를 ACTS·주거형 치료 제재로 특정한다.</w:t>
      </w:r>
    </w:p>
    <w:p>
      <w:pPr>
        <w:widowControl/>
      </w:pPr>
      <w:r>
        <w:rPr>
          <w:rFonts w:ascii="Pretendard" w:hAnsi="Pretendard" w:eastAsia="Pretendard"/>
          <w:b w:val="0"/>
          <w:color w:val="626C7B"/>
          <w:sz w:val="19"/>
        </w:rPr>
        <w:t>— Davis 판사의 설명을 다수의견의 직접 인용문으로 바꾸지 않는다.</w:t>
      </w:r>
    </w:p>
    <w:p>
      <w:pPr>
        <w:widowControl/>
      </w:pPr>
      <w:r>
        <w:rPr>
          <w:rFonts w:ascii="Pretendard" w:hAnsi="Pretendard" w:eastAsia="Pretendard"/>
          <w:b w:val="0"/>
          <w:color w:val="626C7B"/>
          <w:sz w:val="19"/>
        </w:rPr>
        <w:t>— 재사용 자체가 면책된 사건, 모든 치료명령이 금지된 사건 또는 치료우선이 위헌인 사건으로 소개하지 않는다.</w:t>
      </w:r>
    </w:p>
    <w:p>
      <w:pPr>
        <w:pStyle w:val="Heading2"/>
        <w:widowControl/>
      </w:pPr>
      <w:r>
        <w:rPr>
          <w:rFonts w:ascii="Pretendard" w:hAnsi="Pretendard" w:eastAsia="Pretendard"/>
          <w:b w:val="0"/>
        </w:rPr>
        <w:t>중복 방지 · 다음 작업</w:t>
      </w:r>
    </w:p>
    <w:p>
      <w:pPr>
        <w:widowControl/>
      </w:pPr>
      <w:r>
        <w:rPr>
          <w:rFonts w:ascii="Pretendard" w:hAnsi="Pretendard" w:eastAsia="Pretendard"/>
          <w:b w:val="0"/>
          <w:sz w:val="20"/>
        </w:rPr>
        <w:t>제1장의 소년·법정대리인 동의요건을 다시 설명하지 않고, 동의 이후에도 남는 제재권한의 문제를 추가한다.</w:t>
      </w:r>
    </w:p>
    <w:p>
      <w:pPr>
        <w:pStyle w:val="Caption"/>
        <w:widowControl/>
      </w:pPr>
      <w:r>
        <w:rPr>
          <w:rFonts w:ascii="Pretendard" w:hAnsi="Pretendard" w:eastAsia="Pretendard"/>
          <w:b w:val="0"/>
        </w:rPr>
        <w:t>근거 위치: S4. 한국법 연결은 C5-03과 부록 A만 사용한다.</w:t>
      </w:r>
    </w:p>
    <w:p>
      <w:pPr>
        <w:widowControl/>
      </w:pPr>
      <w:r>
        <w:br w:type="page"/>
      </w:r>
    </w:p>
    <w:p>
      <w:pPr>
        <w:widowControl/>
        <w:spacing w:after="120"/>
      </w:pPr>
      <w:r>
        <w:rPr>
          <w:rFonts w:ascii="Pretendard" w:hAnsi="Pretendard" w:eastAsia="Pretendard"/>
          <w:b/>
          <w:color w:val="A8871C"/>
          <w:sz w:val="19"/>
        </w:rPr>
        <w:t>C5-06  /  화면 설계</w:t>
      </w:r>
    </w:p>
    <w:p>
      <w:pPr>
        <w:pStyle w:val="Heading1"/>
        <w:widowControl/>
      </w:pPr>
      <w:r>
        <w:rPr>
          <w:rFonts w:ascii="Pretendard" w:hAnsi="Pretendard" w:eastAsia="Pretendard"/>
          <w:b w:val="0"/>
        </w:rPr>
        <w:t>RISKIT-CJS — 기존서비스에 면담·집단훈련 추가</w:t>
      </w:r>
    </w:p>
    <w:p>
      <w:pPr>
        <w:widowControl/>
      </w:pPr>
      <w:r>
        <w:rPr>
          <w:rFonts w:ascii="Pretendard" w:hAnsi="Pretendard" w:eastAsia="Pretendard"/>
          <w:b w:val="0"/>
          <w:color w:val="626C7B"/>
          <w:sz w:val="19"/>
        </w:rPr>
        <w:t>인프라 — 프로그램 전달의 설계  |  키커: 치료·재활 우선의 조건과 한계</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상단 밴드 · 화면 문구</w:t>
            </w:r>
          </w:p>
          <w:p>
            <w:pPr>
              <w:keepNext w:val="0"/>
              <w:widowControl/>
              <w:spacing w:after="60" w:before="20" w:line="283" w:lineRule="auto"/>
            </w:pPr>
            <w:r>
              <w:rPr>
                <w:rFonts w:ascii="Pretendard" w:hAnsi="Pretendard" w:eastAsia="Pretendard"/>
                <w:b w:val="0"/>
                <w:color w:val="28303E"/>
                <w:sz w:val="21"/>
              </w:rPr>
              <w:t>이 연구는 기존서비스를 유지한 채 개별면담과 집단훈련을 추가하는 경로를 시험했다.</w:t>
            </w:r>
          </w:p>
        </w:tc>
      </w:tr>
    </w:tbl>
    <w:p>
      <w:pPr>
        <w:widowControl/>
        <w:spacing w:after="0"/>
      </w:pPr>
    </w:p>
    <w:p>
      <w:pPr>
        <w:widowControl/>
      </w:pPr>
      <w:r>
        <w:rPr>
          <w:rFonts w:ascii="Pretendard" w:hAnsi="Pretendard" w:eastAsia="Pretendard"/>
          <w:b/>
          <w:color w:val="A8871C"/>
          <w:sz w:val="19"/>
        </w:rPr>
        <w:t>Coulton 외(2023) · 영국 잉글랜드 4개 지역 · 13~17세 505명 · 무작위배정</w:t>
      </w:r>
    </w:p>
    <w:p>
      <w:pPr>
        <w:pStyle w:val="Heading3"/>
        <w:widowControl/>
      </w:pPr>
      <w:r>
        <w:rPr>
          <w:rFonts w:ascii="Pretendard" w:hAnsi="Pretendard" w:eastAsia="Pretendard"/>
          <w:b w:val="0"/>
        </w:rPr>
        <w:t>기존서비스만 · 259명</w:t>
      </w:r>
    </w:p>
    <w:p>
      <w:pPr>
        <w:widowControl/>
      </w:pPr>
      <w:r>
        <w:rPr>
          <w:rFonts w:ascii="Pretendard" w:hAnsi="Pretendard" w:eastAsia="Pretendard"/>
          <w:b w:val="0"/>
          <w:sz w:val="21"/>
        </w:rPr>
        <w:t>모집기관에 따라 받은 내용이 달랐다.</w:t>
        <w:br/>
        <w:t>소년사법팀: 또래압력·선택·법과 건강 등에 관한 교육</w:t>
        <w:br/>
        <w:t>대안교육기관: 약물위험 교육과 정서·행동 지원</w:t>
        <w:br/>
        <w:t>물질사용 지원팀: 의료평가·짧은 동기면담·불안과 사용유발 상황에 대한 개입</w:t>
      </w:r>
    </w:p>
    <w:p>
      <w:pPr>
        <w:pStyle w:val="Heading3"/>
        <w:widowControl/>
      </w:pPr>
      <w:r>
        <w:rPr>
          <w:rFonts w:ascii="Pretendard" w:hAnsi="Pretendard" w:eastAsia="Pretendard"/>
          <w:b w:val="0"/>
        </w:rPr>
        <w:t>기존서비스 + RISKIT-CJS · 246명</w:t>
      </w:r>
    </w:p>
    <w:p>
      <w:pPr>
        <w:widowControl/>
      </w:pPr>
      <w:r>
        <w:rPr>
          <w:rFonts w:ascii="Pretendard" w:hAnsi="Pretendard" w:eastAsia="Pretendard"/>
          <w:b/>
          <w:sz w:val="21"/>
        </w:rPr>
        <w:t>개별면담 2회 + 반일 집단훈련 2회</w:t>
      </w:r>
      <w:r>
        <w:rPr>
          <w:rFonts w:ascii="Pretendard" w:hAnsi="Pretendard" w:eastAsia="Pretendard"/>
          <w:b w:val="0"/>
          <w:sz w:val="21"/>
        </w:rPr>
        <w:br/>
        <w:t>첫 면담: 사용행동과 변화 목표 확인</w:t>
        <w:br/>
        <w:t>집단훈련: 위험상황·대처기술·의사소통·감정조절 연습</w:t>
        <w:br/>
        <w:t>마지막 면담: 실행계획과 지원 연결</w:t>
      </w:r>
    </w:p>
    <w:p>
      <w:pPr>
        <w:pStyle w:val="Heading3"/>
        <w:widowControl/>
      </w:pPr>
      <w:r>
        <w:rPr>
          <w:rFonts w:ascii="Pretendard" w:hAnsi="Pretendard" w:eastAsia="Pretendard"/>
          <w:b w:val="0"/>
        </w:rPr>
        <w:t>표본 범위</w:t>
      </w:r>
    </w:p>
    <w:p>
      <w:pPr>
        <w:widowControl/>
      </w:pPr>
      <w:r>
        <w:rPr>
          <w:rFonts w:ascii="Pretendard" w:hAnsi="Pretendard" w:eastAsia="Pretendard"/>
          <w:b w:val="0"/>
          <w:sz w:val="21"/>
        </w:rPr>
        <w:t>소년사법팀·대안교육기관·물질사용 지원팀에서 모집한 물질사용 청소년이다.</w:t>
        <w:br/>
        <w:t>알코올을 포함하며, 한국의 마약류 투약·사용 범죄소년만을 모집한 연구는 아니다.</w:t>
      </w:r>
    </w:p>
    <w:p>
      <w:pPr>
        <w:pStyle w:val="Heading3"/>
        <w:widowControl/>
      </w:pPr>
      <w:r>
        <w:rPr>
          <w:rFonts w:ascii="Pretendard" w:hAnsi="Pretendard" w:eastAsia="Pretendard"/>
          <w:b w:val="0"/>
        </w:rPr>
        <w:t>하단 문장</w:t>
      </w:r>
    </w:p>
    <w:p>
      <w:pPr>
        <w:widowControl/>
      </w:pPr>
      <w:r>
        <w:rPr>
          <w:rFonts w:ascii="Pretendard" w:hAnsi="Pretendard" w:eastAsia="Pretendard"/>
          <w:b/>
          <w:color w:val="20285F"/>
          <w:sz w:val="21"/>
        </w:rPr>
        <w:t>다음 결과는 치료의 유무보다 이 추가 프로그램이 실제로 제공되고 참여되었는지를 함께 보는 비교다.</w:t>
      </w:r>
    </w:p>
    <w:p>
      <w:pPr>
        <w:pStyle w:val="Heading3"/>
        <w:widowControl/>
      </w:pPr>
      <w:r>
        <w:rPr>
          <w:rFonts w:ascii="Pretendard" w:hAnsi="Pretendard" w:eastAsia="Pretendard"/>
          <w:b w:val="0"/>
        </w:rPr>
        <w:t>배치 지시</w:t>
      </w:r>
    </w:p>
    <w:p>
      <w:pPr>
        <w:widowControl/>
      </w:pPr>
      <w:r>
        <w:rPr>
          <w:rFonts w:ascii="Pretendard" w:hAnsi="Pretendard" w:eastAsia="Pretendard"/>
          <w:b w:val="0"/>
          <w:color w:val="626C7B"/>
          <w:sz w:val="18"/>
        </w:rPr>
        <w:t>D: 실제 기존서비스 / 추가 프로그램을 대조. 연구대상은 밴드 아래 한 줄로 빼고, 두 처우만 같은 급의 좌우 칸에 둔다. 오른쪽 4회기 세부는 순서가 있는 작은 항목으로 제시한다. 기관별 기존서비스를 동일한 표준치료처럼 합치지 않는다.</w:t>
      </w:r>
    </w:p>
    <w:p>
      <w:pPr>
        <w:widowControl/>
      </w:pPr>
      <w:r>
        <w:rPr>
          <w:rFonts w:ascii="Pretendard" w:hAnsi="Pretendard" w:eastAsia="Pretendard"/>
          <w:b/>
          <w:color w:val="20285F"/>
          <w:sz w:val="19"/>
        </w:rPr>
        <w:t>다음 → RISKIT-CJS의 참여·완수와 12개월 결과</w:t>
      </w:r>
    </w:p>
    <w:p>
      <w:pPr>
        <w:pStyle w:val="Caption"/>
        <w:widowControl/>
      </w:pPr>
      <w:r>
        <w:rPr>
          <w:rFonts w:ascii="Pretendard" w:hAnsi="Pretendard" w:eastAsia="Pretendard"/>
          <w:b w:val="0"/>
        </w:rPr>
        <w:t>화면 출처: Coulton 외(2023), Public Health Research, 11(3). 제2장(11~14쪽), 제3장. DOI: 10.3310/FKPY6814.</w:t>
      </w:r>
    </w:p>
    <w:p>
      <w:pPr>
        <w:widowControl/>
      </w:pPr>
      <w:r>
        <w:br w:type="page"/>
      </w:r>
    </w:p>
    <w:p>
      <w:pPr>
        <w:widowControl/>
        <w:spacing w:after="120"/>
      </w:pPr>
      <w:r>
        <w:rPr>
          <w:rFonts w:ascii="Pretendard" w:hAnsi="Pretendard" w:eastAsia="Pretendard"/>
          <w:b/>
          <w:color w:val="A8871C"/>
          <w:sz w:val="19"/>
        </w:rPr>
        <w:t>C5-06  /  대본·적용</w:t>
      </w:r>
    </w:p>
    <w:p>
      <w:pPr>
        <w:pStyle w:val="Heading1"/>
        <w:widowControl/>
      </w:pPr>
      <w:r>
        <w:rPr>
          <w:rFonts w:ascii="Pretendard" w:hAnsi="Pretendard" w:eastAsia="Pretendard"/>
          <w:b w:val="0"/>
        </w:rPr>
        <w:t>설명과 논제 연결</w:t>
      </w:r>
    </w:p>
    <w:p>
      <w:pPr>
        <w:widowControl/>
      </w:pPr>
      <w:r>
        <w:rPr>
          <w:rFonts w:ascii="Pretendard" w:hAnsi="Pretendard" w:eastAsia="Pretendard"/>
          <w:b w:val="0"/>
          <w:color w:val="626C7B"/>
          <w:sz w:val="19"/>
        </w:rPr>
        <w:t>RISKIT-CJS — 기존서비스에 면담·집단훈련 추가</w:t>
      </w:r>
    </w:p>
    <w:p>
      <w:pPr>
        <w:pStyle w:val="Heading2"/>
        <w:widowControl/>
      </w:pPr>
      <w:r>
        <w:rPr>
          <w:rFonts w:ascii="Pretendard" w:hAnsi="Pretendard" w:eastAsia="Pretendard"/>
          <w:b w:val="0"/>
        </w:rPr>
        <w:t>강의 대본</w:t>
      </w:r>
    </w:p>
    <w:p>
      <w:pPr>
        <w:widowControl/>
      </w:pPr>
      <w:r>
        <w:rPr>
          <w:rFonts w:ascii="Pretendard" w:hAnsi="Pretendard" w:eastAsia="Pretendard"/>
          <w:b w:val="0"/>
        </w:rPr>
        <w:t>지금까지 제도를 정하는 기준과 권한을 봤습니다. 다음 두 장은 그 경로 안에 프로그램을 넣었을 때 청소년이 실제로 어디까지 참여했는지를 보여줍니다. RISKIT-CJS는 청소년의 물질사용과 위험행동을 다루는 여러 요소의 심리사회적 개입입니다.</w:t>
      </w:r>
    </w:p>
    <w:p>
      <w:pPr>
        <w:widowControl/>
      </w:pPr>
      <w:r>
        <w:rPr>
          <w:rFonts w:ascii="Pretendard" w:hAnsi="Pretendard" w:eastAsia="Pretendard"/>
          <w:b w:val="0"/>
        </w:rPr>
        <w:t>먼저 왼쪽을 보겠습니다. 비교집단을 그냥 “통상처리”라고 부르면 아무 서비스도 받지 않은 집단처럼 들립니다. 실제로는 모집기관에 따라 교육, 정서·행동 지원, 의료평가와 짧은 면담 등이 달랐습니다. 오른쪽은 이 기존서비스 위에 네 회기의 추가 프로그램을 배정한 집단입니다. 따라서 이 연구는 처벌과 치료의 순수한 양자 비교도, 치료와 무치료의 비교도 아닙니다.</w:t>
      </w:r>
    </w:p>
    <w:p>
      <w:pPr>
        <w:widowControl/>
      </w:pPr>
      <w:r>
        <w:rPr>
          <w:rFonts w:ascii="Pretendard" w:hAnsi="Pretendard" w:eastAsia="Pretendard"/>
          <w:b w:val="0"/>
        </w:rPr>
        <w:t>이 장에서는 프로그램이 무엇으로 설계되었는지를 기억하면 됩니다. 사법기관에서 청소년을 이 경로로 의뢰했다는 사실과 그 청소년이 개별면담·집단훈련을 모두 받았다는 사실 사이에는 차이가 있을 수 있습니다. 다음 장에서 바로 그 차이를 수치로 확인합니다.</w:t>
      </w:r>
    </w:p>
    <w:p>
      <w:pPr>
        <w:pStyle w:val="Heading2"/>
        <w:widowControl/>
      </w:pPr>
      <w:r>
        <w:rPr>
          <w:rFonts w:ascii="Pretendard" w:hAnsi="Pretendard" w:eastAsia="Pretendard"/>
          <w:b w:val="0"/>
        </w:rPr>
        <w:t>논제에서 판단할 내용</w:t>
      </w:r>
    </w:p>
    <w:p>
      <w:pPr>
        <w:widowControl/>
      </w:pPr>
      <w:r>
        <w:rPr>
          <w:rFonts w:ascii="Pretendard" w:hAnsi="Pretendard" w:eastAsia="Pretendard"/>
          <w:b w:val="0"/>
          <w:sz w:val="20"/>
        </w:rPr>
        <w:t>치료우선의 실행조건: 실제 기관에서 제공할 개입의 내용과 횟수를 특정할 수 있는가.</w:t>
      </w:r>
    </w:p>
    <w:p>
      <w:pPr>
        <w:widowControl/>
      </w:pPr>
      <w:r>
        <w:rPr>
          <w:rFonts w:ascii="Pretendard" w:hAnsi="Pretendard" w:eastAsia="Pretendard"/>
          <w:b w:val="0"/>
          <w:sz w:val="20"/>
        </w:rPr>
        <w:t>책임·감독을 중시할 때: 의뢰 여부뿐 아니라 실제 참여 여부를 확인할 수 있는가.</w:t>
      </w:r>
    </w:p>
    <w:p>
      <w:pPr>
        <w:pStyle w:val="Heading2"/>
        <w:widowControl/>
      </w:pPr>
      <w:r>
        <w:rPr>
          <w:rFonts w:ascii="Pretendard" w:hAnsi="Pretendard" w:eastAsia="Pretendard"/>
          <w:b w:val="0"/>
        </w:rPr>
        <w:t>근거의 성격과 적용범위</w:t>
      </w:r>
    </w:p>
    <w:p>
      <w:pPr>
        <w:widowControl/>
      </w:pPr>
      <w:r>
        <w:rPr>
          <w:rFonts w:ascii="Pretendard" w:hAnsi="Pretendard" w:eastAsia="Pretendard"/>
          <w:b w:val="0"/>
          <w:color w:val="626C7B"/>
          <w:sz w:val="19"/>
        </w:rPr>
        <w:t>— 모집은 소년사법팀·대안교육기관·물질사용 지원팀에서 이루어졌다. 모든 참여자를 마약범죄로 유죄판결 받은 청소년으로 부르지 않는다.</w:t>
      </w:r>
    </w:p>
    <w:p>
      <w:pPr>
        <w:widowControl/>
      </w:pPr>
      <w:r>
        <w:rPr>
          <w:rFonts w:ascii="Pretendard" w:hAnsi="Pretendard" w:eastAsia="Pretendard"/>
          <w:b w:val="0"/>
          <w:color w:val="626C7B"/>
          <w:sz w:val="19"/>
        </w:rPr>
        <w:t>— 심한 사용으로 해독치료 의뢰가 필요한 경우나 추적 중 수감이 예상되는 중한 사건 등은 제외되었다. 중증 청소년 전체로 결과를 넓히지 않는다.</w:t>
      </w:r>
    </w:p>
    <w:p>
      <w:pPr>
        <w:widowControl/>
      </w:pPr>
      <w:r>
        <w:rPr>
          <w:rFonts w:ascii="Pretendard" w:hAnsi="Pretendard" w:eastAsia="Pretendard"/>
          <w:b w:val="0"/>
          <w:color w:val="626C7B"/>
          <w:sz w:val="19"/>
        </w:rPr>
        <w:t>— 초록은 개별면담 45분, 방법 본문은 40분으로 표현한다. 화면에서는 “개별면담 2회”로 통일하고 정확한 분 단위는 강조하지 않는다.</w:t>
      </w:r>
    </w:p>
    <w:p>
      <w:pPr>
        <w:pStyle w:val="Heading2"/>
        <w:widowControl/>
      </w:pPr>
      <w:r>
        <w:rPr>
          <w:rFonts w:ascii="Pretendard" w:hAnsi="Pretendard" w:eastAsia="Pretendard"/>
          <w:b w:val="0"/>
        </w:rPr>
        <w:t>중복 방지 · 다음 작업</w:t>
      </w:r>
    </w:p>
    <w:p>
      <w:pPr>
        <w:widowControl/>
      </w:pPr>
      <w:r>
        <w:rPr>
          <w:rFonts w:ascii="Pretendard" w:hAnsi="Pretendard" w:eastAsia="Pretendard"/>
          <w:b w:val="0"/>
          <w:sz w:val="20"/>
        </w:rPr>
        <w:t>제3장의 MST·CM 및 JDTC 평균효과를 되풀이하지 않는다. 이 연구는 치료 전달·완수의 조건을 보여주기 위해 새로 사용한다.</w:t>
      </w:r>
    </w:p>
    <w:p>
      <w:pPr>
        <w:pStyle w:val="Caption"/>
        <w:widowControl/>
      </w:pPr>
      <w:r>
        <w:rPr>
          <w:rFonts w:ascii="Pretendard" w:hAnsi="Pretendard" w:eastAsia="Pretendard"/>
          <w:b w:val="0"/>
        </w:rPr>
        <w:t>근거 위치: S5. 표본·기존서비스·추가요소는 보고서 제2~3장에서 확인.</w:t>
      </w:r>
    </w:p>
    <w:p>
      <w:pPr>
        <w:widowControl/>
      </w:pPr>
      <w:r>
        <w:br w:type="page"/>
      </w:r>
    </w:p>
    <w:p>
      <w:pPr>
        <w:widowControl/>
        <w:spacing w:after="120"/>
      </w:pPr>
      <w:r>
        <w:rPr>
          <w:rFonts w:ascii="Pretendard" w:hAnsi="Pretendard" w:eastAsia="Pretendard"/>
          <w:b/>
          <w:color w:val="A8871C"/>
          <w:sz w:val="19"/>
        </w:rPr>
        <w:t>C5-07  /  화면 설계</w:t>
      </w:r>
    </w:p>
    <w:p>
      <w:pPr>
        <w:pStyle w:val="Heading1"/>
        <w:widowControl/>
      </w:pPr>
      <w:r>
        <w:rPr>
          <w:rFonts w:ascii="Pretendard" w:hAnsi="Pretendard" w:eastAsia="Pretendard"/>
          <w:b w:val="0"/>
        </w:rPr>
        <w:t>RISKIT-CJS — 완수 19%, 추가효과는 미확인</w:t>
      </w:r>
    </w:p>
    <w:p>
      <w:pPr>
        <w:widowControl/>
      </w:pPr>
      <w:r>
        <w:rPr>
          <w:rFonts w:ascii="Pretendard" w:hAnsi="Pretendard" w:eastAsia="Pretendard"/>
          <w:b w:val="0"/>
          <w:color w:val="626C7B"/>
          <w:sz w:val="19"/>
        </w:rPr>
        <w:t>인프라 — 실제 참여·완수  |  키커: 치료·재활 우선의 조건과 한계</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상단 밴드 · 화면 문구</w:t>
            </w:r>
          </w:p>
          <w:p>
            <w:pPr>
              <w:keepNext w:val="0"/>
              <w:widowControl/>
              <w:spacing w:after="60" w:before="20" w:line="283" w:lineRule="auto"/>
            </w:pPr>
            <w:r>
              <w:rPr>
                <w:rFonts w:ascii="Pretendard" w:hAnsi="Pretendard" w:eastAsia="Pretendard"/>
                <w:b w:val="0"/>
                <w:color w:val="28303E"/>
                <w:sz w:val="21"/>
              </w:rPr>
              <w:t>추가개입을 배정받은 청소년 중 전체 요소를 마친 비율은 낮았고, 12개월 물질사용 결과의 우월성도 확인되지 않았다.</w:t>
            </w:r>
          </w:p>
        </w:tc>
      </w:tr>
    </w:tbl>
    <w:p>
      <w:pPr>
        <w:widowControl/>
        <w:spacing w:after="0"/>
      </w:pPr>
    </w:p>
    <w:p>
      <w:pPr>
        <w:widowControl/>
      </w:pPr>
      <w:r>
        <w:rPr>
          <w:rFonts w:ascii="Pretendard" w:hAnsi="Pretendard" w:eastAsia="Pretendard"/>
          <w:b/>
          <w:color w:val="A8871C"/>
          <w:sz w:val="19"/>
        </w:rPr>
        <w:t>Coulton 외(2023) · 앞 화면과 같은 연구 · 추가개입 배정 246명</w:t>
      </w:r>
    </w:p>
    <w:p>
      <w:pPr>
        <w:pStyle w:val="Heading3"/>
        <w:widowControl/>
      </w:pPr>
      <w:r>
        <w:rPr>
          <w:rFonts w:ascii="Pretendard" w:hAnsi="Pretendard" w:eastAsia="Pretendard"/>
          <w:b w:val="0"/>
        </w:rPr>
        <w:t>실제 참여 · 분모는 모두 246명</w:t>
      </w:r>
    </w:p>
    <w:p>
      <w:pPr>
        <w:widowControl/>
      </w:pPr>
      <w:r>
        <w:rPr>
          <w:rFonts w:ascii="Pretendard" w:hAnsi="Pretendard" w:eastAsia="Pretendard"/>
          <w:b/>
          <w:sz w:val="21"/>
        </w:rPr>
        <w:t>첫 개별면담 참여 214명 · 87%</w:t>
      </w:r>
      <w:r>
        <w:rPr>
          <w:rFonts w:ascii="Pretendard" w:hAnsi="Pretendard" w:eastAsia="Pretendard"/>
          <w:b w:val="0"/>
          <w:sz w:val="21"/>
        </w:rPr>
        <w:br/>
      </w:r>
      <w:r>
        <w:rPr>
          <w:rFonts w:ascii="Pretendard" w:hAnsi="Pretendard" w:eastAsia="Pretendard"/>
          <w:b/>
          <w:sz w:val="21"/>
        </w:rPr>
        <w:t>첫 집단회기 참여 98명 · 40%</w:t>
      </w:r>
      <w:r>
        <w:rPr>
          <w:rFonts w:ascii="Pretendard" w:hAnsi="Pretendard" w:eastAsia="Pretendard"/>
          <w:b w:val="0"/>
          <w:sz w:val="21"/>
        </w:rPr>
        <w:br/>
      </w:r>
      <w:r>
        <w:rPr>
          <w:rFonts w:ascii="Pretendard" w:hAnsi="Pretendard" w:eastAsia="Pretendard"/>
          <w:b/>
          <w:sz w:val="21"/>
        </w:rPr>
        <w:t>전체 4요소 완수 47명 · 19%</w:t>
      </w:r>
    </w:p>
    <w:p>
      <w:pPr>
        <w:pStyle w:val="Heading3"/>
        <w:widowControl/>
      </w:pPr>
      <w:r>
        <w:rPr>
          <w:rFonts w:ascii="Pretendard" w:hAnsi="Pretendard" w:eastAsia="Pretendard"/>
          <w:b w:val="0"/>
        </w:rPr>
        <w:t>12개월 결과</w:t>
      </w:r>
    </w:p>
    <w:p>
      <w:pPr>
        <w:widowControl/>
      </w:pPr>
      <w:r>
        <w:rPr>
          <w:rFonts w:ascii="Pretendard" w:hAnsi="Pretendard" w:eastAsia="Pretendard"/>
          <w:b w:val="0"/>
          <w:sz w:val="21"/>
        </w:rPr>
        <w:t>지난 28일 중 물질을 사용하지 않은 날의 비율(중앙값)</w:t>
        <w:br/>
        <w:t xml:space="preserve">추가개입군 </w:t>
      </w:r>
      <w:r>
        <w:rPr>
          <w:rFonts w:ascii="Pretendard" w:hAnsi="Pretendard" w:eastAsia="Pretendard"/>
          <w:b/>
          <w:sz w:val="21"/>
        </w:rPr>
        <w:t>85.7%</w:t>
      </w:r>
      <w:r>
        <w:rPr>
          <w:rFonts w:ascii="Pretendard" w:hAnsi="Pretendard" w:eastAsia="Pretendard"/>
          <w:b w:val="0"/>
          <w:sz w:val="21"/>
        </w:rPr>
        <w:t xml:space="preserve"> / 기존서비스군 </w:t>
      </w:r>
      <w:r>
        <w:rPr>
          <w:rFonts w:ascii="Pretendard" w:hAnsi="Pretendard" w:eastAsia="Pretendard"/>
          <w:b/>
          <w:sz w:val="21"/>
        </w:rPr>
        <w:t>83.9%</w:t>
      </w:r>
      <w:r>
        <w:rPr>
          <w:rFonts w:ascii="Pretendard" w:hAnsi="Pretendard" w:eastAsia="Pretendard"/>
          <w:b w:val="0"/>
          <w:sz w:val="21"/>
        </w:rPr>
        <w:br/>
        <w:t>집단 간 차이는 통계적으로 유의하지 않았다.</w:t>
      </w:r>
    </w:p>
    <w:p>
      <w:pPr>
        <w:pStyle w:val="Heading3"/>
        <w:widowControl/>
      </w:pPr>
      <w:r>
        <w:rPr>
          <w:rFonts w:ascii="Pretendard" w:hAnsi="Pretendard" w:eastAsia="Pretendard"/>
          <w:b w:val="0"/>
        </w:rPr>
        <w:t>결과의 범위</w:t>
      </w:r>
    </w:p>
    <w:p>
      <w:pPr>
        <w:widowControl/>
      </w:pPr>
      <w:r>
        <w:rPr>
          <w:rFonts w:ascii="Pretendard" w:hAnsi="Pretendard" w:eastAsia="Pretendard"/>
          <w:b w:val="0"/>
          <w:sz w:val="21"/>
        </w:rPr>
        <w:t>전체 단약 성공자의 비율이 아니라 “사용하지 않은 날의 비율”이다.</w:t>
        <w:br/>
        <w:t>낮은 완수율이 효과 미확인의 유일한 원인이라고 증명한 것은 아니다.</w:t>
      </w:r>
    </w:p>
    <w:p>
      <w:pPr>
        <w:pStyle w:val="Heading3"/>
        <w:widowControl/>
      </w:pPr>
      <w:r>
        <w:rPr>
          <w:rFonts w:ascii="Pretendard" w:hAnsi="Pretendard" w:eastAsia="Pretendard"/>
          <w:b w:val="0"/>
        </w:rPr>
        <w:t>하단 문장</w:t>
      </w:r>
    </w:p>
    <w:p>
      <w:pPr>
        <w:widowControl/>
      </w:pPr>
      <w:r>
        <w:rPr>
          <w:rFonts w:ascii="Pretendard" w:hAnsi="Pretendard" w:eastAsia="Pretendard"/>
          <w:b/>
          <w:color w:val="20285F"/>
          <w:sz w:val="21"/>
        </w:rPr>
        <w:t>프로그램 배정, 실제 참여, 완수를 구분해야 치료·재활 우선 경로의 작동을 평가할 수 있다.</w:t>
      </w:r>
    </w:p>
    <w:p>
      <w:pPr>
        <w:pStyle w:val="Heading3"/>
        <w:widowControl/>
      </w:pPr>
      <w:r>
        <w:rPr>
          <w:rFonts w:ascii="Pretendard" w:hAnsi="Pretendard" w:eastAsia="Pretendard"/>
          <w:b w:val="0"/>
        </w:rPr>
        <w:t>배치 지시</w:t>
      </w:r>
    </w:p>
    <w:p>
      <w:pPr>
        <w:widowControl/>
      </w:pPr>
      <w:r>
        <w:rPr>
          <w:rFonts w:ascii="Pretendard" w:hAnsi="Pretendard" w:eastAsia="Pretendard"/>
          <w:b w:val="0"/>
          <w:color w:val="626C7B"/>
          <w:sz w:val="18"/>
        </w:rPr>
        <w:t>H + D: 같은 분모의 참여막대와 결과지표를 분리. 왼쪽의 세 값은 독립적인 가로 막대로 표현한다. 단계별로 반드시 같은 사람이 차례로 탈락한 것처럼 깔때기나 차감 수를 만들지 않는다. 오른쪽 결과의 두 중앙값을 참여율과 같은 축에 올리지 않는다.</w:t>
      </w:r>
    </w:p>
    <w:p>
      <w:pPr>
        <w:widowControl/>
      </w:pPr>
      <w:r>
        <w:rPr>
          <w:rFonts w:ascii="Pretendard" w:hAnsi="Pretendard" w:eastAsia="Pretendard"/>
          <w:b/>
          <w:color w:val="20285F"/>
          <w:sz w:val="19"/>
        </w:rPr>
        <w:t>다음 → 필요한 시점에 치료를 시작할 수 있는가</w:t>
      </w:r>
    </w:p>
    <w:p>
      <w:pPr>
        <w:pStyle w:val="Caption"/>
        <w:widowControl/>
      </w:pPr>
      <w:r>
        <w:rPr>
          <w:rFonts w:ascii="Pretendard" w:hAnsi="Pretendard" w:eastAsia="Pretendard"/>
          <w:b w:val="0"/>
        </w:rPr>
        <w:t>화면 출처: Coulton 외(2023), 제3장 표2(21쪽)의 회기별 참여, 표9(26쪽)의 결과, 완수 설명(27쪽). 47/246=19.1%.</w:t>
      </w:r>
    </w:p>
    <w:p>
      <w:pPr>
        <w:widowControl/>
      </w:pPr>
      <w:r>
        <w:br w:type="page"/>
      </w:r>
    </w:p>
    <w:p>
      <w:pPr>
        <w:widowControl/>
        <w:spacing w:after="120"/>
      </w:pPr>
      <w:r>
        <w:rPr>
          <w:rFonts w:ascii="Pretendard" w:hAnsi="Pretendard" w:eastAsia="Pretendard"/>
          <w:b/>
          <w:color w:val="A8871C"/>
          <w:sz w:val="19"/>
        </w:rPr>
        <w:t>C5-07  /  대본·적용</w:t>
      </w:r>
    </w:p>
    <w:p>
      <w:pPr>
        <w:pStyle w:val="Heading1"/>
        <w:widowControl/>
      </w:pPr>
      <w:r>
        <w:rPr>
          <w:rFonts w:ascii="Pretendard" w:hAnsi="Pretendard" w:eastAsia="Pretendard"/>
          <w:b w:val="0"/>
        </w:rPr>
        <w:t>설명과 논제 연결</w:t>
      </w:r>
    </w:p>
    <w:p>
      <w:pPr>
        <w:widowControl/>
      </w:pPr>
      <w:r>
        <w:rPr>
          <w:rFonts w:ascii="Pretendard" w:hAnsi="Pretendard" w:eastAsia="Pretendard"/>
          <w:b w:val="0"/>
          <w:color w:val="626C7B"/>
          <w:sz w:val="19"/>
        </w:rPr>
        <w:t>RISKIT-CJS — 완수 19%, 추가효과는 미확인</w:t>
      </w:r>
    </w:p>
    <w:p>
      <w:pPr>
        <w:pStyle w:val="Heading2"/>
        <w:widowControl/>
      </w:pPr>
      <w:r>
        <w:rPr>
          <w:rFonts w:ascii="Pretendard" w:hAnsi="Pretendard" w:eastAsia="Pretendard"/>
          <w:b w:val="0"/>
        </w:rPr>
        <w:t>강의 대본</w:t>
      </w:r>
    </w:p>
    <w:p>
      <w:pPr>
        <w:widowControl/>
      </w:pPr>
      <w:r>
        <w:rPr>
          <w:rFonts w:ascii="Pretendard" w:hAnsi="Pretendard" w:eastAsia="Pretendard"/>
          <w:b w:val="0"/>
        </w:rPr>
        <w:t>이제 배정된 프로그램이 실제로 어느 정도 전달되었는지 봅니다. 분모는 연구에 들어온 전체 인원이 아니라 추가 프로그램에 배정된 사람들입니다. 첫 개별면담에 참여한 비율과 모든 요소를 마친 비율 사이에 상당한 차이가 있습니다. 이 화면은 그 차이를 보여주기 위한 것입니다.</w:t>
      </w:r>
    </w:p>
    <w:p>
      <w:pPr>
        <w:widowControl/>
      </w:pPr>
      <w:r>
        <w:rPr>
          <w:rFonts w:ascii="Pretendard" w:hAnsi="Pretendard" w:eastAsia="Pretendard"/>
          <w:b w:val="0"/>
        </w:rPr>
        <w:t>오른쪽 수치는 별개의 지표입니다. “사람들 중 몇 퍼센트가 완전히 단약했는가”가 아니라 최근 일정 기간 중 사용하지 않은 날이 얼마나 되는지를 측정했습니다. 두 조건의 결과는 통계적으로 뚜렷하게 다르지 않았습니다. 그러므로 프로그램을 새로 더했다는 사실만으로 효과가 확보되었다고 말할 수 없습니다.</w:t>
      </w:r>
    </w:p>
    <w:p>
      <w:pPr>
        <w:widowControl/>
      </w:pPr>
      <w:r>
        <w:rPr>
          <w:rFonts w:ascii="Pretendard" w:hAnsi="Pretendard" w:eastAsia="Pretendard"/>
          <w:b w:val="0"/>
        </w:rPr>
        <w:t>그렇다고 완수하지 않은 청소년이 모두 치료를 고의로 거부했다고 해석해서도 안 됩니다. 참여의 낮음과 효과 미확인은 함께 관찰된 사실이고, 둘 사이의 유일한 원인이 확정된 것은 아닙니다. 이 자료로 정책에 물을 것은 구체적입니다. 개별면담은 전달되는데 집단회기나 후속면담에서 참여가 낮아진다면, 일정·참여조건·대상의 필요·프로그램의 적합성 중 무엇을 다시 확인해야 할까요? 의뢰 건수만 성과로 적는 체계로는 이 차이를 발견하기 어렵습니다.</w:t>
      </w:r>
    </w:p>
    <w:p>
      <w:pPr>
        <w:pStyle w:val="Heading2"/>
        <w:widowControl/>
      </w:pPr>
      <w:r>
        <w:rPr>
          <w:rFonts w:ascii="Pretendard" w:hAnsi="Pretendard" w:eastAsia="Pretendard"/>
          <w:b w:val="0"/>
        </w:rPr>
        <w:t>논제에서 판단할 내용</w:t>
      </w:r>
    </w:p>
    <w:p>
      <w:pPr>
        <w:widowControl/>
      </w:pPr>
      <w:r>
        <w:rPr>
          <w:rFonts w:ascii="Pretendard" w:hAnsi="Pretendard" w:eastAsia="Pretendard"/>
          <w:b w:val="0"/>
          <w:sz w:val="20"/>
        </w:rPr>
        <w:t>치료우선의 조건: 청소년이 실제로 받는 개입을 기준으로 효과를 평가하고 전달 방식을 개선할 수 있는가.</w:t>
      </w:r>
    </w:p>
    <w:p>
      <w:pPr>
        <w:widowControl/>
      </w:pPr>
      <w:r>
        <w:rPr>
          <w:rFonts w:ascii="Pretendard" w:hAnsi="Pretendard" w:eastAsia="Pretendard"/>
          <w:b w:val="0"/>
          <w:sz w:val="20"/>
        </w:rPr>
        <w:t>한계의 의미: 이 추가개입의 우위 미확인은 치료 일반의 무효나 형사처벌 우선의 우위를 증명하지 않는다.</w:t>
      </w:r>
    </w:p>
    <w:p>
      <w:pPr>
        <w:pStyle w:val="Heading2"/>
        <w:widowControl/>
      </w:pPr>
      <w:r>
        <w:rPr>
          <w:rFonts w:ascii="Pretendard" w:hAnsi="Pretendard" w:eastAsia="Pretendard"/>
          <w:b w:val="0"/>
        </w:rPr>
        <w:t>근거의 성격과 적용범위</w:t>
      </w:r>
    </w:p>
    <w:p>
      <w:pPr>
        <w:widowControl/>
      </w:pPr>
      <w:r>
        <w:rPr>
          <w:rFonts w:ascii="Pretendard" w:hAnsi="Pretendard" w:eastAsia="Pretendard"/>
          <w:b w:val="0"/>
          <w:color w:val="626C7B"/>
          <w:sz w:val="19"/>
        </w:rPr>
        <w:t>— 주 분석의 OR=1.14, 95% CI 0.743~1.76, p=.542는 노트에만 둔다. “단약 성공 확률이 14% 높다”로 번역하지 않는다.</w:t>
      </w:r>
    </w:p>
    <w:p>
      <w:pPr>
        <w:widowControl/>
      </w:pPr>
      <w:r>
        <w:rPr>
          <w:rFonts w:ascii="Pretendard" w:hAnsi="Pretendard" w:eastAsia="Pretendard"/>
          <w:b w:val="0"/>
          <w:color w:val="626C7B"/>
          <w:sz w:val="19"/>
        </w:rPr>
        <w:t>— 연구진이 보고한 12개월 추적률은 57%이다. 탈락·자료누락에 관한 한계도 있다.</w:t>
      </w:r>
    </w:p>
    <w:p>
      <w:pPr>
        <w:widowControl/>
      </w:pPr>
      <w:r>
        <w:rPr>
          <w:rFonts w:ascii="Pretendard" w:hAnsi="Pretendard" w:eastAsia="Pretendard"/>
          <w:b w:val="0"/>
          <w:color w:val="626C7B"/>
          <w:sz w:val="19"/>
        </w:rPr>
        <w:t>— 공식 범죄기록 분석은 코로나19로 제약되었다. 이 연구가 재범에서 차이가 없음을 입증했다고 쓰지 않는다.</w:t>
      </w:r>
    </w:p>
    <w:p>
      <w:pPr>
        <w:pStyle w:val="Heading2"/>
        <w:widowControl/>
      </w:pPr>
      <w:r>
        <w:rPr>
          <w:rFonts w:ascii="Pretendard" w:hAnsi="Pretendard" w:eastAsia="Pretendard"/>
          <w:b w:val="0"/>
        </w:rPr>
        <w:t>중복 방지 · 다음 작업</w:t>
      </w:r>
    </w:p>
    <w:p>
      <w:pPr>
        <w:widowControl/>
      </w:pPr>
      <w:r>
        <w:rPr>
          <w:rFonts w:ascii="Pretendard" w:hAnsi="Pretendard" w:eastAsia="Pretendard"/>
          <w:b w:val="0"/>
          <w:sz w:val="20"/>
        </w:rPr>
        <w:t>v14 32쪽의 JDTC 평균 수료율을 다시 제시하지 않는다. 이 장의 “완수”는 별도 프로그램의 네 요소 완료이다.</w:t>
      </w:r>
    </w:p>
    <w:p>
      <w:pPr>
        <w:pStyle w:val="Caption"/>
        <w:widowControl/>
      </w:pPr>
      <w:r>
        <w:rPr>
          <w:rFonts w:ascii="Pretendard" w:hAnsi="Pretendard" w:eastAsia="Pretendard"/>
          <w:b w:val="0"/>
        </w:rPr>
        <w:t>근거 위치: S5. 화면 핵심 수치와 분모는 부록 B에서 재확인.</w:t>
      </w:r>
    </w:p>
    <w:p>
      <w:pPr>
        <w:widowControl/>
      </w:pPr>
      <w:r>
        <w:br w:type="page"/>
      </w:r>
    </w:p>
    <w:p>
      <w:pPr>
        <w:widowControl/>
        <w:spacing w:after="120"/>
      </w:pPr>
      <w:r>
        <w:rPr>
          <w:rFonts w:ascii="Pretendard" w:hAnsi="Pretendard" w:eastAsia="Pretendard"/>
          <w:b/>
          <w:color w:val="A8871C"/>
          <w:sz w:val="19"/>
        </w:rPr>
        <w:t>C5-08  /  화면 설계</w:t>
      </w:r>
    </w:p>
    <w:p>
      <w:pPr>
        <w:pStyle w:val="Heading1"/>
        <w:widowControl/>
      </w:pPr>
      <w:r>
        <w:rPr>
          <w:rFonts w:ascii="Pretendard" w:hAnsi="Pretendard" w:eastAsia="Pretendard"/>
          <w:b w:val="0"/>
        </w:rPr>
        <w:t>미국 청소년 주거형 치료, 당일 입소 가능은 54%</w:t>
      </w:r>
    </w:p>
    <w:p>
      <w:pPr>
        <w:widowControl/>
      </w:pPr>
      <w:r>
        <w:rPr>
          <w:rFonts w:ascii="Pretendard" w:hAnsi="Pretendard" w:eastAsia="Pretendard"/>
          <w:b w:val="0"/>
          <w:color w:val="626C7B"/>
          <w:sz w:val="19"/>
        </w:rPr>
        <w:t>인프라 — 접근성과 대기  |  키커: 치료·재활 우선의 조건과 한계</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상단 밴드 · 화면 문구</w:t>
            </w:r>
          </w:p>
          <w:p>
            <w:pPr>
              <w:keepNext w:val="0"/>
              <w:widowControl/>
              <w:spacing w:after="60" w:before="20" w:line="283" w:lineRule="auto"/>
            </w:pPr>
            <w:r>
              <w:rPr>
                <w:rFonts w:ascii="Pretendard" w:hAnsi="Pretendard" w:eastAsia="Pretendard"/>
                <w:b w:val="0"/>
                <w:color w:val="28303E"/>
                <w:sz w:val="21"/>
              </w:rPr>
              <w:t>치료기관이 목록에 있어도 필요한 날 바로 입소할 수 있는 것은 아니며, 대기는 별도의 운영 부담이 된다.</w:t>
            </w:r>
          </w:p>
        </w:tc>
      </w:tr>
    </w:tbl>
    <w:p>
      <w:pPr>
        <w:widowControl/>
        <w:spacing w:after="0"/>
      </w:pPr>
    </w:p>
    <w:p>
      <w:pPr>
        <w:widowControl/>
      </w:pPr>
      <w:r>
        <w:rPr>
          <w:rFonts w:ascii="Pretendard" w:hAnsi="Pretendard" w:eastAsia="Pretendard"/>
          <w:b/>
          <w:color w:val="A8871C"/>
          <w:sz w:val="19"/>
        </w:rPr>
        <w:t>King 외(2024) · 미국 · 2022년 10~12월 시설 전화조사</w:t>
      </w:r>
    </w:p>
    <w:p>
      <w:pPr>
        <w:pStyle w:val="Heading3"/>
        <w:widowControl/>
      </w:pPr>
      <w:r>
        <w:rPr>
          <w:rFonts w:ascii="Pretendard" w:hAnsi="Pretendard" w:eastAsia="Pretendard"/>
          <w:b w:val="0"/>
        </w:rPr>
        <w:t>무엇을 조사했나</w:t>
      </w:r>
    </w:p>
    <w:p>
      <w:pPr>
        <w:widowControl/>
      </w:pPr>
      <w:r>
        <w:rPr>
          <w:rFonts w:ascii="Pretendard" w:hAnsi="Pretendard" w:eastAsia="Pretendard"/>
          <w:b w:val="0"/>
          <w:sz w:val="21"/>
        </w:rPr>
        <w:t>최근 사망에 이르지 않은 펜타닐 과다복용을 겪은 16세의 이모·삼촌인 것처럼 전화했다.</w:t>
        <w:br/>
        <w:t xml:space="preserve">청소년 주거형 중독치료를 제공한다고 확인한 </w:t>
      </w:r>
      <w:r>
        <w:rPr>
          <w:rFonts w:ascii="Pretendard" w:hAnsi="Pretendard" w:eastAsia="Pretendard"/>
          <w:b/>
          <w:sz w:val="21"/>
        </w:rPr>
        <w:t>160개 시설</w:t>
      </w:r>
      <w:r>
        <w:rPr>
          <w:rFonts w:ascii="Pretendard" w:hAnsi="Pretendard" w:eastAsia="Pretendard"/>
          <w:b w:val="0"/>
          <w:sz w:val="21"/>
        </w:rPr>
        <w:t>의 입소 가능성과 비용을 문의했다.</w:t>
      </w:r>
    </w:p>
    <w:p>
      <w:pPr>
        <w:pStyle w:val="Heading3"/>
        <w:widowControl/>
      </w:pPr>
      <w:r>
        <w:rPr>
          <w:rFonts w:ascii="Pretendard" w:hAnsi="Pretendard" w:eastAsia="Pretendard"/>
          <w:b w:val="0"/>
        </w:rPr>
        <w:t>당일 입소 자리 있음</w:t>
      </w:r>
    </w:p>
    <w:p>
      <w:pPr>
        <w:widowControl/>
      </w:pPr>
      <w:r>
        <w:rPr>
          <w:rFonts w:ascii="Pretendard" w:hAnsi="Pretendard" w:eastAsia="Pretendard"/>
          <w:b/>
          <w:sz w:val="21"/>
        </w:rPr>
        <w:t>87/160개 시설 · 54.4%</w:t>
      </w:r>
    </w:p>
    <w:p>
      <w:pPr>
        <w:pStyle w:val="Heading3"/>
        <w:widowControl/>
      </w:pPr>
      <w:r>
        <w:rPr>
          <w:rFonts w:ascii="Pretendard" w:hAnsi="Pretendard" w:eastAsia="Pretendard"/>
          <w:b w:val="0"/>
        </w:rPr>
        <w:t>자리까지 예상 대기</w:t>
      </w:r>
    </w:p>
    <w:p>
      <w:pPr>
        <w:widowControl/>
      </w:pPr>
      <w:r>
        <w:rPr>
          <w:rFonts w:ascii="Pretendard" w:hAnsi="Pretendard" w:eastAsia="Pretendard"/>
          <w:b/>
          <w:sz w:val="21"/>
        </w:rPr>
        <w:t>평균 28.4일</w:t>
      </w:r>
      <w:r>
        <w:rPr>
          <w:rFonts w:ascii="Pretendard" w:hAnsi="Pretendard" w:eastAsia="Pretendard"/>
          <w:b w:val="0"/>
          <w:sz w:val="21"/>
        </w:rPr>
        <w:br/>
        <w:t xml:space="preserve">대기 일수를 응답한 </w:t>
      </w:r>
      <w:r>
        <w:rPr>
          <w:rFonts w:ascii="Pretendard" w:hAnsi="Pretendard" w:eastAsia="Pretendard"/>
          <w:b/>
          <w:sz w:val="21"/>
        </w:rPr>
        <w:t>65개 시설</w:t>
      </w:r>
      <w:r>
        <w:rPr>
          <w:rFonts w:ascii="Pretendard" w:hAnsi="Pretendard" w:eastAsia="Pretendard"/>
          <w:b w:val="0"/>
          <w:sz w:val="21"/>
        </w:rPr>
        <w:t xml:space="preserve"> 기준</w:t>
      </w:r>
    </w:p>
    <w:p>
      <w:pPr>
        <w:pStyle w:val="Heading3"/>
        <w:widowControl/>
      </w:pPr>
      <w:r>
        <w:rPr>
          <w:rFonts w:ascii="Pretendard" w:hAnsi="Pretendard" w:eastAsia="Pretendard"/>
          <w:b w:val="0"/>
        </w:rPr>
        <w:t>적용범위</w:t>
      </w:r>
    </w:p>
    <w:p>
      <w:pPr>
        <w:widowControl/>
      </w:pPr>
      <w:r>
        <w:rPr>
          <w:rFonts w:ascii="Pretendard" w:hAnsi="Pretendard" w:eastAsia="Pretendard"/>
          <w:b w:val="0"/>
          <w:sz w:val="21"/>
        </w:rPr>
        <w:t>미국의 오피오이드 문제를 가진 청소년을 위한 주거형 치료 접근 조사다.</w:t>
        <w:br/>
        <w:t>한국의 현재 병상 이용률이나 모든 마약류 사용자에게 필요한 치료형태를 뜻하지 않는다.</w:t>
      </w:r>
    </w:p>
    <w:p>
      <w:pPr>
        <w:pStyle w:val="Heading3"/>
        <w:widowControl/>
      </w:pPr>
      <w:r>
        <w:rPr>
          <w:rFonts w:ascii="Pretendard" w:hAnsi="Pretendard" w:eastAsia="Pretendard"/>
          <w:b w:val="0"/>
        </w:rPr>
        <w:t>하단 문장</w:t>
      </w:r>
    </w:p>
    <w:p>
      <w:pPr>
        <w:widowControl/>
      </w:pPr>
      <w:r>
        <w:rPr>
          <w:rFonts w:ascii="Pretendard" w:hAnsi="Pretendard" w:eastAsia="Pretendard"/>
          <w:b/>
          <w:color w:val="20285F"/>
          <w:sz w:val="21"/>
        </w:rPr>
        <w:t>치료·재활을 우선하려면 실제 시작 가능일과 대기 중 지원·감독까지 계획에 포함해야 한다.</w:t>
      </w:r>
    </w:p>
    <w:p>
      <w:pPr>
        <w:pStyle w:val="Heading3"/>
        <w:widowControl/>
      </w:pPr>
      <w:r>
        <w:rPr>
          <w:rFonts w:ascii="Pretendard" w:hAnsi="Pretendard" w:eastAsia="Pretendard"/>
          <w:b w:val="0"/>
        </w:rPr>
        <w:t>배치 지시</w:t>
      </w:r>
    </w:p>
    <w:p>
      <w:pPr>
        <w:widowControl/>
      </w:pPr>
      <w:r>
        <w:rPr>
          <w:rFonts w:ascii="Pretendard" w:hAnsi="Pretendard" w:eastAsia="Pretendard"/>
          <w:b w:val="0"/>
          <w:color w:val="626C7B"/>
          <w:sz w:val="18"/>
        </w:rPr>
        <w:t>H: 조사조건 한 줄 + 두 개의 큰 수치. 조사조건을 수치보다 먼저 제시한다. 왼쪽은 시설 수와 비율, 오른쪽은 대기 일수로 단위를 분리한다. 54.4%의 나머지를 모두 “입소 거절”로 칠하지 않는다. 미국 지도·약물사진을 장식으로 추가하지 않는다.</w:t>
      </w:r>
    </w:p>
    <w:p>
      <w:pPr>
        <w:widowControl/>
      </w:pPr>
      <w:r>
        <w:rPr>
          <w:rFonts w:ascii="Pretendard" w:hAnsi="Pretendard" w:eastAsia="Pretendard"/>
          <w:b/>
          <w:color w:val="20285F"/>
          <w:sz w:val="19"/>
        </w:rPr>
        <w:t>다음 → 예약·첫 방문·사후지원의 확인 책임</w:t>
      </w:r>
    </w:p>
    <w:p>
      <w:pPr>
        <w:pStyle w:val="Caption"/>
        <w:widowControl/>
      </w:pPr>
      <w:r>
        <w:rPr>
          <w:rFonts w:ascii="Pretendard" w:hAnsi="Pretendard" w:eastAsia="Pretendard"/>
          <w:b w:val="0"/>
        </w:rPr>
        <w:t>화면 출처: King 외(2024), Health Affairs, 43(1), 64–71. Methods; Results—Bed availability. DOI: 10.1377/hlthaff.2023.00777.</w:t>
      </w:r>
    </w:p>
    <w:p>
      <w:pPr>
        <w:widowControl/>
      </w:pPr>
      <w:r>
        <w:br w:type="page"/>
      </w:r>
    </w:p>
    <w:p>
      <w:pPr>
        <w:widowControl/>
        <w:spacing w:after="120"/>
      </w:pPr>
      <w:r>
        <w:rPr>
          <w:rFonts w:ascii="Pretendard" w:hAnsi="Pretendard" w:eastAsia="Pretendard"/>
          <w:b/>
          <w:color w:val="A8871C"/>
          <w:sz w:val="19"/>
        </w:rPr>
        <w:t>C5-08  /  대본·적용</w:t>
      </w:r>
    </w:p>
    <w:p>
      <w:pPr>
        <w:pStyle w:val="Heading1"/>
        <w:widowControl/>
      </w:pPr>
      <w:r>
        <w:rPr>
          <w:rFonts w:ascii="Pretendard" w:hAnsi="Pretendard" w:eastAsia="Pretendard"/>
          <w:b w:val="0"/>
        </w:rPr>
        <w:t>설명과 논제 연결</w:t>
      </w:r>
    </w:p>
    <w:p>
      <w:pPr>
        <w:widowControl/>
      </w:pPr>
      <w:r>
        <w:rPr>
          <w:rFonts w:ascii="Pretendard" w:hAnsi="Pretendard" w:eastAsia="Pretendard"/>
          <w:b w:val="0"/>
          <w:color w:val="626C7B"/>
          <w:sz w:val="19"/>
        </w:rPr>
        <w:t>미국 청소년 주거형 치료, 당일 입소 가능은 54%</w:t>
      </w:r>
    </w:p>
    <w:p>
      <w:pPr>
        <w:pStyle w:val="Heading2"/>
        <w:widowControl/>
      </w:pPr>
      <w:r>
        <w:rPr>
          <w:rFonts w:ascii="Pretendard" w:hAnsi="Pretendard" w:eastAsia="Pretendard"/>
          <w:b w:val="0"/>
        </w:rPr>
        <w:t>강의 대본</w:t>
      </w:r>
    </w:p>
    <w:p>
      <w:pPr>
        <w:widowControl/>
      </w:pPr>
      <w:r>
        <w:rPr>
          <w:rFonts w:ascii="Pretendard" w:hAnsi="Pretendard" w:eastAsia="Pretendard"/>
          <w:b w:val="0"/>
        </w:rPr>
        <w:t>제1장에서는 지정기관과 지정병상이 있다는 것을 확인했습니다. 이번에는 다른 나라의 조사방법을 통해 실제 접근성을 어떻게 확인할 수 있는지 봅니다. 연구자가 기관에 연구용 설문을 보낸 것이 아니라 가족이 치료를 찾는 상황을 설정해 전화를 했습니다. 따라서 이 자료의 초점은 시설의 존재와 실제 이용가능성 사이의 차이입니다.</w:t>
      </w:r>
    </w:p>
    <w:p>
      <w:pPr>
        <w:widowControl/>
      </w:pPr>
      <w:r>
        <w:rPr>
          <w:rFonts w:ascii="Pretendard" w:hAnsi="Pretendard" w:eastAsia="Pretendard"/>
          <w:b w:val="0"/>
        </w:rPr>
        <w:t>두 수치의 분모가 다르다는 점도 중요합니다. 당일 입소 가능 비율은 전체 확인 시설을 기준으로 합니다. 대기기간은 예상 일수를 응답한 시설들의 평균입니다. 이 평균을 모든 청소년이 반드시 기다린 일수로 말할 수는 없습니다. 주거형 치료는 시설에서 생활하며 치료받는 방식이며, 외래치료까지 포함한 전체 서비스 조사도 아닙니다.</w:t>
      </w:r>
    </w:p>
    <w:p>
      <w:pPr>
        <w:widowControl/>
      </w:pPr>
      <w:r>
        <w:rPr>
          <w:rFonts w:ascii="Pretendard" w:hAnsi="Pretendard" w:eastAsia="Pretendard"/>
          <w:b w:val="0"/>
        </w:rPr>
        <w:t>우리 논제와 연결할 때에는 미국 수치를 한국의 현재 상황으로 옮기지 않습니다. 대신 치료우선이라는 선택이 실제로 가능한 선택이 되려면 무엇이 필요할지를 묻습니다. 치료가 필요하다고 판단된 날 예약이 잡히는지, 기다리는 동안 누가 위험을 확인하고 상담을 유지하는지, 적절한 외래 대안이 있는지를 확인해야 합니다. 단순히 병상이 부족하다는 이유만으로 구금을 대체 서비스처럼 사용하는 결론도 이 조사에서 나오지는 않습니다.</w:t>
      </w:r>
    </w:p>
    <w:p>
      <w:pPr>
        <w:pStyle w:val="Heading2"/>
        <w:widowControl/>
      </w:pPr>
      <w:r>
        <w:rPr>
          <w:rFonts w:ascii="Pretendard" w:hAnsi="Pretendard" w:eastAsia="Pretendard"/>
          <w:b w:val="0"/>
        </w:rPr>
        <w:t>논제에서 판단할 내용</w:t>
      </w:r>
    </w:p>
    <w:p>
      <w:pPr>
        <w:widowControl/>
      </w:pPr>
      <w:r>
        <w:rPr>
          <w:rFonts w:ascii="Pretendard" w:hAnsi="Pretendard" w:eastAsia="Pretendard"/>
          <w:b w:val="0"/>
          <w:sz w:val="20"/>
        </w:rPr>
        <w:t>치료우선의 조건: 기관·예산의 존재를 넘어 실제 이용가능성을 확보할 수 있는가.</w:t>
      </w:r>
    </w:p>
    <w:p>
      <w:pPr>
        <w:widowControl/>
      </w:pPr>
      <w:r>
        <w:rPr>
          <w:rFonts w:ascii="Pretendard" w:hAnsi="Pretendard" w:eastAsia="Pretendard"/>
          <w:b w:val="0"/>
          <w:sz w:val="20"/>
        </w:rPr>
        <w:t>공공안전·형평성의 조건: 대기와 비용 때문에 치료에 못 들어간 상황을 개인의 거부로 취급하지 않으면서 안전을 관리할 수 있는가.</w:t>
      </w:r>
    </w:p>
    <w:p>
      <w:pPr>
        <w:pStyle w:val="Heading2"/>
        <w:widowControl/>
      </w:pPr>
      <w:r>
        <w:rPr>
          <w:rFonts w:ascii="Pretendard" w:hAnsi="Pretendard" w:eastAsia="Pretendard"/>
          <w:b w:val="0"/>
        </w:rPr>
        <w:t>근거의 성격과 적용범위</w:t>
      </w:r>
    </w:p>
    <w:p>
      <w:pPr>
        <w:widowControl/>
      </w:pPr>
      <w:r>
        <w:rPr>
          <w:rFonts w:ascii="Pretendard" w:hAnsi="Pretendard" w:eastAsia="Pretendard"/>
          <w:b w:val="0"/>
          <w:color w:val="626C7B"/>
          <w:sz w:val="19"/>
        </w:rPr>
        <w:t>— 주거형 치료 접근 자료이며 청소년 마약류 범죄의 형사처벌 효과와 비교한 연구가 아니다.</w:t>
      </w:r>
    </w:p>
    <w:p>
      <w:pPr>
        <w:widowControl/>
      </w:pPr>
      <w:r>
        <w:rPr>
          <w:rFonts w:ascii="Pretendard" w:hAnsi="Pretendard" w:eastAsia="Pretendard"/>
          <w:b w:val="0"/>
          <w:color w:val="626C7B"/>
          <w:sz w:val="19"/>
        </w:rPr>
        <w:t>— PMC 저자원고 초록의 54.7%와 달리, 본문 및 출판사 최종 초록은 87/160=54.4%이다. 후자를 사용한다.</w:t>
      </w:r>
    </w:p>
    <w:p>
      <w:pPr>
        <w:widowControl/>
      </w:pPr>
      <w:r>
        <w:rPr>
          <w:rFonts w:ascii="Pretendard" w:hAnsi="Pretendard" w:eastAsia="Pretendard"/>
          <w:b w:val="0"/>
          <w:color w:val="626C7B"/>
          <w:sz w:val="19"/>
        </w:rPr>
        <w:t>— 65개 시설의 대기기간 응답을 “당일 입소 불가 73개 전부의 평균”이라고 쓰지 않는다.</w:t>
      </w:r>
    </w:p>
    <w:p>
      <w:pPr>
        <w:pStyle w:val="Heading2"/>
        <w:widowControl/>
      </w:pPr>
      <w:r>
        <w:rPr>
          <w:rFonts w:ascii="Pretendard" w:hAnsi="Pretendard" w:eastAsia="Pretendard"/>
          <w:b w:val="0"/>
        </w:rPr>
        <w:t>중복 방지 · 다음 작업</w:t>
      </w:r>
    </w:p>
    <w:p>
      <w:pPr>
        <w:widowControl/>
      </w:pPr>
      <w:r>
        <w:rPr>
          <w:rFonts w:ascii="Pretendard" w:hAnsi="Pretendard" w:eastAsia="Pretendard"/>
          <w:b w:val="0"/>
          <w:sz w:val="20"/>
        </w:rPr>
        <w:t>v14 13쪽의 지정 인프라 수치는 재사용하지 않고, “필요할 때 이용할 수 있나”라는 새 측정방식을 제시한다.</w:t>
      </w:r>
    </w:p>
    <w:p>
      <w:pPr>
        <w:pStyle w:val="Caption"/>
        <w:widowControl/>
      </w:pPr>
      <w:r>
        <w:rPr>
          <w:rFonts w:ascii="Pretendard" w:hAnsi="Pretendard" w:eastAsia="Pretendard"/>
          <w:b w:val="0"/>
        </w:rPr>
        <w:t>근거 위치: S6. 본문 전체는 PMC 저자원고 텍스트, 핵심 비율은 최종 출판사 초록과 교차 대조.</w:t>
      </w:r>
    </w:p>
    <w:p>
      <w:pPr>
        <w:widowControl/>
      </w:pPr>
      <w:r>
        <w:br w:type="page"/>
      </w:r>
    </w:p>
    <w:p>
      <w:pPr>
        <w:widowControl/>
        <w:spacing w:after="120"/>
      </w:pPr>
      <w:r>
        <w:rPr>
          <w:rFonts w:ascii="Pretendard" w:hAnsi="Pretendard" w:eastAsia="Pretendard"/>
          <w:b/>
          <w:color w:val="A8871C"/>
          <w:sz w:val="19"/>
        </w:rPr>
        <w:t>C5-09  /  화면 설계</w:t>
      </w:r>
    </w:p>
    <w:p>
      <w:pPr>
        <w:pStyle w:val="Heading1"/>
        <w:widowControl/>
      </w:pPr>
      <w:r>
        <w:rPr>
          <w:rFonts w:ascii="Pretendard" w:hAnsi="Pretendard" w:eastAsia="Pretendard"/>
          <w:b w:val="0"/>
        </w:rPr>
        <w:t>치료 연계의 완료기준 — 예약·첫 방문·사후지원</w:t>
      </w:r>
    </w:p>
    <w:p>
      <w:pPr>
        <w:widowControl/>
      </w:pPr>
      <w:r>
        <w:rPr>
          <w:rFonts w:ascii="Pretendard" w:hAnsi="Pretendard" w:eastAsia="Pretendard"/>
          <w:b w:val="0"/>
          <w:color w:val="626C7B"/>
          <w:sz w:val="19"/>
        </w:rPr>
        <w:t>인프라 · 권리 보장 — 제6장으로 연결  |  키커: 치료·재활 우선의 조건과 한계</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상단 밴드 · 화면 문구</w:t>
            </w:r>
          </w:p>
          <w:p>
            <w:pPr>
              <w:keepNext w:val="0"/>
              <w:widowControl/>
              <w:spacing w:after="60" w:before="20" w:line="283" w:lineRule="auto"/>
            </w:pPr>
            <w:r>
              <w:rPr>
                <w:rFonts w:ascii="Pretendard" w:hAnsi="Pretendard" w:eastAsia="Pretendard"/>
                <w:b w:val="0"/>
                <w:color w:val="28303E"/>
                <w:sz w:val="21"/>
              </w:rPr>
              <w:t>연계를 결정한 뒤 실제 치료 시작과 종료 후 지원까지 확인해야 치료·재활 우선 경로의 공백을 줄일 수 있다.</w:t>
            </w:r>
          </w:p>
        </w:tc>
      </w:tr>
    </w:tbl>
    <w:p>
      <w:pPr>
        <w:widowControl/>
        <w:spacing w:after="0"/>
      </w:pPr>
    </w:p>
    <w:p>
      <w:pPr>
        <w:widowControl/>
      </w:pPr>
      <w:r>
        <w:rPr>
          <w:rFonts w:ascii="Pretendard" w:hAnsi="Pretendard" w:eastAsia="Pretendard"/>
          <w:b/>
          <w:color w:val="A8871C"/>
          <w:sz w:val="19"/>
        </w:rPr>
        <w:t>연계 운영안 │ 기존 기관 역할과 앞의 자료를 바탕으로 만든 수업용 설계 예시</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2154"/>
        <w:gridCol w:w="2835"/>
        <w:gridCol w:w="4762"/>
      </w:tblGrid>
      <w:tr>
        <w:trPr>
          <w:tblHeader/>
          <w:cantSplit/>
        </w:trPr>
        <w:tc>
          <w:tcPr>
            <w:tcW w:type="dxa" w:w="2154"/>
            <w:shd w:fill="20285F"/>
            <w:vAlign w:val="center"/>
          </w:tcPr>
          <w:p>
            <w:pPr>
              <w:keepNext w:val="0"/>
              <w:widowControl/>
              <w:spacing w:after="60" w:before="20" w:line="283" w:lineRule="auto"/>
            </w:pPr>
            <w:r/>
            <w:r>
              <w:rPr>
                <w:rFonts w:ascii="Pretendard" w:hAnsi="Pretendard" w:eastAsia="Pretendard"/>
                <w:b/>
                <w:color w:val="FFFFFF"/>
                <w:sz w:val="19"/>
              </w:rPr>
              <w:t>연결지점</w:t>
            </w:r>
          </w:p>
        </w:tc>
        <w:tc>
          <w:tcPr>
            <w:tcW w:type="dxa" w:w="2835"/>
            <w:shd w:fill="20285F"/>
            <w:vAlign w:val="center"/>
          </w:tcPr>
          <w:p>
            <w:pPr>
              <w:keepNext w:val="0"/>
              <w:widowControl/>
              <w:spacing w:after="60" w:before="20" w:line="283" w:lineRule="auto"/>
            </w:pPr>
            <w:r/>
            <w:r>
              <w:rPr>
                <w:rFonts w:ascii="Pretendard" w:hAnsi="Pretendard" w:eastAsia="Pretendard"/>
                <w:b/>
                <w:color w:val="FFFFFF"/>
                <w:sz w:val="19"/>
              </w:rPr>
              <w:t>책임을 맡을 주체</w:t>
            </w:r>
          </w:p>
        </w:tc>
        <w:tc>
          <w:tcPr>
            <w:tcW w:type="dxa" w:w="4762"/>
            <w:shd w:fill="20285F"/>
            <w:vAlign w:val="center"/>
          </w:tcPr>
          <w:p>
            <w:pPr>
              <w:keepNext w:val="0"/>
              <w:widowControl/>
              <w:spacing w:after="60" w:before="20" w:line="283" w:lineRule="auto"/>
            </w:pPr>
            <w:r/>
            <w:r>
              <w:rPr>
                <w:rFonts w:ascii="Pretendard" w:hAnsi="Pretendard" w:eastAsia="Pretendard"/>
                <w:b/>
                <w:color w:val="FFFFFF"/>
                <w:sz w:val="19"/>
              </w:rPr>
              <w:t>무엇을 확인하나</w:t>
            </w:r>
          </w:p>
        </w:tc>
      </w:tr>
      <w:tr>
        <w:trPr>
          <w:cantSplit/>
        </w:trPr>
        <w:tc>
          <w:tcPr>
            <w:tcW w:type="dxa" w:w="2154"/>
            <w:vAlign w:val="center"/>
          </w:tcPr>
          <w:p>
            <w:pPr>
              <w:keepNext w:val="0"/>
              <w:widowControl/>
              <w:spacing w:after="60" w:before="20" w:line="283" w:lineRule="auto"/>
            </w:pPr>
            <w:r/>
            <w:r>
              <w:rPr>
                <w:rFonts w:ascii="Pretendard" w:hAnsi="Pretendard" w:eastAsia="Pretendard"/>
                <w:b w:val="0"/>
                <w:color w:val="28303E"/>
                <w:sz w:val="19"/>
              </w:rPr>
              <w:t>처분·의뢰 → 치료 시작</w:t>
            </w:r>
          </w:p>
        </w:tc>
        <w:tc>
          <w:tcPr>
            <w:tcW w:type="dxa" w:w="2835"/>
            <w:vAlign w:val="center"/>
          </w:tcPr>
          <w:p>
            <w:pPr>
              <w:keepNext w:val="0"/>
              <w:widowControl/>
              <w:spacing w:after="60" w:before="20" w:line="283" w:lineRule="auto"/>
            </w:pPr>
            <w:r/>
            <w:r>
              <w:rPr>
                <w:rFonts w:ascii="Pretendard" w:hAnsi="Pretendard" w:eastAsia="Pretendard"/>
                <w:b w:val="0"/>
                <w:color w:val="28303E"/>
                <w:sz w:val="19"/>
              </w:rPr>
              <w:t>지정된 사례담당자 ↔ 치료·재활기관</w:t>
            </w:r>
          </w:p>
        </w:tc>
        <w:tc>
          <w:tcPr>
            <w:tcW w:type="dxa" w:w="4762"/>
            <w:vAlign w:val="center"/>
          </w:tcPr>
          <w:p>
            <w:pPr>
              <w:keepNext w:val="0"/>
              <w:widowControl/>
              <w:spacing w:after="60" w:before="20" w:line="283" w:lineRule="auto"/>
            </w:pPr>
            <w:r/>
            <w:r>
              <w:rPr>
                <w:rFonts w:ascii="Pretendard" w:hAnsi="Pretendard" w:eastAsia="Pretendard"/>
                <w:b w:val="0"/>
                <w:color w:val="28303E"/>
                <w:sz w:val="19"/>
              </w:rPr>
              <w:t>수용 가능 여부·예약일·첫 방문. 미연결이면 사유를 확인하고 일정·기관을 다시 조정한다.</w:t>
            </w:r>
          </w:p>
        </w:tc>
      </w:tr>
      <w:tr>
        <w:trPr>
          <w:cantSplit/>
        </w:trPr>
        <w:tc>
          <w:tcPr>
            <w:tcW w:type="dxa" w:w="2154"/>
            <w:vAlign w:val="center"/>
            <w:shd w:fill="F8F9FB"/>
          </w:tcPr>
          <w:p>
            <w:pPr>
              <w:keepNext w:val="0"/>
              <w:widowControl/>
              <w:spacing w:after="60" w:before="20" w:line="283" w:lineRule="auto"/>
            </w:pPr>
            <w:r/>
            <w:r>
              <w:rPr>
                <w:rFonts w:ascii="Pretendard" w:hAnsi="Pretendard" w:eastAsia="Pretendard"/>
                <w:b w:val="0"/>
                <w:color w:val="28303E"/>
                <w:sz w:val="19"/>
              </w:rPr>
              <w:t>치료 중 참여 중단</w:t>
            </w:r>
          </w:p>
        </w:tc>
        <w:tc>
          <w:tcPr>
            <w:tcW w:type="dxa" w:w="2835"/>
            <w:vAlign w:val="center"/>
            <w:shd w:fill="F8F9FB"/>
          </w:tcPr>
          <w:p>
            <w:pPr>
              <w:keepNext w:val="0"/>
              <w:widowControl/>
              <w:spacing w:after="60" w:before="20" w:line="283" w:lineRule="auto"/>
            </w:pPr>
            <w:r/>
            <w:r>
              <w:rPr>
                <w:rFonts w:ascii="Pretendard" w:hAnsi="Pretendard" w:eastAsia="Pretendard"/>
                <w:b w:val="0"/>
                <w:color w:val="28303E"/>
                <w:sz w:val="19"/>
              </w:rPr>
              <w:t>치료팀 + 사례담당자</w:t>
            </w:r>
          </w:p>
          <w:p>
            <w:pPr>
              <w:keepNext w:val="0"/>
              <w:widowControl/>
              <w:spacing w:after="60" w:before="20" w:line="283" w:lineRule="auto"/>
            </w:pPr>
            <w:r>
              <w:rPr>
                <w:rFonts w:ascii="Pretendard" w:hAnsi="Pretendard" w:eastAsia="Pretendard"/>
                <w:b w:val="0"/>
                <w:color w:val="28303E"/>
                <w:sz w:val="19"/>
              </w:rPr>
              <w:t>법적 위반은 감독 주체</w:t>
            </w:r>
          </w:p>
        </w:tc>
        <w:tc>
          <w:tcPr>
            <w:tcW w:type="dxa" w:w="4762"/>
            <w:vAlign w:val="center"/>
            <w:shd w:fill="F8F9FB"/>
          </w:tcPr>
          <w:p>
            <w:pPr>
              <w:keepNext w:val="0"/>
              <w:widowControl/>
              <w:spacing w:after="60" w:before="20" w:line="283" w:lineRule="auto"/>
            </w:pPr>
            <w:r/>
            <w:r>
              <w:rPr>
                <w:rFonts w:ascii="Pretendard" w:hAnsi="Pretendard" w:eastAsia="Pretendard"/>
                <w:b w:val="0"/>
                <w:color w:val="28303E"/>
                <w:sz w:val="19"/>
              </w:rPr>
              <w:t>임상 변화·불이행·접근장벽 중 무엇인지 확인하고 대응을 기록한다.</w:t>
            </w:r>
          </w:p>
        </w:tc>
      </w:tr>
      <w:tr>
        <w:trPr>
          <w:cantSplit/>
        </w:trPr>
        <w:tc>
          <w:tcPr>
            <w:tcW w:type="dxa" w:w="2154"/>
            <w:vAlign w:val="center"/>
          </w:tcPr>
          <w:p>
            <w:pPr>
              <w:keepNext w:val="0"/>
              <w:widowControl/>
              <w:spacing w:after="60" w:before="20" w:line="283" w:lineRule="auto"/>
            </w:pPr>
            <w:r/>
            <w:r>
              <w:rPr>
                <w:rFonts w:ascii="Pretendard" w:hAnsi="Pretendard" w:eastAsia="Pretendard"/>
                <w:b w:val="0"/>
                <w:color w:val="28303E"/>
                <w:sz w:val="19"/>
              </w:rPr>
              <w:t>치료 종료 → 생활지원</w:t>
            </w:r>
          </w:p>
        </w:tc>
        <w:tc>
          <w:tcPr>
            <w:tcW w:type="dxa" w:w="2835"/>
            <w:vAlign w:val="center"/>
          </w:tcPr>
          <w:p>
            <w:pPr>
              <w:keepNext w:val="0"/>
              <w:widowControl/>
              <w:spacing w:after="60" w:before="20" w:line="283" w:lineRule="auto"/>
            </w:pPr>
            <w:r/>
            <w:r>
              <w:rPr>
                <w:rFonts w:ascii="Pretendard" w:hAnsi="Pretendard" w:eastAsia="Pretendard"/>
                <w:b w:val="0"/>
                <w:color w:val="28303E"/>
                <w:sz w:val="19"/>
              </w:rPr>
              <w:t>치료·재활기관 ↔ 청소년상담복지센터 등 사후 담당</w:t>
            </w:r>
          </w:p>
        </w:tc>
        <w:tc>
          <w:tcPr>
            <w:tcW w:type="dxa" w:w="4762"/>
            <w:vAlign w:val="center"/>
          </w:tcPr>
          <w:p>
            <w:pPr>
              <w:keepNext w:val="0"/>
              <w:widowControl/>
              <w:spacing w:after="60" w:before="20" w:line="283" w:lineRule="auto"/>
            </w:pPr>
            <w:r/>
            <w:r>
              <w:rPr>
                <w:rFonts w:ascii="Pretendard" w:hAnsi="Pretendard" w:eastAsia="Pretendard"/>
                <w:b w:val="0"/>
                <w:color w:val="28303E"/>
                <w:sz w:val="19"/>
              </w:rPr>
              <w:t>인수기관의 수락·첫 상담·재연락 창구. 법적 감독 종료와 자발적 지원 지속을 구분한다.</w:t>
            </w:r>
          </w:p>
        </w:tc>
      </w:tr>
    </w:tbl>
    <w:p>
      <w:pPr>
        <w:widowControl/>
        <w:spacing w:after="20"/>
      </w:pPr>
    </w:p>
    <w:p>
      <w:pPr>
        <w:pStyle w:val="Heading3"/>
        <w:widowControl/>
      </w:pPr>
      <w:r>
        <w:rPr>
          <w:rFonts w:ascii="Pretendard" w:hAnsi="Pretendard" w:eastAsia="Pretendard"/>
          <w:b w:val="0"/>
        </w:rPr>
        <w:t>정보공유의 범위</w:t>
      </w:r>
    </w:p>
    <w:p>
      <w:pPr>
        <w:widowControl/>
      </w:pPr>
      <w:r>
        <w:rPr>
          <w:rFonts w:ascii="Pretendard" w:hAnsi="Pretendard" w:eastAsia="Pretendard"/>
          <w:b w:val="0"/>
          <w:sz w:val="21"/>
        </w:rPr>
        <w:t>참여 확인에 필요한 정보와 상세 상담·진료정보를 구분한다.</w:t>
        <w:br/>
        <w:t>건강정보 처리는 별도 동의 또는 법령상 근거 등 요건을 확인한다(개인정보 보호법 제23조).</w:t>
      </w:r>
    </w:p>
    <w:p>
      <w:pPr>
        <w:pStyle w:val="Heading3"/>
        <w:widowControl/>
      </w:pPr>
      <w:r>
        <w:rPr>
          <w:rFonts w:ascii="Pretendard" w:hAnsi="Pretendard" w:eastAsia="Pretendard"/>
          <w:b w:val="0"/>
        </w:rPr>
        <w:t>하단 문장</w:t>
      </w:r>
    </w:p>
    <w:p>
      <w:pPr>
        <w:widowControl/>
      </w:pPr>
      <w:r>
        <w:rPr>
          <w:rFonts w:ascii="Pretendard" w:hAnsi="Pretendard" w:eastAsia="Pretendard"/>
          <w:b/>
          <w:color w:val="20285F"/>
          <w:sz w:val="21"/>
        </w:rPr>
        <w:t>대상·위반 대응·권한·실제 접근조건을 정리한 뒤, 제6장에서 두 우선순위의 논거와 최종 판단으로 돌아간다.</w:t>
      </w:r>
    </w:p>
    <w:p>
      <w:pPr>
        <w:pStyle w:val="Heading3"/>
        <w:widowControl/>
      </w:pPr>
      <w:r>
        <w:rPr>
          <w:rFonts w:ascii="Pretendard" w:hAnsi="Pretendard" w:eastAsia="Pretendard"/>
          <w:b w:val="0"/>
        </w:rPr>
        <w:t>배치 지시</w:t>
      </w:r>
    </w:p>
    <w:p>
      <w:pPr>
        <w:widowControl/>
      </w:pPr>
      <w:r>
        <w:rPr>
          <w:rFonts w:ascii="Pretendard" w:hAnsi="Pretendard" w:eastAsia="Pretendard"/>
          <w:b w:val="0"/>
          <w:color w:val="626C7B"/>
          <w:sz w:val="18"/>
        </w:rPr>
        <w:t>F: 연결지점 / 담당 주체 / 확인·대응의 3열 표. 기존 15쪽의 일반 과정도 대신 각 연결이 “완료되었다고 볼 기준”을 표에 적는다. 사례담당자는 모든 사건에 이미 법정 배치된 직위처럼 쓰지 말고 이 운영안에서 지정해야 할 역할로 표시한다.</w:t>
      </w:r>
    </w:p>
    <w:p>
      <w:pPr>
        <w:widowControl/>
      </w:pPr>
      <w:r>
        <w:rPr>
          <w:rFonts w:ascii="Pretendard" w:hAnsi="Pretendard" w:eastAsia="Pretendard"/>
          <w:b/>
          <w:color w:val="20285F"/>
          <w:sz w:val="19"/>
        </w:rPr>
        <w:t>다음 → 제6장 · 주요 논거와 최종 판단</w:t>
      </w:r>
    </w:p>
    <w:p>
      <w:pPr>
        <w:pStyle w:val="Caption"/>
        <w:widowControl/>
      </w:pPr>
      <w:r>
        <w:rPr>
          <w:rFonts w:ascii="Pretendard" w:hAnsi="Pretendard" w:eastAsia="Pretendard"/>
          <w:b w:val="0"/>
        </w:rPr>
        <w:t>화면 출처: 수업용 운영설계. 「2026년 마약류 관리 시행계획」의 기관 역할을 바탕으로 구성. OJJDP(2016) 5.4·6.1~6.2·7.3; 「개인정보 보호법」 제23조.</w:t>
      </w:r>
    </w:p>
    <w:p>
      <w:pPr>
        <w:widowControl/>
      </w:pPr>
      <w:r>
        <w:br w:type="page"/>
      </w:r>
    </w:p>
    <w:p>
      <w:pPr>
        <w:widowControl/>
        <w:spacing w:after="120"/>
      </w:pPr>
      <w:r>
        <w:rPr>
          <w:rFonts w:ascii="Pretendard" w:hAnsi="Pretendard" w:eastAsia="Pretendard"/>
          <w:b/>
          <w:color w:val="A8871C"/>
          <w:sz w:val="19"/>
        </w:rPr>
        <w:t>C5-09  /  대본·적용</w:t>
      </w:r>
    </w:p>
    <w:p>
      <w:pPr>
        <w:pStyle w:val="Heading1"/>
        <w:widowControl/>
      </w:pPr>
      <w:r>
        <w:rPr>
          <w:rFonts w:ascii="Pretendard" w:hAnsi="Pretendard" w:eastAsia="Pretendard"/>
          <w:b w:val="0"/>
        </w:rPr>
        <w:t>설명과 논제 연결</w:t>
      </w:r>
    </w:p>
    <w:p>
      <w:pPr>
        <w:widowControl/>
      </w:pPr>
      <w:r>
        <w:rPr>
          <w:rFonts w:ascii="Pretendard" w:hAnsi="Pretendard" w:eastAsia="Pretendard"/>
          <w:b w:val="0"/>
          <w:color w:val="626C7B"/>
          <w:sz w:val="19"/>
        </w:rPr>
        <w:t>치료 연계의 완료기준 — 예약·첫 방문·사후지원</w:t>
      </w:r>
    </w:p>
    <w:p>
      <w:pPr>
        <w:pStyle w:val="Heading2"/>
        <w:widowControl/>
      </w:pPr>
      <w:r>
        <w:rPr>
          <w:rFonts w:ascii="Pretendard" w:hAnsi="Pretendard" w:eastAsia="Pretendard"/>
          <w:b w:val="0"/>
        </w:rPr>
        <w:t>강의 대본</w:t>
      </w:r>
    </w:p>
    <w:p>
      <w:pPr>
        <w:widowControl/>
      </w:pPr>
      <w:r>
        <w:rPr>
          <w:rFonts w:ascii="Pretendard" w:hAnsi="Pretendard" w:eastAsia="Pretendard"/>
          <w:b w:val="0"/>
        </w:rPr>
        <w:t>마지막 화면은 새로운 효과연구가 아니라 앞에서 드러난 문제를 해결하기 위해 무엇을 정해야 하는지 정리한 운영안입니다. 제1장의 제도 설명을 다시 그리지 않고, 각 연결이 완료되었다고 볼 기준을 적었습니다. “기관에 의뢰했다”는 기록만으로 치료를 받았다고 처리하지 않는 것이 핵심입니다.</w:t>
      </w:r>
    </w:p>
    <w:p>
      <w:pPr>
        <w:widowControl/>
      </w:pPr>
      <w:r>
        <w:rPr>
          <w:rFonts w:ascii="Pretendard" w:hAnsi="Pretendard" w:eastAsia="Pretendard"/>
          <w:b w:val="0"/>
        </w:rPr>
        <w:t>치료 시작 단계에서는 기관의 수락과 실제 첫 방문이 확인되어야 합니다. 치료 중 중단되었다면 그 이유와 다시 연결할 담당이 남아 있어야 합니다. 종료 시점에는 후속기관에 이름을 넘기는 것뿐 아니라 그 기관이 인수를 받아 실제 첫 접촉을 했는지가 확인되어야 합니다. 이는 이 문서가 제안한 운영기준이지, 지금 모든 기관이 이미 같은 방식으로 이행하고 있다는 보고가 아닙니다.</w:t>
      </w:r>
    </w:p>
    <w:p>
      <w:pPr>
        <w:widowControl/>
      </w:pPr>
      <w:r>
        <w:rPr>
          <w:rFonts w:ascii="Pretendard" w:hAnsi="Pretendard" w:eastAsia="Pretendard"/>
          <w:b w:val="0"/>
        </w:rPr>
        <w:t>또한 연결을 촘촘하게 한다고 해서 모든 상담기록을 모든 기관이 공유해도 되는 것은 아닙니다. 건강정보 처리의 근거와 필요한 범위를 확인해야 하고, 법적 감독이 끝났다면 사후지원의 지속과 감독기간 연장을 같은 것으로 취급하지 않아야 합니다. 여기까지가 제5장의 역할입니다. 다음 제6장에서는 이 조건들이 치료·재활 우선과 형사처벌 우선의 논거에 어떤 무게를 주는지 정리하겠습니다.</w:t>
      </w:r>
    </w:p>
    <w:p>
      <w:pPr>
        <w:pStyle w:val="Heading2"/>
        <w:widowControl/>
      </w:pPr>
      <w:r>
        <w:rPr>
          <w:rFonts w:ascii="Pretendard" w:hAnsi="Pretendard" w:eastAsia="Pretendard"/>
          <w:b w:val="0"/>
        </w:rPr>
        <w:t>논제에서 판단할 내용</w:t>
      </w:r>
    </w:p>
    <w:p>
      <w:pPr>
        <w:widowControl/>
      </w:pPr>
      <w:r>
        <w:rPr>
          <w:rFonts w:ascii="Pretendard" w:hAnsi="Pretendard" w:eastAsia="Pretendard"/>
          <w:b w:val="0"/>
          <w:sz w:val="20"/>
        </w:rPr>
        <w:t>치료우선의 실행가능성: 대상자가 실제 치료를 시작하고 이후 지원까지 받을 조건이 마련되어 있는가.</w:t>
      </w:r>
    </w:p>
    <w:p>
      <w:pPr>
        <w:widowControl/>
      </w:pPr>
      <w:r>
        <w:rPr>
          <w:rFonts w:ascii="Pretendard" w:hAnsi="Pretendard" w:eastAsia="Pretendard"/>
          <w:b w:val="0"/>
          <w:sz w:val="20"/>
        </w:rPr>
        <w:t>권리·책임의 실행가능성: 필요한 참여 확인을 하면서 정보공유와 감독의 범위를 제한할 수 있는가.</w:t>
      </w:r>
    </w:p>
    <w:p>
      <w:pPr>
        <w:pStyle w:val="Heading2"/>
        <w:widowControl/>
      </w:pPr>
      <w:r>
        <w:rPr>
          <w:rFonts w:ascii="Pretendard" w:hAnsi="Pretendard" w:eastAsia="Pretendard"/>
          <w:b w:val="0"/>
        </w:rPr>
        <w:t>근거의 성격과 적용범위</w:t>
      </w:r>
    </w:p>
    <w:p>
      <w:pPr>
        <w:widowControl/>
      </w:pPr>
      <w:r>
        <w:rPr>
          <w:rFonts w:ascii="Pretendard" w:hAnsi="Pretendard" w:eastAsia="Pretendard"/>
          <w:b w:val="0"/>
          <w:color w:val="626C7B"/>
          <w:sz w:val="19"/>
        </w:rPr>
        <w:t>— 담당 배치·완료기준·재연결 방식은 수업용 정책설계이다. 기존 법령이 그대로 정한 전국 공통 의무표라고 설명하지 않는다.</w:t>
      </w:r>
    </w:p>
    <w:p>
      <w:pPr>
        <w:widowControl/>
      </w:pPr>
      <w:r>
        <w:rPr>
          <w:rFonts w:ascii="Pretendard" w:hAnsi="Pretendard" w:eastAsia="Pretendard"/>
          <w:b w:val="0"/>
          <w:color w:val="626C7B"/>
          <w:sz w:val="19"/>
        </w:rPr>
        <w:t>— 개인정보 보호법 제23조는 건강정보를 포함한 민감정보 규정이다. 실제 제공에는 제3자 제공·의료기록 관련 규정 등도 검토해야 한다. 제23조만으로 공유가 모두 허용된다고 쓰지 않는다.</w:t>
      </w:r>
    </w:p>
    <w:p>
      <w:pPr>
        <w:widowControl/>
      </w:pPr>
      <w:r>
        <w:rPr>
          <w:rFonts w:ascii="Pretendard" w:hAnsi="Pretendard" w:eastAsia="Pretendard"/>
          <w:b w:val="0"/>
          <w:color w:val="626C7B"/>
          <w:sz w:val="19"/>
        </w:rPr>
        <w:t>— 제6장의 입장별 논거표·공통 인정 지점·최종 판단 질문을 이 화면에 추가하지 않는다.</w:t>
      </w:r>
    </w:p>
    <w:p>
      <w:pPr>
        <w:pStyle w:val="Heading2"/>
        <w:widowControl/>
      </w:pPr>
      <w:r>
        <w:rPr>
          <w:rFonts w:ascii="Pretendard" w:hAnsi="Pretendard" w:eastAsia="Pretendard"/>
          <w:b w:val="0"/>
        </w:rPr>
        <w:t>중복 방지 · 다음 작업</w:t>
      </w:r>
    </w:p>
    <w:p>
      <w:pPr>
        <w:widowControl/>
      </w:pPr>
      <w:r>
        <w:rPr>
          <w:rFonts w:ascii="Pretendard" w:hAnsi="Pretendard" w:eastAsia="Pretendard"/>
          <w:b w:val="0"/>
          <w:sz w:val="20"/>
        </w:rPr>
        <w:t>v14 14~15쪽의 사후연계 소개를 실제 인수 확인과 책임 배정 문제로 진전시킨다. 제2장의 도움요청 실패 사례는 반복하지 않는다.</w:t>
      </w:r>
    </w:p>
    <w:p>
      <w:pPr>
        <w:pStyle w:val="Caption"/>
        <w:widowControl/>
      </w:pPr>
      <w:r>
        <w:rPr>
          <w:rFonts w:ascii="Pretendard" w:hAnsi="Pretendard" w:eastAsia="Pretendard"/>
          <w:b w:val="0"/>
        </w:rPr>
        <w:t>근거 위치: S0(v14), S1, S7. 운영안 자체는 이 문서의 설계 제안이다.</w:t>
      </w:r>
    </w:p>
    <w:p>
      <w:pPr>
        <w:widowControl/>
      </w:pPr>
      <w:r>
        <w:br w:type="page"/>
      </w:r>
    </w:p>
    <w:p>
      <w:pPr>
        <w:widowControl/>
        <w:spacing w:after="120"/>
      </w:pPr>
      <w:r>
        <w:rPr>
          <w:rFonts w:ascii="Pretendard" w:hAnsi="Pretendard" w:eastAsia="Pretendard"/>
          <w:b/>
          <w:color w:val="A8871C"/>
          <w:sz w:val="19"/>
        </w:rPr>
        <w:t>06  /  제6장으로 넘길 입력</w:t>
      </w:r>
    </w:p>
    <w:p>
      <w:pPr>
        <w:pStyle w:val="Heading1"/>
        <w:widowControl/>
      </w:pPr>
      <w:r>
        <w:rPr>
          <w:rFonts w:ascii="Pretendard" w:hAnsi="Pretendard" w:eastAsia="Pretendard"/>
          <w:b w:val="0"/>
        </w:rPr>
        <w:t>이 장은 운영조건까지 다루고 최종 판단은 넘긴다</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3685"/>
        <w:gridCol w:w="6066"/>
      </w:tblGrid>
      <w:tr>
        <w:trPr>
          <w:tblHeader/>
          <w:cantSplit/>
        </w:trPr>
        <w:tc>
          <w:tcPr>
            <w:tcW w:type="dxa" w:w="3685"/>
            <w:shd w:fill="20285F"/>
            <w:vAlign w:val="center"/>
          </w:tcPr>
          <w:p>
            <w:pPr>
              <w:keepNext w:val="0"/>
              <w:widowControl/>
              <w:spacing w:after="60" w:before="20" w:line="283" w:lineRule="auto"/>
            </w:pPr>
            <w:r/>
            <w:r>
              <w:rPr>
                <w:rFonts w:ascii="Pretendard" w:hAnsi="Pretendard" w:eastAsia="Pretendard"/>
                <w:b/>
                <w:color w:val="FFFFFF"/>
                <w:sz w:val="19"/>
              </w:rPr>
              <w:t>제5장에서 확보한 정보</w:t>
            </w:r>
          </w:p>
        </w:tc>
        <w:tc>
          <w:tcPr>
            <w:tcW w:type="dxa" w:w="6066"/>
            <w:shd w:fill="20285F"/>
            <w:vAlign w:val="center"/>
          </w:tcPr>
          <w:p>
            <w:pPr>
              <w:keepNext w:val="0"/>
              <w:widowControl/>
              <w:spacing w:after="60" w:before="20" w:line="283" w:lineRule="auto"/>
            </w:pPr>
            <w:r/>
            <w:r>
              <w:rPr>
                <w:rFonts w:ascii="Pretendard" w:hAnsi="Pretendard" w:eastAsia="Pretendard"/>
                <w:b/>
                <w:color w:val="FFFFFF"/>
                <w:sz w:val="19"/>
              </w:rPr>
              <w:t>제6장에 넘길 판단의 재료</w:t>
            </w:r>
          </w:p>
        </w:tc>
      </w:tr>
      <w:tr>
        <w:trPr>
          <w:cantSplit/>
        </w:trPr>
        <w:tc>
          <w:tcPr>
            <w:tcW w:type="dxa" w:w="3685"/>
            <w:vAlign w:val="center"/>
          </w:tcPr>
          <w:p>
            <w:pPr>
              <w:keepNext w:val="0"/>
              <w:widowControl/>
              <w:spacing w:after="60" w:before="20" w:line="283" w:lineRule="auto"/>
            </w:pPr>
            <w:r/>
            <w:r>
              <w:rPr>
                <w:rFonts w:ascii="Pretendard" w:hAnsi="Pretendard" w:eastAsia="Pretendard"/>
                <w:b w:val="0"/>
                <w:color w:val="28303E"/>
                <w:sz w:val="19"/>
              </w:rPr>
              <w:t>집중 법원치료의 선정기준</w:t>
            </w:r>
          </w:p>
        </w:tc>
        <w:tc>
          <w:tcPr>
            <w:tcW w:type="dxa" w:w="6066"/>
            <w:vAlign w:val="center"/>
          </w:tcPr>
          <w:p>
            <w:pPr>
              <w:keepNext w:val="0"/>
              <w:widowControl/>
              <w:spacing w:after="60" w:before="20" w:line="283" w:lineRule="auto"/>
            </w:pPr>
            <w:r/>
            <w:r>
              <w:rPr>
                <w:rFonts w:ascii="Pretendard" w:hAnsi="Pretendard" w:eastAsia="Pretendard"/>
                <w:b w:val="0"/>
                <w:color w:val="28303E"/>
                <w:sz w:val="19"/>
              </w:rPr>
              <w:t>치료 우선을 모든 사용자에게 적용할 것인지, 필요한 치료와 감독의 강도를 어떻게 구별할 것인지.</w:t>
            </w:r>
          </w:p>
        </w:tc>
      </w:tr>
      <w:tr>
        <w:trPr>
          <w:cantSplit/>
        </w:trPr>
        <w:tc>
          <w:tcPr>
            <w:tcW w:type="dxa" w:w="3685"/>
            <w:vAlign w:val="center"/>
            <w:shd w:fill="F8F9FB"/>
          </w:tcPr>
          <w:p>
            <w:pPr>
              <w:keepNext w:val="0"/>
              <w:widowControl/>
              <w:spacing w:after="60" w:before="20" w:line="283" w:lineRule="auto"/>
            </w:pPr>
            <w:r/>
            <w:r>
              <w:rPr>
                <w:rFonts w:ascii="Pretendard" w:hAnsi="Pretendard" w:eastAsia="Pretendard"/>
                <w:b w:val="0"/>
                <w:color w:val="28303E"/>
                <w:sz w:val="19"/>
              </w:rPr>
              <w:t>재사용·불이행·접근장벽의 구분</w:t>
            </w:r>
          </w:p>
        </w:tc>
        <w:tc>
          <w:tcPr>
            <w:tcW w:type="dxa" w:w="6066"/>
            <w:vAlign w:val="center"/>
            <w:shd w:fill="F8F9FB"/>
          </w:tcPr>
          <w:p>
            <w:pPr>
              <w:keepNext w:val="0"/>
              <w:widowControl/>
              <w:spacing w:after="60" w:before="20" w:line="283" w:lineRule="auto"/>
            </w:pPr>
            <w:r/>
            <w:r>
              <w:rPr>
                <w:rFonts w:ascii="Pretendard" w:hAnsi="Pretendard" w:eastAsia="Pretendard"/>
                <w:b w:val="0"/>
                <w:color w:val="28303E"/>
                <w:sz w:val="19"/>
              </w:rPr>
              <w:t>치료기회의 유지와 준수의무의 집행을 어떤 조건에서 조정할 것인지.</w:t>
            </w:r>
          </w:p>
        </w:tc>
      </w:tr>
      <w:tr>
        <w:trPr>
          <w:cantSplit/>
        </w:trPr>
        <w:tc>
          <w:tcPr>
            <w:tcW w:type="dxa" w:w="3685"/>
            <w:vAlign w:val="center"/>
          </w:tcPr>
          <w:p>
            <w:pPr>
              <w:keepNext w:val="0"/>
              <w:widowControl/>
              <w:spacing w:after="60" w:before="20" w:line="283" w:lineRule="auto"/>
            </w:pPr>
            <w:r/>
            <w:r>
              <w:rPr>
                <w:rFonts w:ascii="Pretendard" w:hAnsi="Pretendard" w:eastAsia="Pretendard"/>
                <w:b w:val="0"/>
                <w:color w:val="28303E"/>
                <w:sz w:val="19"/>
              </w:rPr>
              <w:t>국내 처분변경 및 외국 판례</w:t>
            </w:r>
          </w:p>
        </w:tc>
        <w:tc>
          <w:tcPr>
            <w:tcW w:type="dxa" w:w="6066"/>
            <w:vAlign w:val="center"/>
          </w:tcPr>
          <w:p>
            <w:pPr>
              <w:keepNext w:val="0"/>
              <w:widowControl/>
              <w:spacing w:after="60" w:before="20" w:line="283" w:lineRule="auto"/>
            </w:pPr>
            <w:r/>
            <w:r>
              <w:rPr>
                <w:rFonts w:ascii="Pretendard" w:hAnsi="Pretendard" w:eastAsia="Pretendard"/>
                <w:b w:val="0"/>
                <w:color w:val="28303E"/>
                <w:sz w:val="19"/>
              </w:rPr>
              <w:t>감독의 실효성뿐 아니라 제재권한·절차·동의를 갖춘 경로인지.</w:t>
            </w:r>
          </w:p>
        </w:tc>
      </w:tr>
      <w:tr>
        <w:trPr>
          <w:cantSplit/>
        </w:trPr>
        <w:tc>
          <w:tcPr>
            <w:tcW w:type="dxa" w:w="3685"/>
            <w:vAlign w:val="center"/>
            <w:shd w:fill="F8F9FB"/>
          </w:tcPr>
          <w:p>
            <w:pPr>
              <w:keepNext w:val="0"/>
              <w:widowControl/>
              <w:spacing w:after="60" w:before="20" w:line="283" w:lineRule="auto"/>
            </w:pPr>
            <w:r/>
            <w:r>
              <w:rPr>
                <w:rFonts w:ascii="Pretendard" w:hAnsi="Pretendard" w:eastAsia="Pretendard"/>
                <w:b w:val="0"/>
                <w:color w:val="28303E"/>
                <w:sz w:val="19"/>
              </w:rPr>
              <w:t>배정과 실제 참여·완수의 차이</w:t>
            </w:r>
          </w:p>
        </w:tc>
        <w:tc>
          <w:tcPr>
            <w:tcW w:type="dxa" w:w="6066"/>
            <w:vAlign w:val="center"/>
            <w:shd w:fill="F8F9FB"/>
          </w:tcPr>
          <w:p>
            <w:pPr>
              <w:keepNext w:val="0"/>
              <w:widowControl/>
              <w:spacing w:after="60" w:before="20" w:line="283" w:lineRule="auto"/>
            </w:pPr>
            <w:r/>
            <w:r>
              <w:rPr>
                <w:rFonts w:ascii="Pretendard" w:hAnsi="Pretendard" w:eastAsia="Pretendard"/>
                <w:b w:val="0"/>
                <w:color w:val="28303E"/>
                <w:sz w:val="19"/>
              </w:rPr>
              <w:t>명목상 제공이 아니라 실제로 받은 개입을 정책 성과의 근거로 삼을 수 있는지.</w:t>
            </w:r>
          </w:p>
        </w:tc>
      </w:tr>
      <w:tr>
        <w:trPr>
          <w:cantSplit/>
        </w:trPr>
        <w:tc>
          <w:tcPr>
            <w:tcW w:type="dxa" w:w="3685"/>
            <w:vAlign w:val="center"/>
          </w:tcPr>
          <w:p>
            <w:pPr>
              <w:keepNext w:val="0"/>
              <w:widowControl/>
              <w:spacing w:after="60" w:before="20" w:line="283" w:lineRule="auto"/>
            </w:pPr>
            <w:r/>
            <w:r>
              <w:rPr>
                <w:rFonts w:ascii="Pretendard" w:hAnsi="Pretendard" w:eastAsia="Pretendard"/>
                <w:b w:val="0"/>
                <w:color w:val="28303E"/>
                <w:sz w:val="19"/>
              </w:rPr>
              <w:t>당일 입소·대기·실제 연결</w:t>
            </w:r>
          </w:p>
        </w:tc>
        <w:tc>
          <w:tcPr>
            <w:tcW w:type="dxa" w:w="6066"/>
            <w:vAlign w:val="center"/>
          </w:tcPr>
          <w:p>
            <w:pPr>
              <w:keepNext w:val="0"/>
              <w:widowControl/>
              <w:spacing w:after="60" w:before="20" w:line="283" w:lineRule="auto"/>
            </w:pPr>
            <w:r/>
            <w:r>
              <w:rPr>
                <w:rFonts w:ascii="Pretendard" w:hAnsi="Pretendard" w:eastAsia="Pretendard"/>
                <w:b w:val="0"/>
                <w:color w:val="28303E"/>
                <w:sz w:val="19"/>
              </w:rPr>
              <w:t>치료를 필요할 때 시작할 수 있는지, 대기와 기관전환의 책임이 정해져 있는지.</w:t>
            </w:r>
          </w:p>
        </w:tc>
      </w:tr>
      <w:tr>
        <w:trPr>
          <w:cantSplit/>
        </w:trPr>
        <w:tc>
          <w:tcPr>
            <w:tcW w:type="dxa" w:w="3685"/>
            <w:vAlign w:val="center"/>
            <w:shd w:fill="F8F9FB"/>
          </w:tcPr>
          <w:p>
            <w:pPr>
              <w:keepNext w:val="0"/>
              <w:widowControl/>
              <w:spacing w:after="60" w:before="20" w:line="283" w:lineRule="auto"/>
            </w:pPr>
            <w:r/>
            <w:r>
              <w:rPr>
                <w:rFonts w:ascii="Pretendard" w:hAnsi="Pretendard" w:eastAsia="Pretendard"/>
                <w:b w:val="0"/>
                <w:color w:val="28303E"/>
                <w:sz w:val="19"/>
              </w:rPr>
              <w:t>정보공유의 법적 범위</w:t>
            </w:r>
          </w:p>
        </w:tc>
        <w:tc>
          <w:tcPr>
            <w:tcW w:type="dxa" w:w="6066"/>
            <w:vAlign w:val="center"/>
            <w:shd w:fill="F8F9FB"/>
          </w:tcPr>
          <w:p>
            <w:pPr>
              <w:keepNext w:val="0"/>
              <w:widowControl/>
              <w:spacing w:after="60" w:before="20" w:line="283" w:lineRule="auto"/>
            </w:pPr>
            <w:r/>
            <w:r>
              <w:rPr>
                <w:rFonts w:ascii="Pretendard" w:hAnsi="Pretendard" w:eastAsia="Pretendard"/>
                <w:b w:val="0"/>
                <w:color w:val="28303E"/>
                <w:sz w:val="19"/>
              </w:rPr>
              <w:t>참여 확인을 위한 정보와 상세 건강정보를 구분하고 적법하게 처리할 수 있는지.</w:t>
            </w:r>
          </w:p>
        </w:tc>
      </w:tr>
    </w:tbl>
    <w:p>
      <w:pPr>
        <w:widowControl/>
        <w:spacing w:after="20"/>
      </w:pPr>
    </w:p>
    <w:p>
      <w:pPr>
        <w:pStyle w:val="Heading2"/>
        <w:widowControl/>
      </w:pPr>
      <w:r>
        <w:rPr>
          <w:rFonts w:ascii="Pretendard" w:hAnsi="Pretendard" w:eastAsia="Pretendard"/>
          <w:b w:val="0"/>
        </w:rPr>
        <w:t>확정할 연결 대본</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제5장 → 제6장</w:t>
            </w:r>
          </w:p>
          <w:p>
            <w:pPr>
              <w:keepNext w:val="0"/>
              <w:widowControl/>
              <w:spacing w:after="60" w:before="20" w:line="283" w:lineRule="auto"/>
            </w:pPr>
            <w:r>
              <w:rPr>
                <w:rFonts w:ascii="Pretendard" w:hAnsi="Pretendard" w:eastAsia="Pretendard"/>
                <w:b w:val="0"/>
                <w:color w:val="28303E"/>
                <w:sz w:val="21"/>
              </w:rPr>
              <w:t>“치료·재활을 우선한다는 말이 실제 정책이 되려면 대상 선정, 준수의무 위반에 대한 대응, 감독의 법적 근거, 실제 치료 접근과 연결까지 정해져야 한다는 점을 살펴봤습니다. 이제 이 조건들이 앞에서 본 효과와 청소년의 특성과 함께 어떤 논거가 되는지, 무엇을 두고 최종 판단이 달라지는지 정리하겠습니다.”</w:t>
            </w:r>
          </w:p>
        </w:tc>
      </w:tr>
    </w:tbl>
    <w:p>
      <w:pPr>
        <w:widowControl/>
        <w:spacing w:after="0"/>
      </w:pPr>
    </w:p>
    <w:p>
      <w:pPr>
        <w:pStyle w:val="Heading2"/>
        <w:widowControl/>
      </w:pPr>
      <w:r>
        <w:rPr>
          <w:rFonts w:ascii="Pretendard" w:hAnsi="Pretendard" w:eastAsia="Pretendard"/>
          <w:b w:val="0"/>
        </w:rPr>
        <w:t>제6장에서 다룰 것을 여기서 미리 결론내리지 않는다</w:t>
      </w:r>
    </w:p>
    <w:p>
      <w:pPr>
        <w:widowControl/>
      </w:pPr>
      <w:r>
        <w:rPr>
          <w:rFonts w:ascii="Pretendard" w:hAnsi="Pretendard" w:eastAsia="Pretendard"/>
          <w:b w:val="0"/>
        </w:rPr>
        <w:t>본편이 제공한 조건은 치료·재활 우선의 가능성과 한계를 판단할 재료이다. 이 조건을 충족하면 반드시 치료를 우선해야 한다거나, 조건이 미흡하면 반드시 형사처벌을 우선해야 한다는 결론은 이 자료들만으로 도출하지 않는다. 제6장에서는 효과·책임·권리·실행가능성의 논거를 함께 검토한다.</w:t>
      </w:r>
    </w:p>
    <w:p>
      <w:pPr>
        <w:widowControl/>
      </w:pPr>
      <w:r>
        <w:br w:type="page"/>
      </w:r>
    </w:p>
    <w:p>
      <w:pPr>
        <w:widowControl/>
        <w:spacing w:after="120"/>
      </w:pPr>
      <w:r>
        <w:rPr>
          <w:rFonts w:ascii="Pretendard" w:hAnsi="Pretendard" w:eastAsia="Pretendard"/>
          <w:b/>
          <w:color w:val="A8871C"/>
          <w:sz w:val="19"/>
        </w:rPr>
        <w:t>부록 A-1  /  법령 대조</w:t>
      </w:r>
    </w:p>
    <w:p>
      <w:pPr>
        <w:pStyle w:val="Heading1"/>
        <w:widowControl/>
      </w:pPr>
      <w:r>
        <w:rPr>
          <w:rFonts w:ascii="Pretendard" w:hAnsi="Pretendard" w:eastAsia="Pretendard"/>
          <w:b w:val="0"/>
        </w:rPr>
        <w:t>국내 처분변경의 조문 원문</w:t>
      </w:r>
    </w:p>
    <w:p>
      <w:pPr>
        <w:widowControl/>
      </w:pPr>
      <w:r>
        <w:rPr>
          <w:rFonts w:ascii="Pretendard" w:hAnsi="Pretendard" w:eastAsia="Pretendard"/>
          <w:b w:val="0"/>
          <w:color w:val="626C7B"/>
          <w:sz w:val="19"/>
        </w:rPr>
        <w:t>기준: 2026.9.19. 현재 확인한 시행본. 다음은 실제 조문이다. 화면에서는 필요한 부분을 발췌하고, 생략한 곳에 …를 둔다.</w:t>
      </w:r>
    </w:p>
    <w:p>
      <w:pPr>
        <w:pStyle w:val="Heading2"/>
        <w:widowControl/>
      </w:pPr>
      <w:r>
        <w:rPr>
          <w:rFonts w:ascii="Pretendard" w:hAnsi="Pretendard" w:eastAsia="Pretendard"/>
          <w:b w:val="0"/>
        </w:rPr>
        <w:t>「보호관찰 등에 관한 법률」 제49조</w:t>
      </w:r>
    </w:p>
    <w:p>
      <w:pPr>
        <w:widowControl/>
      </w:pPr>
      <w:r>
        <w:rPr>
          <w:rFonts w:ascii="Pretendard" w:hAnsi="Pretendard" w:eastAsia="Pretendard"/>
          <w:b/>
        </w:rPr>
        <w:t>제49조(보호처분의 변경)</w:t>
      </w:r>
      <w:r>
        <w:rPr>
          <w:rFonts w:ascii="Pretendard" w:hAnsi="Pretendard" w:eastAsia="Pretendard"/>
          <w:b w:val="0"/>
        </w:rPr>
        <w:t xml:space="preserve"> ① 보호관찰소의 장은 「소년법」 제32조제1항제4호 또는 제5호의 보호처분에 따라 보호관찰을 받고 있는 사람이 보호관찰 기간 중 제32조의 준수사항을 위반하고 그 정도가 무거워 보호관찰을 계속하기 적절하지 아니하다고 판단되면 보호관찰소 소재지를 관할하는 법원에 보호처분의 변경을 신청할 수 있다.</w:t>
      </w:r>
    </w:p>
    <w:p>
      <w:pPr>
        <w:widowControl/>
      </w:pPr>
      <w:r>
        <w:rPr>
          <w:rFonts w:ascii="Pretendard" w:hAnsi="Pretendard" w:eastAsia="Pretendard"/>
          <w:b w:val="0"/>
        </w:rPr>
        <w:t>② 제1항에 따른 보호처분의 변경을 할 경우 신청대상자가 19세 이상인 경우에도 「소년법」 제2조 및 제38조제1항에도 불구하고 같은 법 제2장의 보호사건 규정을 적용한다.</w:t>
      </w:r>
    </w:p>
    <w:p>
      <w:pPr>
        <w:pStyle w:val="Caption"/>
        <w:widowControl/>
      </w:pPr>
      <w:r>
        <w:rPr>
          <w:rFonts w:ascii="Pretendard" w:hAnsi="Pretendard" w:eastAsia="Pretendard"/>
          <w:b w:val="0"/>
        </w:rPr>
        <w:t>[전문개정 2009. 5. 28.] · 확인 시행본: 2026.2.1., 법률 제20751호.</w:t>
      </w:r>
    </w:p>
    <w:p>
      <w:pPr>
        <w:pStyle w:val="Heading2"/>
        <w:widowControl/>
      </w:pPr>
      <w:r>
        <w:rPr>
          <w:rFonts w:ascii="Pretendard" w:hAnsi="Pretendard" w:eastAsia="Pretendard"/>
          <w:b w:val="0"/>
        </w:rPr>
        <w:t>「소년법」 제37조</w:t>
      </w:r>
    </w:p>
    <w:p>
      <w:pPr>
        <w:widowControl/>
      </w:pPr>
      <w:r>
        <w:rPr>
          <w:rFonts w:ascii="Pretendard" w:hAnsi="Pretendard" w:eastAsia="Pretendard"/>
          <w:b/>
        </w:rPr>
        <w:t>제37조(처분의 변경)</w:t>
      </w:r>
      <w:r>
        <w:rPr>
          <w:rFonts w:ascii="Pretendard" w:hAnsi="Pretendard" w:eastAsia="Pretendard"/>
          <w:b w:val="0"/>
        </w:rPr>
        <w:t xml:space="preserve"> ① 소년부 판사는 위탁받은 자나 보호처분을 집행하는 자의 신청에 따라 결정으로써 제32조의 보호처분과 제32조의2의 부가처분을 변경할 수 있다. 다만, 제32조제1항제1호ㆍ제6호ㆍ제7호의 보호처분과 제32조의2제1항의 부가처분은 직권으로 변경할 수 있다.</w:t>
      </w:r>
    </w:p>
    <w:p>
      <w:pPr>
        <w:widowControl/>
      </w:pPr>
      <w:r>
        <w:rPr>
          <w:rFonts w:ascii="Pretendard" w:hAnsi="Pretendard" w:eastAsia="Pretendard"/>
          <w:b w:val="0"/>
        </w:rPr>
        <w:t>② 제1항에 따른 결정을 집행할 때에는 제35조를 준용한다.</w:t>
      </w:r>
    </w:p>
    <w:p>
      <w:pPr>
        <w:widowControl/>
      </w:pPr>
      <w:r>
        <w:rPr>
          <w:rFonts w:ascii="Pretendard" w:hAnsi="Pretendard" w:eastAsia="Pretendard"/>
          <w:b w:val="0"/>
        </w:rPr>
        <w:t>③ 제1항의 결정은 지체 없이 사건 본인과 보호자에게 알리고 그 취지를 위탁받은 자나 보호처분을 집행하는 자에게 알려야 한다.</w:t>
      </w:r>
    </w:p>
    <w:p>
      <w:pPr>
        <w:pStyle w:val="Caption"/>
        <w:widowControl/>
      </w:pPr>
      <w:r>
        <w:rPr>
          <w:rFonts w:ascii="Pretendard" w:hAnsi="Pretendard" w:eastAsia="Pretendard"/>
          <w:b w:val="0"/>
        </w:rPr>
        <w:t>[전문개정 2007. 12. 21.] · 확인 시행본: 2021.4.21., 법률 제17505호.</w:t>
      </w:r>
    </w:p>
    <w:p>
      <w:pPr>
        <w:pStyle w:val="Heading2"/>
        <w:widowControl/>
      </w:pPr>
      <w:r>
        <w:rPr>
          <w:rFonts w:ascii="Pretendard" w:hAnsi="Pretendard" w:eastAsia="Pretendard"/>
          <w:b w:val="0"/>
        </w:rPr>
        <w:t>적용 메모</w:t>
      </w:r>
    </w:p>
    <w:p>
      <w:pPr>
        <w:widowControl/>
      </w:pPr>
      <w:r>
        <w:rPr>
          <w:rFonts w:ascii="Pretendard" w:hAnsi="Pretendard" w:eastAsia="Pretendard"/>
          <w:b w:val="0"/>
          <w:sz w:val="20"/>
        </w:rPr>
        <w:t>보호관찰법 제49조의 신청 경로를 설명하되 소년법 제37조의 다른 변경 가능성을 지우지 않는다. 조건부 기소유예 취소, 집행유예 취소, 새로운 투약행위의 형사사건은 각각 다른 법적 문제이다. 한 조문으로 모든 경로의 제재를 설명하지 않는다.</w:t>
      </w:r>
    </w:p>
    <w:p>
      <w:pPr>
        <w:widowControl/>
      </w:pPr>
      <w:r>
        <w:br w:type="page"/>
      </w:r>
    </w:p>
    <w:p>
      <w:pPr>
        <w:widowControl/>
        <w:spacing w:after="120"/>
      </w:pPr>
      <w:r>
        <w:rPr>
          <w:rFonts w:ascii="Pretendard" w:hAnsi="Pretendard" w:eastAsia="Pretendard"/>
          <w:b/>
          <w:color w:val="A8871C"/>
          <w:sz w:val="19"/>
        </w:rPr>
        <w:t>부록 A-2  /  조사·정보</w:t>
      </w:r>
    </w:p>
    <w:p>
      <w:pPr>
        <w:pStyle w:val="Heading1"/>
        <w:widowControl/>
      </w:pPr>
      <w:r>
        <w:rPr>
          <w:rFonts w:ascii="Pretendard" w:hAnsi="Pretendard" w:eastAsia="Pretendard"/>
          <w:b w:val="0"/>
        </w:rPr>
        <w:t>개별 처분 결정과 건강정보 처리의 법적 근거</w:t>
      </w:r>
    </w:p>
    <w:p>
      <w:pPr>
        <w:pStyle w:val="Heading2"/>
        <w:widowControl/>
      </w:pPr>
      <w:r>
        <w:rPr>
          <w:rFonts w:ascii="Pretendard" w:hAnsi="Pretendard" w:eastAsia="Pretendard"/>
          <w:b w:val="0"/>
        </w:rPr>
        <w:t>「소년법」 제49조의2</w:t>
      </w:r>
    </w:p>
    <w:p>
      <w:pPr>
        <w:widowControl/>
      </w:pPr>
      <w:r>
        <w:rPr>
          <w:rFonts w:ascii="Pretendard" w:hAnsi="Pretendard" w:eastAsia="Pretendard"/>
          <w:b/>
        </w:rPr>
        <w:t>제49조의2(검사의 결정 전 조사)</w:t>
      </w:r>
      <w:r>
        <w:rPr>
          <w:rFonts w:ascii="Pretendard" w:hAnsi="Pretendard" w:eastAsia="Pretendard"/>
          <w:b w:val="0"/>
        </w:rPr>
        <w:t xml:space="preserve"> ① 검사는 소년 피의사건에 대하여 소년부 송치, 공소제기, 기소유예 등의 처분을 결정하기 위하여 필요하다고 인정하면 피의자의 주거지 또는 검찰청 소재지를 관할하는 보호관찰소의 장, 소년분류심사원장 또는 소년원장(이하 “보호관찰소장등”이라 한다)에게 피의자의 품행, 경력, 생활환경이나 그 밖에 필요한 사항에 관한 조사를 요구할 수 있다.</w:t>
      </w:r>
    </w:p>
    <w:p>
      <w:pPr>
        <w:widowControl/>
      </w:pPr>
      <w:r>
        <w:rPr>
          <w:rFonts w:ascii="Pretendard" w:hAnsi="Pretendard" w:eastAsia="Pretendard"/>
          <w:b w:val="0"/>
        </w:rPr>
        <w:t>② 제1항의 요구를 받은 보호관찰소장등은 지체 없이 이를 조사하여 서면으로 해당 검사에게 통보하여야 하며, 조사를 위하여 필요한 경우에는 소속 보호관찰관ㆍ분류심사관 등에게 피의자 또는 관계인을 출석하게 하여 진술요구를 하는 등의 방법으로 필요한 사항을 조사하게 할 수 있다.</w:t>
      </w:r>
    </w:p>
    <w:p>
      <w:pPr>
        <w:widowControl/>
      </w:pPr>
      <w:r>
        <w:rPr>
          <w:rFonts w:ascii="Pretendard" w:hAnsi="Pretendard" w:eastAsia="Pretendard"/>
          <w:b w:val="0"/>
        </w:rPr>
        <w:t>③ 제2항에 따른 조사를 할 때에는 미리 피의자 또는 관계인에게 조사의 취지를 설명하여야 하고, 피의자 또는 관계인의 인권을 존중하며, 직무상 비밀을 엄수하여야 한다.</w:t>
      </w:r>
    </w:p>
    <w:p>
      <w:pPr>
        <w:widowControl/>
      </w:pPr>
      <w:r>
        <w:rPr>
          <w:rFonts w:ascii="Pretendard" w:hAnsi="Pretendard" w:eastAsia="Pretendard"/>
          <w:b w:val="0"/>
        </w:rPr>
        <w:t>④ 검사는 보호관찰소장등으로부터 통보받은 조사 결과를 참고하여 소년피의자를 교화ㆍ개선하는 데에 가장 적합한 처분을 결정하여야 한다.</w:t>
      </w:r>
    </w:p>
    <w:p>
      <w:pPr>
        <w:pStyle w:val="Caption"/>
        <w:widowControl/>
      </w:pPr>
      <w:r>
        <w:rPr>
          <w:rFonts w:ascii="Pretendard" w:hAnsi="Pretendard" w:eastAsia="Pretendard"/>
          <w:b w:val="0"/>
        </w:rPr>
        <w:t>확인 시행본: 2021.4.21. · 미국 JDTC 선정기준을 국내 법정기준으로 바꾸는 근거가 아니라 개별 처분을 위한 조사 근거이다.</w:t>
      </w:r>
    </w:p>
    <w:p>
      <w:pPr>
        <w:pStyle w:val="Heading2"/>
        <w:widowControl/>
      </w:pPr>
      <w:r>
        <w:rPr>
          <w:rFonts w:ascii="Pretendard" w:hAnsi="Pretendard" w:eastAsia="Pretendard"/>
          <w:b w:val="0"/>
        </w:rPr>
        <w:t>「개인정보 보호법」 제23조 제1항</w:t>
      </w:r>
    </w:p>
    <w:p>
      <w:pPr>
        <w:widowControl/>
      </w:pPr>
      <w:r>
        <w:rPr>
          <w:rFonts w:ascii="Pretendard" w:hAnsi="Pretendard" w:eastAsia="Pretendard"/>
          <w:b/>
        </w:rPr>
        <w:t>제23조(민감정보의 처리 제한)</w:t>
      </w:r>
      <w:r>
        <w:rPr>
          <w:rFonts w:ascii="Pretendard" w:hAnsi="Pretendard" w:eastAsia="Pretendard"/>
          <w:b w:val="0"/>
        </w:rPr>
        <w:t xml:space="preserve"> ① 개인정보처리자는 사상ㆍ신념, 노동조합ㆍ정당의 가입ㆍ탈퇴, 정치적 견해, 건강, 성생활 등에 관한 정보, 그 밖에 정보주체의 사생활을 현저히 침해할 우려가 있는 개인정보로서 대통령령으로 정하는 정보(이하 “민감정보”라 한다)를 처리하여서는 아니 된다. 다만, 다음 각 호의 어느 하나에 해당하는 경우에는 그러하지 아니하다.</w:t>
      </w:r>
    </w:p>
    <w:p>
      <w:pPr>
        <w:widowControl/>
      </w:pPr>
      <w:r>
        <w:rPr>
          <w:rFonts w:ascii="Pretendard" w:hAnsi="Pretendard" w:eastAsia="Pretendard"/>
          <w:b w:val="0"/>
        </w:rPr>
        <w:t>1. 정보주체에게 제15조제2항 각 호 또는 제17조제2항 각 호의 사항을 알리고 다른 개인정보의 처리에 대한 동의와 별도로 동의를 받은 경우</w:t>
        <w:br/>
        <w:t>2. 법령에서 민감정보의 처리를 요구하거나 허용하는 경우</w:t>
      </w:r>
    </w:p>
    <w:p>
      <w:pPr>
        <w:pStyle w:val="Caption"/>
        <w:widowControl/>
      </w:pPr>
      <w:r>
        <w:rPr>
          <w:rFonts w:ascii="Pretendard" w:hAnsi="Pretendard" w:eastAsia="Pretendard"/>
          <w:b w:val="0"/>
        </w:rPr>
        <w:t>확인 시행본: 2026.9.11., 법률 제21445호. 실제 기관 간 제공에는 제3자 제공·의료기록 등 적용 규정을 함께 확인한다.</w:t>
      </w:r>
    </w:p>
    <w:p>
      <w:pPr>
        <w:widowControl/>
      </w:pPr>
      <w:r>
        <w:br w:type="page"/>
      </w:r>
    </w:p>
    <w:p>
      <w:pPr>
        <w:widowControl/>
        <w:spacing w:after="120"/>
      </w:pPr>
      <w:r>
        <w:rPr>
          <w:rFonts w:ascii="Pretendard" w:hAnsi="Pretendard" w:eastAsia="Pretendard"/>
          <w:b/>
          <w:color w:val="A8871C"/>
          <w:sz w:val="19"/>
        </w:rPr>
        <w:t>부록 B  /  수치와 표현</w:t>
      </w:r>
    </w:p>
    <w:p>
      <w:pPr>
        <w:pStyle w:val="Heading1"/>
        <w:widowControl/>
      </w:pPr>
      <w:r>
        <w:rPr>
          <w:rFonts w:ascii="Pretendard" w:hAnsi="Pretendard" w:eastAsia="Pretendard"/>
          <w:b w:val="0"/>
        </w:rPr>
        <w:t>사용할 수치·분모·결과지표의 검수표</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2381"/>
        <w:gridCol w:w="3855"/>
        <w:gridCol w:w="3515"/>
      </w:tblGrid>
      <w:tr>
        <w:trPr>
          <w:tblHeader/>
          <w:cantSplit/>
        </w:trPr>
        <w:tc>
          <w:tcPr>
            <w:tcW w:type="dxa" w:w="2381"/>
            <w:shd w:fill="20285F"/>
            <w:vAlign w:val="center"/>
          </w:tcPr>
          <w:p>
            <w:pPr>
              <w:keepNext w:val="0"/>
              <w:widowControl/>
              <w:spacing w:after="60" w:before="20" w:line="283" w:lineRule="auto"/>
            </w:pPr>
            <w:r/>
            <w:r>
              <w:rPr>
                <w:rFonts w:ascii="Pretendard" w:hAnsi="Pretendard" w:eastAsia="Pretendard"/>
                <w:b/>
                <w:color w:val="FFFFFF"/>
                <w:sz w:val="19"/>
              </w:rPr>
              <w:t>표시</w:t>
            </w:r>
          </w:p>
        </w:tc>
        <w:tc>
          <w:tcPr>
            <w:tcW w:type="dxa" w:w="3855"/>
            <w:shd w:fill="20285F"/>
            <w:vAlign w:val="center"/>
          </w:tcPr>
          <w:p>
            <w:pPr>
              <w:keepNext w:val="0"/>
              <w:widowControl/>
              <w:spacing w:after="60" w:before="20" w:line="283" w:lineRule="auto"/>
            </w:pPr>
            <w:r/>
            <w:r>
              <w:rPr>
                <w:rFonts w:ascii="Pretendard" w:hAnsi="Pretendard" w:eastAsia="Pretendard"/>
                <w:b/>
                <w:color w:val="FFFFFF"/>
                <w:sz w:val="19"/>
              </w:rPr>
              <w:t>실제 의미</w:t>
            </w:r>
          </w:p>
        </w:tc>
        <w:tc>
          <w:tcPr>
            <w:tcW w:type="dxa" w:w="3515"/>
            <w:shd w:fill="20285F"/>
            <w:vAlign w:val="center"/>
          </w:tcPr>
          <w:p>
            <w:pPr>
              <w:keepNext w:val="0"/>
              <w:widowControl/>
              <w:spacing w:after="60" w:before="20" w:line="283" w:lineRule="auto"/>
            </w:pPr>
            <w:r/>
            <w:r>
              <w:rPr>
                <w:rFonts w:ascii="Pretendard" w:hAnsi="Pretendard" w:eastAsia="Pretendard"/>
                <w:b/>
                <w:color w:val="FFFFFF"/>
                <w:sz w:val="19"/>
              </w:rPr>
              <w:t>사용하지 않을 표현</w:t>
            </w:r>
          </w:p>
        </w:tc>
      </w:tr>
      <w:tr>
        <w:trPr>
          <w:cantSplit/>
        </w:trPr>
        <w:tc>
          <w:tcPr>
            <w:tcW w:type="dxa" w:w="2381"/>
            <w:vAlign w:val="center"/>
          </w:tcPr>
          <w:p>
            <w:pPr>
              <w:keepNext w:val="0"/>
              <w:widowControl/>
              <w:spacing w:after="60" w:before="20" w:line="283" w:lineRule="auto"/>
            </w:pPr>
            <w:r/>
            <w:r>
              <w:rPr>
                <w:rFonts w:ascii="Pretendard" w:hAnsi="Pretendard" w:eastAsia="Pretendard"/>
                <w:b w:val="0"/>
                <w:color w:val="28303E"/>
                <w:sz w:val="19"/>
              </w:rPr>
              <w:t>RISKIT 505명</w:t>
            </w:r>
          </w:p>
        </w:tc>
        <w:tc>
          <w:tcPr>
            <w:tcW w:type="dxa" w:w="3855"/>
            <w:vAlign w:val="center"/>
          </w:tcPr>
          <w:p>
            <w:pPr>
              <w:keepNext w:val="0"/>
              <w:widowControl/>
              <w:spacing w:after="60" w:before="20" w:line="283" w:lineRule="auto"/>
            </w:pPr>
            <w:r/>
            <w:r>
              <w:rPr>
                <w:rFonts w:ascii="Pretendard" w:hAnsi="Pretendard" w:eastAsia="Pretendard"/>
                <w:b w:val="0"/>
                <w:color w:val="28303E"/>
                <w:sz w:val="19"/>
              </w:rPr>
              <w:t>연구 전체 무작위배정 인원. 246명 추가개입, 259명 기존서비스.</w:t>
            </w:r>
          </w:p>
        </w:tc>
        <w:tc>
          <w:tcPr>
            <w:tcW w:type="dxa" w:w="3515"/>
            <w:vAlign w:val="center"/>
          </w:tcPr>
          <w:p>
            <w:pPr>
              <w:keepNext w:val="0"/>
              <w:widowControl/>
              <w:spacing w:after="60" w:before="20" w:line="283" w:lineRule="auto"/>
            </w:pPr>
            <w:r/>
            <w:r>
              <w:rPr>
                <w:rFonts w:ascii="Pretendard" w:hAnsi="Pretendard" w:eastAsia="Pretendard"/>
                <w:b w:val="0"/>
                <w:color w:val="28303E"/>
                <w:sz w:val="19"/>
              </w:rPr>
              <w:t>505명 중 47명=19%</w:t>
            </w:r>
          </w:p>
        </w:tc>
      </w:tr>
      <w:tr>
        <w:trPr>
          <w:cantSplit/>
        </w:trPr>
        <w:tc>
          <w:tcPr>
            <w:tcW w:type="dxa" w:w="2381"/>
            <w:vAlign w:val="center"/>
            <w:shd w:fill="F8F9FB"/>
          </w:tcPr>
          <w:p>
            <w:pPr>
              <w:keepNext w:val="0"/>
              <w:widowControl/>
              <w:spacing w:after="60" w:before="20" w:line="283" w:lineRule="auto"/>
            </w:pPr>
            <w:r/>
            <w:r>
              <w:rPr>
                <w:rFonts w:ascii="Pretendard" w:hAnsi="Pretendard" w:eastAsia="Pretendard"/>
                <w:b w:val="0"/>
                <w:color w:val="28303E"/>
                <w:sz w:val="19"/>
              </w:rPr>
              <w:t>214명·87% / 98명·40% / 47명·19%</w:t>
            </w:r>
          </w:p>
        </w:tc>
        <w:tc>
          <w:tcPr>
            <w:tcW w:type="dxa" w:w="3855"/>
            <w:vAlign w:val="center"/>
            <w:shd w:fill="F8F9FB"/>
          </w:tcPr>
          <w:p>
            <w:pPr>
              <w:keepNext w:val="0"/>
              <w:widowControl/>
              <w:spacing w:after="60" w:before="20" w:line="283" w:lineRule="auto"/>
            </w:pPr>
            <w:r/>
            <w:r>
              <w:rPr>
                <w:rFonts w:ascii="Pretendard" w:hAnsi="Pretendard" w:eastAsia="Pretendard"/>
                <w:b w:val="0"/>
                <w:color w:val="28303E"/>
                <w:sz w:val="19"/>
              </w:rPr>
              <w:t>추가개입에 배정된 246명에서 각각 첫 면담·첫 집단회기·전체 요소를 완료한 인원.</w:t>
            </w:r>
          </w:p>
        </w:tc>
        <w:tc>
          <w:tcPr>
            <w:tcW w:type="dxa" w:w="3515"/>
            <w:vAlign w:val="center"/>
            <w:shd w:fill="F8F9FB"/>
          </w:tcPr>
          <w:p>
            <w:pPr>
              <w:keepNext w:val="0"/>
              <w:widowControl/>
              <w:spacing w:after="60" w:before="20" w:line="283" w:lineRule="auto"/>
            </w:pPr>
            <w:r/>
            <w:r>
              <w:rPr>
                <w:rFonts w:ascii="Pretendard" w:hAnsi="Pretendard" w:eastAsia="Pretendard"/>
                <w:b w:val="0"/>
                <w:color w:val="28303E"/>
                <w:sz w:val="19"/>
              </w:rPr>
              <w:t>각 단계에서 순차로 탈락한 인원이라고 차감 계산</w:t>
            </w:r>
          </w:p>
        </w:tc>
      </w:tr>
      <w:tr>
        <w:trPr>
          <w:cantSplit/>
        </w:trPr>
        <w:tc>
          <w:tcPr>
            <w:tcW w:type="dxa" w:w="2381"/>
            <w:vAlign w:val="center"/>
          </w:tcPr>
          <w:p>
            <w:pPr>
              <w:keepNext w:val="0"/>
              <w:widowControl/>
              <w:spacing w:after="60" w:before="20" w:line="283" w:lineRule="auto"/>
            </w:pPr>
            <w:r/>
            <w:r>
              <w:rPr>
                <w:rFonts w:ascii="Pretendard" w:hAnsi="Pretendard" w:eastAsia="Pretendard"/>
                <w:b w:val="0"/>
                <w:color w:val="28303E"/>
                <w:sz w:val="19"/>
              </w:rPr>
              <w:t>85.7% / 83.9%</w:t>
            </w:r>
          </w:p>
        </w:tc>
        <w:tc>
          <w:tcPr>
            <w:tcW w:type="dxa" w:w="3855"/>
            <w:vAlign w:val="center"/>
          </w:tcPr>
          <w:p>
            <w:pPr>
              <w:keepNext w:val="0"/>
              <w:widowControl/>
              <w:spacing w:after="60" w:before="20" w:line="283" w:lineRule="auto"/>
            </w:pPr>
            <w:r/>
            <w:r>
              <w:rPr>
                <w:rFonts w:ascii="Pretendard" w:hAnsi="Pretendard" w:eastAsia="Pretendard"/>
                <w:b w:val="0"/>
                <w:color w:val="28303E"/>
                <w:sz w:val="19"/>
              </w:rPr>
              <w:t>12개월 평가에서 지난 28일 중 물질을 사용하지 않은 날의 비율의 중앙값.</w:t>
            </w:r>
          </w:p>
        </w:tc>
        <w:tc>
          <w:tcPr>
            <w:tcW w:type="dxa" w:w="3515"/>
            <w:vAlign w:val="center"/>
          </w:tcPr>
          <w:p>
            <w:pPr>
              <w:keepNext w:val="0"/>
              <w:widowControl/>
              <w:spacing w:after="60" w:before="20" w:line="283" w:lineRule="auto"/>
            </w:pPr>
            <w:r/>
            <w:r>
              <w:rPr>
                <w:rFonts w:ascii="Pretendard" w:hAnsi="Pretendard" w:eastAsia="Pretendard"/>
                <w:b w:val="0"/>
                <w:color w:val="28303E"/>
                <w:sz w:val="19"/>
              </w:rPr>
              <w:t>완전 단약에 성공한 청소년의 비율</w:t>
            </w:r>
          </w:p>
        </w:tc>
      </w:tr>
      <w:tr>
        <w:trPr>
          <w:cantSplit/>
        </w:trPr>
        <w:tc>
          <w:tcPr>
            <w:tcW w:type="dxa" w:w="2381"/>
            <w:vAlign w:val="center"/>
            <w:shd w:fill="F8F9FB"/>
          </w:tcPr>
          <w:p>
            <w:pPr>
              <w:keepNext w:val="0"/>
              <w:widowControl/>
              <w:spacing w:after="60" w:before="20" w:line="283" w:lineRule="auto"/>
            </w:pPr>
            <w:r/>
            <w:r>
              <w:rPr>
                <w:rFonts w:ascii="Pretendard" w:hAnsi="Pretendard" w:eastAsia="Pretendard"/>
                <w:b w:val="0"/>
                <w:color w:val="28303E"/>
                <w:sz w:val="19"/>
              </w:rPr>
              <w:t>OR 1.14, p=.542</w:t>
            </w:r>
          </w:p>
        </w:tc>
        <w:tc>
          <w:tcPr>
            <w:tcW w:type="dxa" w:w="3855"/>
            <w:vAlign w:val="center"/>
            <w:shd w:fill="F8F9FB"/>
          </w:tcPr>
          <w:p>
            <w:pPr>
              <w:keepNext w:val="0"/>
              <w:widowControl/>
              <w:spacing w:after="60" w:before="20" w:line="283" w:lineRule="auto"/>
            </w:pPr>
            <w:r/>
            <w:r>
              <w:rPr>
                <w:rFonts w:ascii="Pretendard" w:hAnsi="Pretendard" w:eastAsia="Pretendard"/>
                <w:b w:val="0"/>
                <w:color w:val="28303E"/>
                <w:sz w:val="19"/>
              </w:rPr>
              <w:t>주 결과의 군 간 비교모형 결과. 통계적 우위 미확인.</w:t>
            </w:r>
          </w:p>
        </w:tc>
        <w:tc>
          <w:tcPr>
            <w:tcW w:type="dxa" w:w="3515"/>
            <w:vAlign w:val="center"/>
            <w:shd w:fill="F8F9FB"/>
          </w:tcPr>
          <w:p>
            <w:pPr>
              <w:keepNext w:val="0"/>
              <w:widowControl/>
              <w:spacing w:after="60" w:before="20" w:line="283" w:lineRule="auto"/>
            </w:pPr>
            <w:r/>
            <w:r>
              <w:rPr>
                <w:rFonts w:ascii="Pretendard" w:hAnsi="Pretendard" w:eastAsia="Pretendard"/>
                <w:b w:val="0"/>
                <w:color w:val="28303E"/>
                <w:sz w:val="19"/>
              </w:rPr>
              <w:t>추가 프로그램이 14% 더 효과적</w:t>
            </w:r>
          </w:p>
        </w:tc>
      </w:tr>
      <w:tr>
        <w:trPr>
          <w:cantSplit/>
        </w:trPr>
        <w:tc>
          <w:tcPr>
            <w:tcW w:type="dxa" w:w="2381"/>
            <w:vAlign w:val="center"/>
          </w:tcPr>
          <w:p>
            <w:pPr>
              <w:keepNext w:val="0"/>
              <w:widowControl/>
              <w:spacing w:after="60" w:before="20" w:line="283" w:lineRule="auto"/>
            </w:pPr>
            <w:r/>
            <w:r>
              <w:rPr>
                <w:rFonts w:ascii="Pretendard" w:hAnsi="Pretendard" w:eastAsia="Pretendard"/>
                <w:b w:val="0"/>
                <w:color w:val="28303E"/>
                <w:sz w:val="19"/>
              </w:rPr>
              <w:t>87/160, 54.4%</w:t>
            </w:r>
          </w:p>
        </w:tc>
        <w:tc>
          <w:tcPr>
            <w:tcW w:type="dxa" w:w="3855"/>
            <w:vAlign w:val="center"/>
          </w:tcPr>
          <w:p>
            <w:pPr>
              <w:keepNext w:val="0"/>
              <w:widowControl/>
              <w:spacing w:after="60" w:before="20" w:line="283" w:lineRule="auto"/>
            </w:pPr>
            <w:r/>
            <w:r>
              <w:rPr>
                <w:rFonts w:ascii="Pretendard" w:hAnsi="Pretendard" w:eastAsia="Pretendard"/>
                <w:b w:val="0"/>
                <w:color w:val="28303E"/>
                <w:sz w:val="19"/>
              </w:rPr>
              <w:t>미국 조사시설 중 전화 당시 바로 입소 자리가 있다고 답한 비율.</w:t>
            </w:r>
          </w:p>
        </w:tc>
        <w:tc>
          <w:tcPr>
            <w:tcW w:type="dxa" w:w="3515"/>
            <w:vAlign w:val="center"/>
          </w:tcPr>
          <w:p>
            <w:pPr>
              <w:keepNext w:val="0"/>
              <w:widowControl/>
              <w:spacing w:after="60" w:before="20" w:line="283" w:lineRule="auto"/>
            </w:pPr>
            <w:r/>
            <w:r>
              <w:rPr>
                <w:rFonts w:ascii="Pretendard" w:hAnsi="Pretendard" w:eastAsia="Pretendard"/>
                <w:b w:val="0"/>
                <w:color w:val="28303E"/>
                <w:sz w:val="19"/>
              </w:rPr>
              <w:t>현재 한국 청소년의 치료 가능 비율</w:t>
            </w:r>
          </w:p>
        </w:tc>
      </w:tr>
      <w:tr>
        <w:trPr>
          <w:cantSplit/>
        </w:trPr>
        <w:tc>
          <w:tcPr>
            <w:tcW w:type="dxa" w:w="2381"/>
            <w:vAlign w:val="center"/>
            <w:shd w:fill="F8F9FB"/>
          </w:tcPr>
          <w:p>
            <w:pPr>
              <w:keepNext w:val="0"/>
              <w:widowControl/>
              <w:spacing w:after="60" w:before="20" w:line="283" w:lineRule="auto"/>
            </w:pPr>
            <w:r/>
            <w:r>
              <w:rPr>
                <w:rFonts w:ascii="Pretendard" w:hAnsi="Pretendard" w:eastAsia="Pretendard"/>
                <w:b w:val="0"/>
                <w:color w:val="28303E"/>
                <w:sz w:val="19"/>
              </w:rPr>
              <w:t>28.4일, n=65개 시설</w:t>
            </w:r>
          </w:p>
        </w:tc>
        <w:tc>
          <w:tcPr>
            <w:tcW w:type="dxa" w:w="3855"/>
            <w:vAlign w:val="center"/>
            <w:shd w:fill="F8F9FB"/>
          </w:tcPr>
          <w:p>
            <w:pPr>
              <w:keepNext w:val="0"/>
              <w:widowControl/>
              <w:spacing w:after="60" w:before="20" w:line="283" w:lineRule="auto"/>
            </w:pPr>
            <w:r/>
            <w:r>
              <w:rPr>
                <w:rFonts w:ascii="Pretendard" w:hAnsi="Pretendard" w:eastAsia="Pretendard"/>
                <w:b w:val="0"/>
                <w:color w:val="28303E"/>
                <w:sz w:val="19"/>
              </w:rPr>
              <w:t>예상 대기 일수를 제시한 시설의 평균.</w:t>
            </w:r>
          </w:p>
        </w:tc>
        <w:tc>
          <w:tcPr>
            <w:tcW w:type="dxa" w:w="3515"/>
            <w:vAlign w:val="center"/>
            <w:shd w:fill="F8F9FB"/>
          </w:tcPr>
          <w:p>
            <w:pPr>
              <w:keepNext w:val="0"/>
              <w:widowControl/>
              <w:spacing w:after="60" w:before="20" w:line="283" w:lineRule="auto"/>
            </w:pPr>
            <w:r/>
            <w:r>
              <w:rPr>
                <w:rFonts w:ascii="Pretendard" w:hAnsi="Pretendard" w:eastAsia="Pretendard"/>
                <w:b w:val="0"/>
                <w:color w:val="28303E"/>
                <w:sz w:val="19"/>
              </w:rPr>
              <w:t>160개 전체 또는 모든 환자의 실제 대기기간</w:t>
            </w:r>
          </w:p>
        </w:tc>
      </w:tr>
    </w:tbl>
    <w:p>
      <w:pPr>
        <w:widowControl/>
        <w:spacing w:after="20"/>
      </w:pPr>
    </w:p>
    <w:p>
      <w:pPr>
        <w:pStyle w:val="Heading2"/>
        <w:widowControl/>
      </w:pPr>
      <w:r>
        <w:rPr>
          <w:rFonts w:ascii="Pretendard" w:hAnsi="Pretendard" w:eastAsia="Pretendard"/>
          <w:b w:val="0"/>
        </w:rPr>
        <w:t>통계적 미확인의 문구</w:t>
      </w:r>
    </w:p>
    <w:p>
      <w:pPr>
        <w:widowControl/>
      </w:pPr>
      <w:r>
        <w:rPr>
          <w:rFonts w:ascii="Pretendard" w:hAnsi="Pretendard" w:eastAsia="Pretendard"/>
          <w:b w:val="0"/>
        </w:rPr>
        <w:t xml:space="preserve">“효과가 없었다”보다 </w:t>
      </w:r>
      <w:r>
        <w:rPr>
          <w:rFonts w:ascii="Pretendard" w:hAnsi="Pretendard" w:eastAsia="Pretendard"/>
          <w:b/>
        </w:rPr>
        <w:t>“추가개입의 우월성이 확인되지 않았다”</w:t>
      </w:r>
      <w:r>
        <w:rPr>
          <w:rFonts w:ascii="Pretendard" w:hAnsi="Pretendard" w:eastAsia="Pretendard"/>
          <w:b w:val="0"/>
        </w:rPr>
        <w:t>를 쓴다. 동시에 긍정적 효과가 실제로 있다고 확정하지도 않는다. 낮은 완수율을 관찰했다는 사실과, 그 때문에 효과가 없었다는 인과설명은 구별한다.</w:t>
      </w:r>
    </w:p>
    <w:p>
      <w:pPr>
        <w:pStyle w:val="Heading2"/>
        <w:widowControl/>
      </w:pPr>
      <w:r>
        <w:rPr>
          <w:rFonts w:ascii="Pretendard" w:hAnsi="Pretendard" w:eastAsia="Pretendard"/>
          <w:b w:val="0"/>
        </w:rPr>
        <w:t>불확실성을 결과 대신 쓰지 않는다</w:t>
      </w:r>
    </w:p>
    <w:p>
      <w:pPr>
        <w:widowControl/>
      </w:pPr>
      <w:r>
        <w:rPr>
          <w:rFonts w:ascii="Pretendard" w:hAnsi="Pretendard" w:eastAsia="Pretendard"/>
          <w:b w:val="0"/>
        </w:rPr>
        <w:t>각 화면은 먼저 실제 결과를 보여준다. “관찰기간 이후를 보지 않았다” 같은 거의 모든 연구에 적용되는 한계를 결과 칸에 채워 넣지 않는다. 결과가 없는 판단축은 본편의 자료 범위를 명시하고 빈 근거를 다른 연구의 목표나 기대효과로 메우지 않는다.</w:t>
      </w:r>
    </w:p>
    <w:p>
      <w:pPr>
        <w:widowControl/>
      </w:pPr>
      <w:r>
        <w:br w:type="page"/>
      </w:r>
    </w:p>
    <w:p>
      <w:pPr>
        <w:widowControl/>
        <w:spacing w:after="120"/>
      </w:pPr>
      <w:r>
        <w:rPr>
          <w:rFonts w:ascii="Pretendard" w:hAnsi="Pretendard" w:eastAsia="Pretendard"/>
          <w:b/>
          <w:color w:val="A8871C"/>
          <w:sz w:val="19"/>
        </w:rPr>
        <w:t>부록 C-1  /  자료목록</w:t>
      </w:r>
    </w:p>
    <w:p>
      <w:pPr>
        <w:pStyle w:val="Heading1"/>
        <w:widowControl/>
      </w:pPr>
      <w:r>
        <w:rPr>
          <w:rFonts w:ascii="Pretendard" w:hAnsi="Pretendard" w:eastAsia="Pretendard"/>
          <w:b w:val="0"/>
        </w:rPr>
        <w:t>기준파일·법령·공식 지침</w:t>
      </w:r>
    </w:p>
    <w:p>
      <w:pPr>
        <w:pStyle w:val="Heading2"/>
        <w:widowControl/>
      </w:pPr>
      <w:r>
        <w:rPr>
          <w:rFonts w:ascii="Pretendard" w:hAnsi="Pretendard" w:eastAsia="Pretendard"/>
          <w:b w:val="0"/>
        </w:rPr>
        <w:t>S0. 현행 작업 기준</w:t>
      </w:r>
    </w:p>
    <w:p>
      <w:pPr>
        <w:widowControl/>
      </w:pPr>
      <w:r>
        <w:rPr>
          <w:rFonts w:ascii="Pretendard" w:hAnsi="Pretendard" w:eastAsia="Pretendard"/>
          <w:b w:val="0"/>
          <w:sz w:val="20"/>
        </w:rPr>
        <w:t>w4_ch1_v14.pptx(사용자 제공, 37쪽). 목차 2쪽, 기존 법·제도 3~16쪽, 사용 맥락 17~25쪽, 효과자료 26~37쪽. 본 문서의 중복 대조 기준이다. 과거 w4_ch3_4_5_structure_plan(1).docx는 수집자료 후보와 초기 설계의 출처로만 사용했다.</w:t>
      </w:r>
    </w:p>
    <w:p>
      <w:pPr>
        <w:pStyle w:val="Heading2"/>
        <w:widowControl/>
      </w:pPr>
      <w:r>
        <w:rPr>
          <w:rFonts w:ascii="Pretendard" w:hAnsi="Pretendard" w:eastAsia="Pretendard"/>
          <w:b w:val="0"/>
        </w:rPr>
        <w:t>G. Git Canonical</w:t>
      </w:r>
    </w:p>
    <w:p>
      <w:pPr>
        <w:widowControl/>
      </w:pPr>
      <w:r>
        <w:rPr>
          <w:rFonts w:ascii="Pretendard" w:hAnsi="Pretendard" w:eastAsia="Pretendard"/>
          <w:b w:val="0"/>
          <w:sz w:val="20"/>
        </w:rPr>
        <w:t>jskwon89/lecture, master의 PPT_RULES.md(v1.4)·PPT_WORKFLOW.md·비교효과 설계 교훈 문서를 실제 조회했다. 현행 목차·사용자 지시가 옛 구조문서보다 우선한다.</w:t>
      </w:r>
    </w:p>
    <w:p>
      <w:pPr>
        <w:widowControl/>
        <w:spacing w:after="60"/>
      </w:pPr>
      <w:hyperlink r:id="rId11">
        <w:r>
          <w:rPr>
            <w:rFonts w:ascii="Pretendard" w:hAnsi="Pretendard" w:eastAsia="Pretendard"/>
            <w:color w:val="20285F"/>
            <w:sz w:val="18"/>
            <w:u w:val="single"/>
          </w:rPr>
          <w:t>PPT_RULES.md</w:t>
        </w:r>
      </w:hyperlink>
    </w:p>
    <w:p>
      <w:pPr>
        <w:widowControl/>
        <w:spacing w:after="60"/>
      </w:pPr>
      <w:hyperlink r:id="rId12">
        <w:r>
          <w:rPr>
            <w:rFonts w:ascii="Pretendard" w:hAnsi="Pretendard" w:eastAsia="Pretendard"/>
            <w:color w:val="20285F"/>
            <w:sz w:val="18"/>
            <w:u w:val="single"/>
          </w:rPr>
          <w:t>PPT_WORKFLOW.md</w:t>
        </w:r>
      </w:hyperlink>
    </w:p>
    <w:p>
      <w:pPr>
        <w:widowControl/>
        <w:spacing w:after="60"/>
      </w:pPr>
      <w:hyperlink r:id="rId13">
        <w:r>
          <w:rPr>
            <w:rFonts w:ascii="Pretendard" w:hAnsi="Pretendard" w:eastAsia="Pretendard"/>
            <w:color w:val="20285F"/>
            <w:sz w:val="18"/>
            <w:u w:val="single"/>
          </w:rPr>
          <w:t>비교정책·효과자료 설계 교훈</w:t>
        </w:r>
      </w:hyperlink>
    </w:p>
    <w:p>
      <w:pPr>
        <w:pStyle w:val="Heading2"/>
        <w:widowControl/>
      </w:pPr>
      <w:r>
        <w:rPr>
          <w:rFonts w:ascii="Pretendard" w:hAnsi="Pretendard" w:eastAsia="Pretendard"/>
          <w:b w:val="0"/>
        </w:rPr>
        <w:t>S1. OJJDP (2016)</w:t>
      </w:r>
    </w:p>
    <w:p>
      <w:pPr>
        <w:widowControl/>
      </w:pPr>
      <w:r>
        <w:rPr>
          <w:rFonts w:ascii="Pretendard" w:hAnsi="Pretendard" w:eastAsia="Pretendard"/>
          <w:b w:val="0"/>
          <w:sz w:val="20"/>
        </w:rPr>
        <w:t>Office of Juvenile Justice and Delinquency Prevention. Juvenile Drug Treatment Court Guidelines. NCJ 250368. 본문 열람: 지침 2.1~2.4(16~18쪽), 5.3~5.6, 6.1~6.2, 7.3. 지침 번호를 우선 식별자로 사용한다. 권고·연구 요약과 직접 실험결과는 구분한다.</w:t>
      </w:r>
    </w:p>
    <w:p>
      <w:pPr>
        <w:widowControl/>
        <w:spacing w:after="60"/>
      </w:pPr>
      <w:hyperlink r:id="rId14">
        <w:r>
          <w:rPr>
            <w:rFonts w:ascii="Pretendard" w:hAnsi="Pretendard" w:eastAsia="Pretendard"/>
            <w:color w:val="20285F"/>
            <w:sz w:val="18"/>
            <w:u w:val="single"/>
          </w:rPr>
          <w:t>OJJDP 공식 원문 PDF</w:t>
        </w:r>
      </w:hyperlink>
    </w:p>
    <w:p>
      <w:pPr>
        <w:pStyle w:val="Heading2"/>
        <w:widowControl/>
      </w:pPr>
      <w:r>
        <w:rPr>
          <w:rFonts w:ascii="Pretendard" w:hAnsi="Pretendard" w:eastAsia="Pretendard"/>
          <w:b w:val="0"/>
        </w:rPr>
        <w:t>S2. 소년법</w:t>
      </w:r>
    </w:p>
    <w:p>
      <w:pPr>
        <w:widowControl/>
      </w:pPr>
      <w:r>
        <w:rPr>
          <w:rFonts w:ascii="Pretendard" w:hAnsi="Pretendard" w:eastAsia="Pretendard"/>
          <w:b w:val="0"/>
          <w:sz w:val="20"/>
        </w:rPr>
        <w:t>국가법령정보센터. 2021.4.21. 시행, 법률 제17505호. 제37조와 제49조의2 원문을 대조했다. 제49조의3의 동의는 v14 12쪽에서 이미 설명했으므로 본편에서 다시 장을 만들지 않았다. 이후 시행예정본을 현재 시행본문과 혼합하지 않는다.</w:t>
      </w:r>
    </w:p>
    <w:p>
      <w:pPr>
        <w:widowControl/>
        <w:spacing w:after="60"/>
      </w:pPr>
      <w:hyperlink r:id="rId15">
        <w:r>
          <w:rPr>
            <w:rFonts w:ascii="Pretendard" w:hAnsi="Pretendard" w:eastAsia="Pretendard"/>
            <w:color w:val="20285F"/>
            <w:sz w:val="18"/>
            <w:u w:val="single"/>
          </w:rPr>
          <w:t>제37조(처분의 변경)</w:t>
        </w:r>
      </w:hyperlink>
    </w:p>
    <w:p>
      <w:pPr>
        <w:widowControl/>
        <w:spacing w:after="60"/>
      </w:pPr>
      <w:hyperlink r:id="rId16">
        <w:r>
          <w:rPr>
            <w:rFonts w:ascii="Pretendard" w:hAnsi="Pretendard" w:eastAsia="Pretendard"/>
            <w:color w:val="20285F"/>
            <w:sz w:val="18"/>
            <w:u w:val="single"/>
          </w:rPr>
          <w:t>제49조의2(검사의 결정 전 조사)</w:t>
        </w:r>
      </w:hyperlink>
    </w:p>
    <w:p>
      <w:pPr>
        <w:pStyle w:val="Heading2"/>
        <w:widowControl/>
      </w:pPr>
      <w:r>
        <w:rPr>
          <w:rFonts w:ascii="Pretendard" w:hAnsi="Pretendard" w:eastAsia="Pretendard"/>
          <w:b w:val="0"/>
        </w:rPr>
        <w:t>S3. 보호관찰 등에 관한 법률</w:t>
      </w:r>
    </w:p>
    <w:p>
      <w:pPr>
        <w:widowControl/>
      </w:pPr>
      <w:r>
        <w:rPr>
          <w:rFonts w:ascii="Pretendard" w:hAnsi="Pretendard" w:eastAsia="Pretendard"/>
          <w:b w:val="0"/>
          <w:sz w:val="20"/>
        </w:rPr>
        <w:t>국가법령정보센터. 2026.2.1. 시행, 법률 제20751호. 제49조 제1항·제2항의 현행 조문을 확인했다.</w:t>
      </w:r>
    </w:p>
    <w:p>
      <w:pPr>
        <w:widowControl/>
        <w:spacing w:after="60"/>
      </w:pPr>
      <w:hyperlink r:id="rId17">
        <w:r>
          <w:rPr>
            <w:rFonts w:ascii="Pretendard" w:hAnsi="Pretendard" w:eastAsia="Pretendard"/>
            <w:color w:val="20285F"/>
            <w:sz w:val="18"/>
            <w:u w:val="single"/>
          </w:rPr>
          <w:t>제49조(보호처분의 변경)</w:t>
        </w:r>
      </w:hyperlink>
    </w:p>
    <w:p>
      <w:pPr>
        <w:widowControl/>
      </w:pPr>
      <w:r>
        <w:br w:type="page"/>
      </w:r>
    </w:p>
    <w:p>
      <w:pPr>
        <w:widowControl/>
        <w:spacing w:after="120"/>
      </w:pPr>
      <w:r>
        <w:rPr>
          <w:rFonts w:ascii="Pretendard" w:hAnsi="Pretendard" w:eastAsia="Pretendard"/>
          <w:b/>
          <w:color w:val="A8871C"/>
          <w:sz w:val="19"/>
        </w:rPr>
        <w:t>부록 C-2  /  자료목록</w:t>
      </w:r>
    </w:p>
    <w:p>
      <w:pPr>
        <w:pStyle w:val="Heading1"/>
        <w:widowControl/>
      </w:pPr>
      <w:r>
        <w:rPr>
          <w:rFonts w:ascii="Pretendard" w:hAnsi="Pretendard" w:eastAsia="Pretendard"/>
          <w:b w:val="0"/>
        </w:rPr>
        <w:t>판례·연구·정보처리 근거</w:t>
      </w:r>
    </w:p>
    <w:p>
      <w:pPr>
        <w:pStyle w:val="Heading2"/>
        <w:widowControl/>
      </w:pPr>
      <w:r>
        <w:rPr>
          <w:rFonts w:ascii="Pretendard" w:hAnsi="Pretendard" w:eastAsia="Pretendard"/>
          <w:b w:val="0"/>
        </w:rPr>
        <w:t>S4. T.N. v. Portesy (2005)</w:t>
      </w:r>
    </w:p>
    <w:p>
      <w:pPr>
        <w:widowControl/>
      </w:pPr>
      <w:r>
        <w:rPr>
          <w:rFonts w:ascii="Pretendard" w:hAnsi="Pretendard" w:eastAsia="Pretendard"/>
          <w:b w:val="0"/>
          <w:sz w:val="20"/>
        </w:rPr>
        <w:t>Florida Second District Court of Appeal, No. 2D05-01, October 7, 2005. 법원 판결문이 수록된 Justia 텍스트를 확인했다. 경위 1~3쪽, 다수의견 3~4쪽, Davis 판사 별개의견 4~5쪽. 최초 혐의는 cannabis possession이며, 효과연구가 아니라 제재권한의 사례로 사용한다.</w:t>
      </w:r>
    </w:p>
    <w:p>
      <w:pPr>
        <w:widowControl/>
        <w:spacing w:after="60"/>
      </w:pPr>
      <w:hyperlink r:id="rId18">
        <w:r>
          <w:rPr>
            <w:rFonts w:ascii="Pretendard" w:hAnsi="Pretendard" w:eastAsia="Pretendard"/>
            <w:color w:val="20285F"/>
            <w:sz w:val="18"/>
            <w:u w:val="single"/>
          </w:rPr>
          <w:t>판결문 텍스트·PDF 수록 페이지</w:t>
        </w:r>
      </w:hyperlink>
    </w:p>
    <w:p>
      <w:pPr>
        <w:pStyle w:val="Heading2"/>
        <w:widowControl/>
      </w:pPr>
      <w:r>
        <w:rPr>
          <w:rFonts w:ascii="Pretendard" w:hAnsi="Pretendard" w:eastAsia="Pretendard"/>
          <w:b w:val="0"/>
        </w:rPr>
        <w:t>S5. Coulton 외 (2023) · RISKIT-CJS</w:t>
      </w:r>
    </w:p>
    <w:p>
      <w:pPr>
        <w:widowControl/>
      </w:pPr>
      <w:r>
        <w:rPr>
          <w:rFonts w:ascii="Pretendard" w:hAnsi="Pretendard" w:eastAsia="Pretendard"/>
          <w:b w:val="0"/>
          <w:sz w:val="20"/>
        </w:rPr>
        <w:t>Coulton, S., Nizalova, O., Pellatt-Higgins, T., et al. A multicomponent psychosocial intervention to reduce substance use by adolescents involved in the criminal justice system: the RISKIT-CJS RCT. Public Health Research, 11(3), 1–77. DOI: 10.3310/FKPY6814. 전체 공개 보고서 텍스트를 열람했다. 제2장 11~14쪽의 기존서비스·개입, 제3장 표2(21쪽)의 회기별 참여·완수, 표9(26쪽)의 결과, 27쪽의 전체 요소 완수를 대조했다.</w:t>
      </w:r>
    </w:p>
    <w:p>
      <w:pPr>
        <w:widowControl/>
        <w:spacing w:after="60"/>
      </w:pPr>
      <w:hyperlink r:id="rId19">
        <w:r>
          <w:rPr>
            <w:rFonts w:ascii="Pretendard" w:hAnsi="Pretendard" w:eastAsia="Pretendard"/>
            <w:color w:val="20285F"/>
            <w:sz w:val="18"/>
            <w:u w:val="single"/>
          </w:rPr>
          <w:t>전체 보고서 PDF(White Rose 공개 저장소)</w:t>
        </w:r>
      </w:hyperlink>
    </w:p>
    <w:p>
      <w:pPr>
        <w:widowControl/>
        <w:spacing w:after="60"/>
      </w:pPr>
      <w:hyperlink r:id="rId20">
        <w:r>
          <w:rPr>
            <w:rFonts w:ascii="Pretendard" w:hAnsi="Pretendard" w:eastAsia="Pretendard"/>
            <w:color w:val="20285F"/>
            <w:sz w:val="18"/>
            <w:u w:val="single"/>
          </w:rPr>
          <w:t>PubMed 서지·초록</w:t>
        </w:r>
      </w:hyperlink>
    </w:p>
    <w:p>
      <w:pPr>
        <w:pStyle w:val="Heading2"/>
        <w:widowControl/>
      </w:pPr>
      <w:r>
        <w:rPr>
          <w:rFonts w:ascii="Pretendard" w:hAnsi="Pretendard" w:eastAsia="Pretendard"/>
          <w:b w:val="0"/>
        </w:rPr>
        <w:t>S6. King 외 (2024)</w:t>
      </w:r>
    </w:p>
    <w:p>
      <w:pPr>
        <w:widowControl/>
      </w:pPr>
      <w:r>
        <w:rPr>
          <w:rFonts w:ascii="Pretendard" w:hAnsi="Pretendard" w:eastAsia="Pretendard"/>
          <w:b w:val="0"/>
          <w:sz w:val="20"/>
        </w:rPr>
        <w:t>King, C. A., et al. Adolescent Residential Addiction Treatment In The US: Uneven Access, Waitlists, And High Costs. Health Affairs, 43(1), 64–71. DOI: 10.1377/hlthaff.2023.00777. PMC 저자원고의 Methods·Results—Bed availability와 출판사 최종 초록을 대조했다. 저자원고 초록에 남은 54.7% 대신 본문·최종 초록의 54.4%를 사용한다.</w:t>
      </w:r>
    </w:p>
    <w:p>
      <w:pPr>
        <w:widowControl/>
        <w:spacing w:after="60"/>
      </w:pPr>
      <w:hyperlink r:id="rId21">
        <w:r>
          <w:rPr>
            <w:rFonts w:ascii="Pretendard" w:hAnsi="Pretendard" w:eastAsia="Pretendard"/>
            <w:color w:val="20285F"/>
            <w:sz w:val="18"/>
            <w:u w:val="single"/>
          </w:rPr>
          <w:t>PMC 전체 저자원고</w:t>
        </w:r>
      </w:hyperlink>
    </w:p>
    <w:p>
      <w:pPr>
        <w:widowControl/>
        <w:spacing w:after="60"/>
      </w:pPr>
      <w:hyperlink r:id="rId22">
        <w:r>
          <w:rPr>
            <w:rFonts w:ascii="Pretendard" w:hAnsi="Pretendard" w:eastAsia="Pretendard"/>
            <w:color w:val="20285F"/>
            <w:sz w:val="18"/>
            <w:u w:val="single"/>
          </w:rPr>
          <w:t>Health Affairs 최종 게재 정보</w:t>
        </w:r>
      </w:hyperlink>
    </w:p>
    <w:p>
      <w:pPr>
        <w:pStyle w:val="Heading2"/>
        <w:widowControl/>
      </w:pPr>
      <w:r>
        <w:rPr>
          <w:rFonts w:ascii="Pretendard" w:hAnsi="Pretendard" w:eastAsia="Pretendard"/>
          <w:b w:val="0"/>
        </w:rPr>
        <w:t>S7. 개인정보 보호법</w:t>
      </w:r>
    </w:p>
    <w:p>
      <w:pPr>
        <w:widowControl/>
      </w:pPr>
      <w:r>
        <w:rPr>
          <w:rFonts w:ascii="Pretendard" w:hAnsi="Pretendard" w:eastAsia="Pretendard"/>
          <w:b w:val="0"/>
          <w:sz w:val="20"/>
        </w:rPr>
        <w:t>국가법령정보센터. 2026.9.11. 시행, 법률 제21445호. 제23조 제1항의 민감정보 처리 제한과 예외 요건을 확인했다. 제3자 제공·의료기록 관련 요건 전체를 제23조 하나로 대신하지 않는다.</w:t>
      </w:r>
    </w:p>
    <w:p>
      <w:pPr>
        <w:widowControl/>
        <w:spacing w:after="60"/>
      </w:pPr>
      <w:hyperlink r:id="rId23">
        <w:r>
          <w:rPr>
            <w:rFonts w:ascii="Pretendard" w:hAnsi="Pretendard" w:eastAsia="Pretendard"/>
            <w:color w:val="20285F"/>
            <w:sz w:val="18"/>
            <w:u w:val="single"/>
          </w:rPr>
          <w:t>제23조(민감정보의 처리 제한)</w:t>
        </w:r>
      </w:hyperlink>
    </w:p>
    <w:p>
      <w:pPr>
        <w:pStyle w:val="Caption"/>
        <w:widowControl/>
      </w:pPr>
      <w:r>
        <w:rPr>
          <w:rFonts w:ascii="Pretendard" w:hAnsi="Pretendard" w:eastAsia="Pretendard"/>
          <w:b w:val="0"/>
        </w:rPr>
        <w:t>모든 링크는 2026.9.19. 확인 경로이다. 일부 사이트는 직접 열기와 검색에 제공되는 원문 텍스트의 접근 결과가 달랐다. PDF 페이지 이미지 조회는 오류가 발생하여, 연구표는 공개 보고서의 추출 텍스트 및 본문·초록 교차대조로 확인했다. 이미지까지 대조한 것으로 기록하지 않는다.</w:t>
      </w:r>
    </w:p>
    <w:p>
      <w:pPr>
        <w:widowControl/>
      </w:pPr>
      <w:r>
        <w:br w:type="page"/>
      </w:r>
    </w:p>
    <w:p>
      <w:pPr>
        <w:widowControl/>
        <w:spacing w:after="120"/>
      </w:pPr>
      <w:r>
        <w:rPr>
          <w:rFonts w:ascii="Pretendard" w:hAnsi="Pretendard" w:eastAsia="Pretendard"/>
          <w:b/>
          <w:color w:val="A8871C"/>
          <w:sz w:val="19"/>
        </w:rPr>
        <w:t>부록 D  /  보류와 제외</w:t>
      </w:r>
    </w:p>
    <w:p>
      <w:pPr>
        <w:pStyle w:val="Heading1"/>
        <w:widowControl/>
      </w:pPr>
      <w:r>
        <w:rPr>
          <w:rFonts w:ascii="Pretendard" w:hAnsi="Pretendard" w:eastAsia="Pretendard"/>
          <w:b w:val="0"/>
        </w:rPr>
        <w:t>미확인 자료를 본편 근거로 승격하지 않는다</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2324"/>
        <w:gridCol w:w="3458"/>
        <w:gridCol w:w="3969"/>
      </w:tblGrid>
      <w:tr>
        <w:trPr>
          <w:tblHeader/>
          <w:cantSplit/>
        </w:trPr>
        <w:tc>
          <w:tcPr>
            <w:tcW w:type="dxa" w:w="2324"/>
            <w:shd w:fill="20285F"/>
            <w:vAlign w:val="center"/>
          </w:tcPr>
          <w:p>
            <w:pPr>
              <w:keepNext w:val="0"/>
              <w:widowControl/>
              <w:spacing w:after="60" w:before="20" w:line="283" w:lineRule="auto"/>
            </w:pPr>
            <w:r/>
            <w:r>
              <w:rPr>
                <w:rFonts w:ascii="Pretendard" w:hAnsi="Pretendard" w:eastAsia="Pretendard"/>
                <w:b/>
                <w:color w:val="FFFFFF"/>
                <w:sz w:val="18"/>
              </w:rPr>
              <w:t>자료</w:t>
            </w:r>
          </w:p>
        </w:tc>
        <w:tc>
          <w:tcPr>
            <w:tcW w:type="dxa" w:w="3458"/>
            <w:shd w:fill="20285F"/>
            <w:vAlign w:val="center"/>
          </w:tcPr>
          <w:p>
            <w:pPr>
              <w:keepNext w:val="0"/>
              <w:widowControl/>
              <w:spacing w:after="60" w:before="20" w:line="283" w:lineRule="auto"/>
            </w:pPr>
            <w:r/>
            <w:r>
              <w:rPr>
                <w:rFonts w:ascii="Pretendard" w:hAnsi="Pretendard" w:eastAsia="Pretendard"/>
                <w:b/>
                <w:color w:val="FFFFFF"/>
                <w:sz w:val="18"/>
              </w:rPr>
              <w:t>확인한 수준</w:t>
            </w:r>
          </w:p>
        </w:tc>
        <w:tc>
          <w:tcPr>
            <w:tcW w:type="dxa" w:w="3969"/>
            <w:shd w:fill="20285F"/>
            <w:vAlign w:val="center"/>
          </w:tcPr>
          <w:p>
            <w:pPr>
              <w:keepNext w:val="0"/>
              <w:widowControl/>
              <w:spacing w:after="60" w:before="20" w:line="283" w:lineRule="auto"/>
            </w:pPr>
            <w:r/>
            <w:r>
              <w:rPr>
                <w:rFonts w:ascii="Pretendard" w:hAnsi="Pretendard" w:eastAsia="Pretendard"/>
                <w:b/>
                <w:color w:val="FFFFFF"/>
                <w:sz w:val="18"/>
              </w:rPr>
              <w:t>이번 처리</w:t>
            </w:r>
          </w:p>
        </w:tc>
      </w:tr>
      <w:tr>
        <w:trPr>
          <w:cantSplit/>
        </w:trPr>
        <w:tc>
          <w:tcPr>
            <w:tcW w:type="dxa" w:w="2324"/>
            <w:vAlign w:val="center"/>
          </w:tcPr>
          <w:p>
            <w:pPr>
              <w:keepNext w:val="0"/>
              <w:widowControl/>
              <w:spacing w:after="60" w:before="20" w:line="283" w:lineRule="auto"/>
            </w:pPr>
            <w:r/>
            <w:r>
              <w:rPr>
                <w:rFonts w:ascii="Pretendard" w:hAnsi="Pretendard" w:eastAsia="Pretendard"/>
                <w:b w:val="0"/>
                <w:color w:val="28303E"/>
                <w:sz w:val="18"/>
              </w:rPr>
              <w:t>KICJ 치료재활처우 보고서</w:t>
            </w:r>
          </w:p>
        </w:tc>
        <w:tc>
          <w:tcPr>
            <w:tcW w:type="dxa" w:w="3458"/>
            <w:vAlign w:val="center"/>
          </w:tcPr>
          <w:p>
            <w:pPr>
              <w:keepNext w:val="0"/>
              <w:widowControl/>
              <w:spacing w:after="60" w:before="20" w:line="283" w:lineRule="auto"/>
            </w:pPr>
            <w:r/>
            <w:r>
              <w:rPr>
                <w:rFonts w:ascii="Pretendard" w:hAnsi="Pretendard" w:eastAsia="Pretendard"/>
                <w:b w:val="0"/>
                <w:color w:val="28303E"/>
                <w:sz w:val="18"/>
              </w:rPr>
              <w:t>국회도서관 서지·상세 목차. 김낭희 외, 2025, 「최근 마약류범죄 변화 양상에 따른 실태 및 치료처우방안 연구Ⅱ: 마약류사범 치료재활처우」, 연구총서 25-CB-02.</w:t>
            </w:r>
          </w:p>
        </w:tc>
        <w:tc>
          <w:tcPr>
            <w:tcW w:type="dxa" w:w="3969"/>
            <w:vAlign w:val="center"/>
          </w:tcPr>
          <w:p>
            <w:pPr>
              <w:keepNext w:val="0"/>
              <w:widowControl/>
              <w:spacing w:after="60" w:before="20" w:line="283" w:lineRule="auto"/>
            </w:pPr>
            <w:r/>
            <w:r>
              <w:rPr>
                <w:rFonts w:ascii="Pretendard" w:hAnsi="Pretendard" w:eastAsia="Pretendard"/>
                <w:b w:val="0"/>
                <w:color w:val="28303E"/>
                <w:sz w:val="18"/>
              </w:rPr>
              <w:t>관련 본문·표 원문 대조가 끝나지 않아 기관별 공백의 실증 근거로 사용하지 않는다. 2026년 게재·소개일을 보고서 발간연도로 쓰지 않는다.</w:t>
            </w:r>
          </w:p>
        </w:tc>
      </w:tr>
      <w:tr>
        <w:trPr>
          <w:cantSplit/>
        </w:trPr>
        <w:tc>
          <w:tcPr>
            <w:tcW w:type="dxa" w:w="2324"/>
            <w:vAlign w:val="center"/>
            <w:shd w:fill="F8F9FB"/>
          </w:tcPr>
          <w:p>
            <w:pPr>
              <w:keepNext w:val="0"/>
              <w:widowControl/>
              <w:spacing w:after="60" w:before="20" w:line="283" w:lineRule="auto"/>
            </w:pPr>
            <w:r/>
            <w:r>
              <w:rPr>
                <w:rFonts w:ascii="Pretendard" w:hAnsi="Pretendard" w:eastAsia="Pretendard"/>
                <w:b w:val="0"/>
                <w:color w:val="28303E"/>
                <w:sz w:val="18"/>
              </w:rPr>
              <w:t>Florida 2025 JDTC 지침</w:t>
            </w:r>
          </w:p>
        </w:tc>
        <w:tc>
          <w:tcPr>
            <w:tcW w:type="dxa" w:w="3458"/>
            <w:vAlign w:val="center"/>
            <w:shd w:fill="F8F9FB"/>
          </w:tcPr>
          <w:p>
            <w:pPr>
              <w:keepNext w:val="0"/>
              <w:widowControl/>
              <w:spacing w:after="60" w:before="20" w:line="283" w:lineRule="auto"/>
            </w:pPr>
            <w:r/>
            <w:r>
              <w:rPr>
                <w:rFonts w:ascii="Pretendard" w:hAnsi="Pretendard" w:eastAsia="Pretendard"/>
                <w:b w:val="0"/>
                <w:color w:val="28303E"/>
                <w:sz w:val="18"/>
              </w:rPr>
              <w:t>기존 수집안에 기재되어 있으나 공식 해당 판본의 본문 확보가 되지 않음.</w:t>
            </w:r>
          </w:p>
        </w:tc>
        <w:tc>
          <w:tcPr>
            <w:tcW w:type="dxa" w:w="3969"/>
            <w:vAlign w:val="center"/>
            <w:shd w:fill="F8F9FB"/>
          </w:tcPr>
          <w:p>
            <w:pPr>
              <w:keepNext w:val="0"/>
              <w:widowControl/>
              <w:spacing w:after="60" w:before="20" w:line="283" w:lineRule="auto"/>
            </w:pPr>
            <w:r/>
            <w:r>
              <w:rPr>
                <w:rFonts w:ascii="Pretendard" w:hAnsi="Pretendard" w:eastAsia="Pretendard"/>
                <w:b w:val="0"/>
                <w:color w:val="28303E"/>
                <w:sz w:val="18"/>
              </w:rPr>
              <w:t>대상·제재 권고는 실제 열람한 OJJDP(2016)로 근거를 교체한다. 출처명만 남겨 검증한 것처럼 쓰지 않는다.</w:t>
            </w:r>
          </w:p>
        </w:tc>
      </w:tr>
      <w:tr>
        <w:trPr>
          <w:cantSplit/>
        </w:trPr>
        <w:tc>
          <w:tcPr>
            <w:tcW w:type="dxa" w:w="2324"/>
            <w:vAlign w:val="center"/>
          </w:tcPr>
          <w:p>
            <w:pPr>
              <w:keepNext w:val="0"/>
              <w:widowControl/>
              <w:spacing w:after="60" w:before="20" w:line="283" w:lineRule="auto"/>
            </w:pPr>
            <w:r/>
            <w:r>
              <w:rPr>
                <w:rFonts w:ascii="Pretendard" w:hAnsi="Pretendard" w:eastAsia="Pretendard"/>
                <w:b w:val="0"/>
                <w:color w:val="28303E"/>
                <w:sz w:val="18"/>
              </w:rPr>
              <w:t>Godley 외(2007), ACC</w:t>
            </w:r>
          </w:p>
        </w:tc>
        <w:tc>
          <w:tcPr>
            <w:tcW w:type="dxa" w:w="3458"/>
            <w:vAlign w:val="center"/>
          </w:tcPr>
          <w:p>
            <w:pPr>
              <w:keepNext w:val="0"/>
              <w:widowControl/>
              <w:spacing w:after="60" w:before="20" w:line="283" w:lineRule="auto"/>
            </w:pPr>
            <w:r/>
            <w:r>
              <w:rPr>
                <w:rFonts w:ascii="Pretendard" w:hAnsi="Pretendard" w:eastAsia="Pretendard"/>
                <w:b w:val="0"/>
                <w:color w:val="28303E"/>
                <w:sz w:val="18"/>
              </w:rPr>
              <w:t>출판사·PubMed 초록에서 퇴원 후 가정방문형 지속치료와 통상 외래 지속치료 비교를 확인. 연구 전체와 세부 결과표 미대조.</w:t>
            </w:r>
          </w:p>
        </w:tc>
        <w:tc>
          <w:tcPr>
            <w:tcW w:type="dxa" w:w="3969"/>
            <w:vAlign w:val="center"/>
          </w:tcPr>
          <w:p>
            <w:pPr>
              <w:keepNext w:val="0"/>
              <w:widowControl/>
              <w:spacing w:after="60" w:before="20" w:line="283" w:lineRule="auto"/>
            </w:pPr>
            <w:r/>
            <w:r>
              <w:rPr>
                <w:rFonts w:ascii="Pretendard" w:hAnsi="Pretendard" w:eastAsia="Pretendard"/>
                <w:b w:val="0"/>
                <w:color w:val="28303E"/>
                <w:sz w:val="18"/>
              </w:rPr>
              <w:t>후속 보완 후보로만 남긴다. 새 수치나 “사후관리의 확정적 효과”를 본편에 추가하지 않는다.</w:t>
            </w:r>
          </w:p>
        </w:tc>
      </w:tr>
      <w:tr>
        <w:trPr>
          <w:cantSplit/>
        </w:trPr>
        <w:tc>
          <w:tcPr>
            <w:tcW w:type="dxa" w:w="2324"/>
            <w:vAlign w:val="center"/>
            <w:shd w:fill="F8F9FB"/>
          </w:tcPr>
          <w:p>
            <w:pPr>
              <w:keepNext w:val="0"/>
              <w:widowControl/>
              <w:spacing w:after="60" w:before="20" w:line="283" w:lineRule="auto"/>
            </w:pPr>
            <w:r/>
            <w:r>
              <w:rPr>
                <w:rFonts w:ascii="Pretendard" w:hAnsi="Pretendard" w:eastAsia="Pretendard"/>
                <w:b w:val="0"/>
                <w:color w:val="28303E"/>
                <w:sz w:val="18"/>
              </w:rPr>
              <w:t>한국 청소년 병상 탐색 보도</w:t>
            </w:r>
          </w:p>
        </w:tc>
        <w:tc>
          <w:tcPr>
            <w:tcW w:type="dxa" w:w="3458"/>
            <w:vAlign w:val="center"/>
            <w:shd w:fill="F8F9FB"/>
          </w:tcPr>
          <w:p>
            <w:pPr>
              <w:keepNext w:val="0"/>
              <w:widowControl/>
              <w:spacing w:after="60" w:before="20" w:line="283" w:lineRule="auto"/>
            </w:pPr>
            <w:r/>
            <w:r>
              <w:rPr>
                <w:rFonts w:ascii="Pretendard" w:hAnsi="Pretendard" w:eastAsia="Pretendard"/>
                <w:b w:val="0"/>
                <w:color w:val="28303E"/>
                <w:sz w:val="18"/>
              </w:rPr>
              <w:t>기존 수집안의 사례 후보. 현재 전국 이용가능성을 대표하는 자료는 아님.</w:t>
            </w:r>
          </w:p>
        </w:tc>
        <w:tc>
          <w:tcPr>
            <w:tcW w:type="dxa" w:w="3969"/>
            <w:vAlign w:val="center"/>
            <w:shd w:fill="F8F9FB"/>
          </w:tcPr>
          <w:p>
            <w:pPr>
              <w:keepNext w:val="0"/>
              <w:widowControl/>
              <w:spacing w:after="60" w:before="20" w:line="283" w:lineRule="auto"/>
            </w:pPr>
            <w:r/>
            <w:r>
              <w:rPr>
                <w:rFonts w:ascii="Pretendard" w:hAnsi="Pretendard" w:eastAsia="Pretendard"/>
                <w:b w:val="0"/>
                <w:color w:val="28303E"/>
                <w:sz w:val="18"/>
              </w:rPr>
              <w:t>King 연구의 미국 수치를 한국 수치로 대체하지 않는다. 국내 현재 실제 대기·이용률은 이 문서에서 확정하지 않는다.</w:t>
            </w:r>
          </w:p>
        </w:tc>
      </w:tr>
    </w:tbl>
    <w:p>
      <w:pPr>
        <w:widowControl/>
        <w:spacing w:after="20"/>
      </w:pPr>
    </w:p>
    <w:p>
      <w:pPr>
        <w:widowControl/>
        <w:spacing w:after="60"/>
      </w:pPr>
      <w:hyperlink r:id="rId24">
        <w:r>
          <w:rPr>
            <w:rFonts w:ascii="Pretendard" w:hAnsi="Pretendard" w:eastAsia="Pretendard"/>
            <w:color w:val="20285F"/>
            <w:sz w:val="18"/>
            <w:u w:val="single"/>
          </w:rPr>
          <w:t>KICJ 보고서 국회도서관 서지·목차</w:t>
        </w:r>
      </w:hyperlink>
    </w:p>
    <w:p>
      <w:pPr>
        <w:widowControl/>
        <w:spacing w:after="60"/>
      </w:pPr>
      <w:hyperlink r:id="rId25">
        <w:r>
          <w:rPr>
            <w:rFonts w:ascii="Pretendard" w:hAnsi="Pretendard" w:eastAsia="Pretendard"/>
            <w:color w:val="20285F"/>
            <w:sz w:val="18"/>
            <w:u w:val="single"/>
          </w:rPr>
          <w:t>Godley 외(2007) PubMed</w:t>
        </w:r>
      </w:hyperlink>
    </w:p>
    <w:p>
      <w:pPr>
        <w:pStyle w:val="Heading2"/>
        <w:widowControl/>
      </w:pPr>
      <w:r>
        <w:rPr>
          <w:rFonts w:ascii="Pretendard" w:hAnsi="Pretendard" w:eastAsia="Pretendard"/>
          <w:b w:val="0"/>
        </w:rPr>
        <w:t>제5장 본편에서 제외할 기존 내용</w:t>
      </w:r>
    </w:p>
    <w:p>
      <w:pPr>
        <w:widowControl/>
      </w:pPr>
      <w:r>
        <w:rPr>
          <w:rFonts w:ascii="Pretendard" w:hAnsi="Pretendard" w:eastAsia="Pretendard"/>
          <w:b w:val="0"/>
        </w:rPr>
        <w:t>JDTC 기본 구성, MST·CM의 정의와 효과 수치, 촉법소년·범죄소년 정의, 법정형 표, 병상 지정 수, 친구를 통한 유입 사례, 치료와 형사처벌의 최종 논거표는 본편에서 다시 만들지 않는다. 각각 제1~3장 또는 제6장의 역할을 유지한다.</w:t>
      </w:r>
    </w:p>
    <w:p>
      <w:pPr>
        <w:widowControl/>
      </w:pPr>
      <w:r>
        <w:rPr>
          <w:rFonts w:ascii="Pretendard" w:hAnsi="Pretendard" w:eastAsia="Pretendard"/>
          <w:b w:val="0"/>
          <w:color w:val="626C7B"/>
          <w:sz w:val="20"/>
        </w:rPr>
        <w:t>자료의 빈자리를 일반론으로 채워 “국내에서도 동일하다”라고 서술하지 않는다. C5-09의 담당·완료 기준은 확인된 국내 운영 실태 보고가 아니라 명시적인 수업용 운영설계로 제시한다.</w:t>
      </w:r>
    </w:p>
    <w:p>
      <w:pPr>
        <w:widowControl/>
      </w:pPr>
      <w:r>
        <w:br w:type="page"/>
      </w:r>
    </w:p>
    <w:p>
      <w:pPr>
        <w:widowControl/>
        <w:spacing w:after="120"/>
      </w:pPr>
      <w:r>
        <w:rPr>
          <w:rFonts w:ascii="Pretendard" w:hAnsi="Pretendard" w:eastAsia="Pretendard"/>
          <w:b/>
          <w:color w:val="A8871C"/>
          <w:sz w:val="19"/>
        </w:rPr>
        <w:t>제작 인계  /  복사용</w:t>
      </w:r>
    </w:p>
    <w:p>
      <w:pPr>
        <w:pStyle w:val="Heading1"/>
        <w:widowControl/>
      </w:pPr>
      <w:r>
        <w:rPr>
          <w:rFonts w:ascii="Pretendard" w:hAnsi="Pretendard" w:eastAsia="Pretendard"/>
          <w:b w:val="0"/>
        </w:rPr>
        <w:t>PPT 제작자가 적용할 최종 지시</w:t>
      </w:r>
    </w:p>
    <w:tbl>
      <w:tblPr>
        <w:tblW w:type="auto" w:w="0"/>
        <w:jc w:val="center"/>
        <w:tblLook w:firstColumn="1" w:firstRow="1" w:lastColumn="0" w:lastRow="0" w:noHBand="0" w:noVBand="1" w:val="04A0"/>
      </w:tblPr>
      <w:tblGrid>
        <w:gridCol w:w="9752"/>
      </w:tblGrid>
      <w:tr>
        <w:trPr>
          <w:cantSplit/>
        </w:trPr>
        <w:tc>
          <w:tcPr>
            <w:tcW w:type="dxa" w:w="9752"/>
            <w:shd w:fill="F2F4F8"/>
            <w:vAlign w:val="center"/>
          </w:tcPr>
          <w:p>
            <w:pPr>
              <w:keepNext w:val="0"/>
              <w:widowControl/>
              <w:spacing w:after="60" w:before="20" w:line="283" w:lineRule="auto"/>
            </w:pPr>
            <w:r>
              <w:rPr>
                <w:rFonts w:ascii="Pretendard" w:hAnsi="Pretendard" w:eastAsia="Pretendard"/>
                <w:b/>
                <w:color w:val="20285F"/>
                <w:sz w:val="21"/>
              </w:rPr>
            </w:r>
            <w:r>
              <w:rPr>
                <w:rFonts w:ascii="Pretendard" w:hAnsi="Pretendard" w:eastAsia="Pretendard"/>
                <w:b/>
                <w:color w:val="20285F"/>
                <w:sz w:val="21"/>
              </w:rPr>
              <w:t>작업 범위</w:t>
            </w:r>
          </w:p>
          <w:p>
            <w:pPr>
              <w:keepNext w:val="0"/>
              <w:widowControl/>
              <w:spacing w:after="60" w:before="20" w:line="283" w:lineRule="auto"/>
            </w:pPr>
            <w:r>
              <w:rPr>
                <w:rFonts w:ascii="Pretendard" w:hAnsi="Pretendard" w:eastAsia="Pretendard"/>
                <w:b w:val="0"/>
                <w:color w:val="28303E"/>
                <w:sz w:val="21"/>
              </w:rPr>
              <w:t>현행 w4_ch1_v14.pptx의 목차를 유지한 채 제5장 「치료·재활 우선의 조건과 한계」의 C5-01~C5-09만 제작하라. 제6장은 「주요 논거와 최종 판단」이며, 이 이름과 역할을 바꾸지 마라.</w:t>
            </w:r>
          </w:p>
        </w:tc>
      </w:tr>
    </w:tbl>
    <w:p>
      <w:pPr>
        <w:widowControl/>
        <w:spacing w:after="0"/>
      </w:pPr>
    </w:p>
    <w:p>
      <w:pPr>
        <w:pStyle w:val="Heading2"/>
        <w:widowControl/>
      </w:pPr>
      <w:r>
        <w:rPr>
          <w:rFonts w:ascii="Pretendard" w:hAnsi="Pretendard" w:eastAsia="Pretendard"/>
          <w:b w:val="0"/>
        </w:rPr>
        <w:t>내용</w:t>
      </w:r>
    </w:p>
    <w:p>
      <w:pPr>
        <w:widowControl/>
      </w:pPr>
      <w:r>
        <w:rPr>
          <w:rFonts w:ascii="Pretendard" w:hAnsi="Pretendard" w:eastAsia="Pretendard"/>
          <w:b w:val="0"/>
        </w:rPr>
        <w:t>이 문서의 “화면 설계” 페이지를 PPT 문안 기준으로 삼아라. “대본·적용” 페이지는 발표노트에 넣되 화면에 모두 올리지 마라. 기존 슬라이드의 결과를 다시 나열하거나, 빈 공간을 채우기 위해 새로운 근거를 추가하지 마라. 특히 T.N.의 취소 범위, RISKIT의 분모·결과지표, King의 조사국가·연도·분모를 유지하라.</w:t>
      </w:r>
    </w:p>
    <w:p>
      <w:pPr>
        <w:pStyle w:val="Heading2"/>
        <w:widowControl/>
      </w:pPr>
      <w:r>
        <w:rPr>
          <w:rFonts w:ascii="Pretendard" w:hAnsi="Pretendard" w:eastAsia="Pretendard"/>
          <w:b w:val="0"/>
        </w:rPr>
        <w:t>형식</w:t>
      </w:r>
    </w:p>
    <w:p>
      <w:pPr>
        <w:widowControl/>
      </w:pPr>
      <w:r>
        <w:rPr>
          <w:rFonts w:ascii="Pretendard" w:hAnsi="Pretendard" w:eastAsia="Pretendard"/>
          <w:b w:val="0"/>
        </w:rPr>
        <w:t>Git PPT_RULES와 PPT_WORKFLOW의 고정 골격·팔레트·역할별 글자크기를 적용하라. 제목은 한 줄에 맞도록 원뜻을 유지해 조정하고 임의의 축소 글꼴을 만들지 마라. 한 장이 넘치면 사례의 경위/판단 또는 연구의 설계/결과 구분을 보존해 나누어라. 그림자·둥근 카드·입장별 색상은 추가하지 마라.</w:t>
      </w:r>
    </w:p>
    <w:p>
      <w:pPr>
        <w:pStyle w:val="Heading2"/>
        <w:widowControl/>
      </w:pPr>
      <w:r>
        <w:rPr>
          <w:rFonts w:ascii="Pretendard" w:hAnsi="Pretendard" w:eastAsia="Pretendard"/>
          <w:b w:val="0"/>
        </w:rPr>
        <w:t>출처와 검수</w:t>
      </w:r>
    </w:p>
    <w:p>
      <w:pPr>
        <w:widowControl/>
      </w:pPr>
      <w:r>
        <w:rPr>
          <w:rFonts w:ascii="Pretendard" w:hAnsi="Pretendard" w:eastAsia="Pretendard"/>
          <w:b w:val="0"/>
        </w:rPr>
        <w:t>화면 각주에는 기관·연구자·연도·지침/조문/결과표를 표시하고, 전체 URL과 서지는 발표노트에 남겨라. 문서의 수업용 설계를 현행 의무로 바꾸지 마라. 전체 렌더 후 본문 경계·겹침·동일 위계 정렬·줄간격·각주 위치·다음 장 연결을 확인하라.</w:t>
      </w:r>
    </w:p>
    <w:tbl>
      <w:tblPr>
        <w:tblW w:type="auto" w:w="0"/>
        <w:jc w:val="center"/>
        <w:tblLayout w:type="fixed"/>
        <w:tblLook w:firstColumn="1" w:firstRow="1" w:lastColumn="0" w:lastRow="0" w:noHBand="0" w:noVBand="1" w:val="04A0"/>
        <w:tblBorders>
          <w:top w:val="single" w:sz="4" w:color="DCE0E8"/>
          <w:left w:val="single" w:sz="4" w:color="DCE0E8"/>
          <w:bottom w:val="single" w:sz="4" w:color="DCE0E8"/>
          <w:right w:val="single" w:sz="4" w:color="DCE0E8"/>
          <w:insideH w:val="single" w:sz="4" w:color="DCE0E8"/>
          <w:insideV w:val="single" w:sz="4" w:color="DCE0E8"/>
        </w:tblBorders>
        <w:tblCellMar>
          <w:top w:w="90" w:type="dxa"/>
          <w:bottom w:w="90" w:type="dxa"/>
          <w:left w:w="110" w:type="dxa"/>
          <w:right w:w="110" w:type="dxa"/>
        </w:tblCellMar>
      </w:tblPr>
      <w:tblGrid>
        <w:gridCol w:w="2835"/>
        <w:gridCol w:w="6917"/>
      </w:tblGrid>
      <w:tr>
        <w:trPr>
          <w:tblHeader/>
          <w:cantSplit/>
        </w:trPr>
        <w:tc>
          <w:tcPr>
            <w:tcW w:type="dxa" w:w="2835"/>
            <w:shd w:fill="20285F"/>
            <w:vAlign w:val="center"/>
          </w:tcPr>
          <w:p>
            <w:pPr>
              <w:keepNext w:val="0"/>
              <w:widowControl/>
              <w:spacing w:after="60" w:before="20" w:line="283" w:lineRule="auto"/>
            </w:pPr>
            <w:r/>
            <w:r>
              <w:rPr>
                <w:rFonts w:ascii="Pretendard" w:hAnsi="Pretendard" w:eastAsia="Pretendard"/>
                <w:b/>
                <w:color w:val="FFFFFF"/>
                <w:sz w:val="19"/>
              </w:rPr>
              <w:t>검수 질문</w:t>
            </w:r>
          </w:p>
        </w:tc>
        <w:tc>
          <w:tcPr>
            <w:tcW w:type="dxa" w:w="6917"/>
            <w:shd w:fill="20285F"/>
            <w:vAlign w:val="center"/>
          </w:tcPr>
          <w:p>
            <w:pPr>
              <w:keepNext w:val="0"/>
              <w:widowControl/>
              <w:spacing w:after="60" w:before="20" w:line="283" w:lineRule="auto"/>
            </w:pPr>
            <w:r/>
            <w:r>
              <w:rPr>
                <w:rFonts w:ascii="Pretendard" w:hAnsi="Pretendard" w:eastAsia="Pretendard"/>
                <w:b/>
                <w:color w:val="FFFFFF"/>
                <w:sz w:val="19"/>
              </w:rPr>
              <w:t>통과 조건</w:t>
            </w:r>
          </w:p>
        </w:tc>
      </w:tr>
      <w:tr>
        <w:trPr>
          <w:cantSplit/>
        </w:trPr>
        <w:tc>
          <w:tcPr>
            <w:tcW w:type="dxa" w:w="2835"/>
            <w:vAlign w:val="center"/>
          </w:tcPr>
          <w:p>
            <w:pPr>
              <w:keepNext w:val="0"/>
              <w:widowControl/>
              <w:spacing w:after="60" w:before="20" w:line="283" w:lineRule="auto"/>
            </w:pPr>
            <w:r/>
            <w:r>
              <w:rPr>
                <w:rFonts w:ascii="Pretendard" w:hAnsi="Pretendard" w:eastAsia="Pretendard"/>
                <w:b w:val="0"/>
                <w:color w:val="28303E"/>
                <w:sz w:val="19"/>
              </w:rPr>
              <w:t>이 화면에서 새로 배운 것은 무엇인가?</w:t>
            </w:r>
          </w:p>
        </w:tc>
        <w:tc>
          <w:tcPr>
            <w:tcW w:type="dxa" w:w="6917"/>
            <w:vAlign w:val="center"/>
          </w:tcPr>
          <w:p>
            <w:pPr>
              <w:keepNext w:val="0"/>
              <w:widowControl/>
              <w:spacing w:after="60" w:before="20" w:line="283" w:lineRule="auto"/>
            </w:pPr>
            <w:r/>
            <w:r>
              <w:rPr>
                <w:rFonts w:ascii="Pretendard" w:hAnsi="Pretendard" w:eastAsia="Pretendard"/>
                <w:b w:val="0"/>
                <w:color w:val="28303E"/>
                <w:sz w:val="19"/>
              </w:rPr>
              <w:t>앞 단원의 반복보다 실제 선별·대응·권한·전달조건이 하나 이상 드러난다.</w:t>
            </w:r>
          </w:p>
        </w:tc>
      </w:tr>
      <w:tr>
        <w:trPr>
          <w:cantSplit/>
        </w:trPr>
        <w:tc>
          <w:tcPr>
            <w:tcW w:type="dxa" w:w="2835"/>
            <w:vAlign w:val="center"/>
            <w:shd w:fill="F8F9FB"/>
          </w:tcPr>
          <w:p>
            <w:pPr>
              <w:keepNext w:val="0"/>
              <w:widowControl/>
              <w:spacing w:after="60" w:before="20" w:line="283" w:lineRule="auto"/>
            </w:pPr>
            <w:r/>
            <w:r>
              <w:rPr>
                <w:rFonts w:ascii="Pretendard" w:hAnsi="Pretendard" w:eastAsia="Pretendard"/>
                <w:b w:val="0"/>
                <w:color w:val="28303E"/>
                <w:sz w:val="19"/>
              </w:rPr>
              <w:t>논제에 어떻게 연결되는가?</w:t>
            </w:r>
          </w:p>
        </w:tc>
        <w:tc>
          <w:tcPr>
            <w:tcW w:type="dxa" w:w="6917"/>
            <w:vAlign w:val="center"/>
            <w:shd w:fill="F8F9FB"/>
          </w:tcPr>
          <w:p>
            <w:pPr>
              <w:keepNext w:val="0"/>
              <w:widowControl/>
              <w:spacing w:after="60" w:before="20" w:line="283" w:lineRule="auto"/>
            </w:pPr>
            <w:r/>
            <w:r>
              <w:rPr>
                <w:rFonts w:ascii="Pretendard" w:hAnsi="Pretendard" w:eastAsia="Pretendard"/>
                <w:b w:val="0"/>
                <w:color w:val="28303E"/>
                <w:sz w:val="19"/>
              </w:rPr>
              <w:t>치료우선의 가능성과 조건을 설명하되 형사처벌 일반의 무효·우위를 임의로 결론내리지 않는다.</w:t>
            </w:r>
          </w:p>
        </w:tc>
      </w:tr>
      <w:tr>
        <w:trPr>
          <w:cantSplit/>
        </w:trPr>
        <w:tc>
          <w:tcPr>
            <w:tcW w:type="dxa" w:w="2835"/>
            <w:vAlign w:val="center"/>
          </w:tcPr>
          <w:p>
            <w:pPr>
              <w:keepNext w:val="0"/>
              <w:widowControl/>
              <w:spacing w:after="60" w:before="20" w:line="283" w:lineRule="auto"/>
            </w:pPr>
            <w:r/>
            <w:r>
              <w:rPr>
                <w:rFonts w:ascii="Pretendard" w:hAnsi="Pretendard" w:eastAsia="Pretendard"/>
                <w:b w:val="0"/>
                <w:color w:val="28303E"/>
                <w:sz w:val="19"/>
              </w:rPr>
              <w:t>자료와 해석이 구분되는가?</w:t>
            </w:r>
          </w:p>
        </w:tc>
        <w:tc>
          <w:tcPr>
            <w:tcW w:type="dxa" w:w="6917"/>
            <w:vAlign w:val="center"/>
          </w:tcPr>
          <w:p>
            <w:pPr>
              <w:keepNext w:val="0"/>
              <w:widowControl/>
              <w:spacing w:after="60" w:before="20" w:line="283" w:lineRule="auto"/>
            </w:pPr>
            <w:r/>
            <w:r>
              <w:rPr>
                <w:rFonts w:ascii="Pretendard" w:hAnsi="Pretendard" w:eastAsia="Pretendard"/>
                <w:b w:val="0"/>
                <w:color w:val="28303E"/>
                <w:sz w:val="19"/>
              </w:rPr>
              <w:t>법령·판례·연구결과·권고·수업용 운영안의 성격이 혼동되지 않는다.</w:t>
            </w:r>
          </w:p>
        </w:tc>
      </w:tr>
      <w:tr>
        <w:trPr>
          <w:cantSplit/>
        </w:trPr>
        <w:tc>
          <w:tcPr>
            <w:tcW w:type="dxa" w:w="2835"/>
            <w:vAlign w:val="center"/>
            <w:shd w:fill="F8F9FB"/>
          </w:tcPr>
          <w:p>
            <w:pPr>
              <w:keepNext w:val="0"/>
              <w:widowControl/>
              <w:spacing w:after="60" w:before="20" w:line="283" w:lineRule="auto"/>
            </w:pPr>
            <w:r/>
            <w:r>
              <w:rPr>
                <w:rFonts w:ascii="Pretendard" w:hAnsi="Pretendard" w:eastAsia="Pretendard"/>
                <w:b w:val="0"/>
                <w:color w:val="28303E"/>
                <w:sz w:val="19"/>
              </w:rPr>
              <w:t>제6장의 역할을 침범하지 않는가?</w:t>
            </w:r>
          </w:p>
        </w:tc>
        <w:tc>
          <w:tcPr>
            <w:tcW w:type="dxa" w:w="6917"/>
            <w:vAlign w:val="center"/>
            <w:shd w:fill="F8F9FB"/>
          </w:tcPr>
          <w:p>
            <w:pPr>
              <w:keepNext w:val="0"/>
              <w:widowControl/>
              <w:spacing w:after="60" w:before="20" w:line="283" w:lineRule="auto"/>
            </w:pPr>
            <w:r/>
            <w:r>
              <w:rPr>
                <w:rFonts w:ascii="Pretendard" w:hAnsi="Pretendard" w:eastAsia="Pretendard"/>
                <w:b w:val="0"/>
                <w:color w:val="28303E"/>
                <w:sz w:val="19"/>
              </w:rPr>
              <w:t>마지막에 논거 종합·최종 선택을 대신하지 않고 입력자료만 넘긴다.</w:t>
            </w:r>
          </w:p>
        </w:tc>
      </w:tr>
    </w:tbl>
    <w:p>
      <w:pPr>
        <w:widowControl/>
        <w:spacing w:after="20"/>
      </w:pPr>
    </w:p>
    <w:sectPr w:rsidR="00FC693F" w:rsidRPr="0006063C" w:rsidSect="00034616">
      <w:headerReference w:type="default" r:id="rId9"/>
      <w:footerReference w:type="default" r:id="rId10"/>
      <w:pgSz w:w="11906" w:h="16838"/>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retendard" w:hAnsi="Pretendard" w:eastAsia="Pretendard"/>
        <w:b w:val="0"/>
        <w:color w:val="626C7B"/>
        <w:sz w:val="17"/>
      </w:rPr>
      <w:t xml:space="preserve">v1.0 · 2026.09.19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retendard" w:hAnsi="Pretendard" w:eastAsia="Pretendard"/>
        <w:b w:val="0"/>
        <w:color w:val="626C7B"/>
        <w:sz w:val="17"/>
      </w:rPr>
      <w:t>범죄·공공안전세미나Ⅱ  |  제5장 PPT 구성·대본 설계안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5" w:lineRule="auto"/>
    </w:pPr>
    <w:rPr>
      <w:rFonts w:ascii="Pretendard" w:hAnsi="Pretendard" w:eastAsia="Pretendard"/>
      <w:color w:val="2830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Pretendard" w:hAnsi="Pretendard" w:eastAsia="Pretendard"/>
      <w:b/>
      <w:bCs/>
      <w:color w:val="20285F"/>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Pretendard" w:hAnsi="Pretendard" w:eastAsia="Pretendard"/>
      <w:b/>
      <w:bCs/>
      <w:color w:val="20285F"/>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Pretendard" w:hAnsi="Pretendard" w:eastAsia="Pretendard"/>
      <w:b/>
      <w:bCs/>
      <w:color w:val="2028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Pretendard" w:hAnsi="Pretendard" w:eastAsia="Pretendard"/>
      <w:b/>
      <w:color w:val="20285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Pretendard" w:hAnsi="Pretendard" w:eastAsia="Pretendard"/>
      <w:i/>
      <w:iCs/>
      <w:color w:val="626C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95" w:lineRule="auto"/>
    </w:pPr>
    <w:rPr>
      <w:rFonts w:ascii="Pretendard" w:hAnsi="Pretendard" w:eastAsia="Pretendard"/>
      <w:color w:val="28303E"/>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Pretendard" w:hAnsi="Pretendard" w:eastAsia="Pretendard"/>
      <w:b/>
      <w:bCs/>
      <w:color w:val="626C7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skwon89/lecture/blob/master/ppt/PPT_RULES.md" TargetMode="External"/><Relationship Id="rId12" Type="http://schemas.openxmlformats.org/officeDocument/2006/relationships/hyperlink" Target="https://github.com/jskwon89/lecture/blob/master/ppt/PPT_WORKFLOW.md" TargetMode="External"/><Relationship Id="rId13" Type="http://schemas.openxmlformats.org/officeDocument/2006/relationships/hyperlink" Target="https://github.com/jskwon89/lecture/blob/master/ppt/references/COMPARATIVE_EFFECT_SLIDE_DESIGN_LESSONS_20260919.md" TargetMode="External"/><Relationship Id="rId14" Type="http://schemas.openxmlformats.org/officeDocument/2006/relationships/hyperlink" Target="https://ojjdp.ojp.gov/sites/g/files/xyckuh176/files/pubs/250368.pdf" TargetMode="External"/><Relationship Id="rId15" Type="http://schemas.openxmlformats.org/officeDocument/2006/relationships/hyperlink" Target="https://www.law.go.kr/LSW/lsSideInfoP.do?docCls=jo&amp;joBrNo=00&amp;joNo=0037&amp;lsiSeq=222435&amp;urlMode=lsScJoRltInfoR" TargetMode="External"/><Relationship Id="rId16" Type="http://schemas.openxmlformats.org/officeDocument/2006/relationships/hyperlink" Target="https://www.law.go.kr/LSW/lsLawLinkInfo.do?chrClsCd=010202&amp;lsJoLnkSeq=900310018" TargetMode="External"/><Relationship Id="rId17" Type="http://schemas.openxmlformats.org/officeDocument/2006/relationships/hyperlink" Target="https://www.law.go.kr/LSW/lsSideInfoP.do?docCls=jo&amp;joBrNo=00&amp;joNo=0049&amp;lsiSeq=268863&amp;urlMode=lsScJoRltInfoR" TargetMode="External"/><Relationship Id="rId18" Type="http://schemas.openxmlformats.org/officeDocument/2006/relationships/hyperlink" Target="https://law.justia.com/cases/florida/second-district-court-of-appeal/2005/2d05-1-1843.html" TargetMode="External"/><Relationship Id="rId19" Type="http://schemas.openxmlformats.org/officeDocument/2006/relationships/hyperlink" Target="https://eprints.whiterose.ac.uk/id/eprint/223099/1/3044597.pdf" TargetMode="External"/><Relationship Id="rId20" Type="http://schemas.openxmlformats.org/officeDocument/2006/relationships/hyperlink" Target="https://pubmed.ncbi.nlm.nih.gov/37254608/" TargetMode="External"/><Relationship Id="rId21" Type="http://schemas.openxmlformats.org/officeDocument/2006/relationships/hyperlink" Target="https://pmc.ncbi.nlm.nih.gov/articles/PMC11082498/" TargetMode="External"/><Relationship Id="rId22" Type="http://schemas.openxmlformats.org/officeDocument/2006/relationships/hyperlink" Target="https://www.healthaffairs.org/doi/10.1377/hlthaff.2023.00777" TargetMode="External"/><Relationship Id="rId23" Type="http://schemas.openxmlformats.org/officeDocument/2006/relationships/hyperlink" Target="https://www.law.go.kr/lsLinkCommonInfo.do?ancYnChk=&amp;chrClsCd=010202&amp;lsJoLnkSeq=1020398539" TargetMode="External"/><Relationship Id="rId24" Type="http://schemas.openxmlformats.org/officeDocument/2006/relationships/hyperlink" Target="https://dl.nanet.go.kr/detail/MONO12026000007750" TargetMode="External"/><Relationship Id="rId25" Type="http://schemas.openxmlformats.org/officeDocument/2006/relationships/hyperlink" Target="https://pubmed.ncbi.nlm.nih.gov/17207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제5장 치료·재활 우선의 조건과 한계 — 상세 PPT 구성안</dc:title>
  <dc:subject>현재 v14 목차·중복 대조와 원문 재검증에 기초한 슬라이드별 설계 및 강의 대본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