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5주차 PPT 수정안</w:t>
      </w:r>
    </w:p>
    <w:p>
      <w:pPr>
        <w:spacing w:after="120"/>
      </w:pPr>
      <w:r>
        <w:rPr>
          <w:b/>
          <w:sz w:val="28"/>
        </w:rPr>
        <w:t>우범소년 송치 사례와 피해지원 비교 및 현장 논거 보강</w:t>
      </w:r>
    </w:p>
    <w:p>
      <w:pPr>
        <w:spacing w:after="120"/>
      </w:pPr>
      <w:r>
        <w:rPr>
          <w:b/>
        </w:rPr>
        <w:t>논제  성매매가 우려되는 가출 청소년을 우범소년으로 송치하여야 하는가?</w:t>
      </w:r>
    </w:p>
    <w:p>
      <w:pPr>
        <w:spacing w:after="120"/>
      </w:pPr>
      <w:r>
        <w:rPr>
          <w:b w:val="0"/>
        </w:rPr>
        <w:t>이 문서는 기존 8개 단원을 유지하면서, 승인된 우선순서에 따라 PPT를 수정하기 위한 편집안이다. 실제 화면에 사용할 문구와 배치, 강사 설명, 출처를 함께 제시한다. 핵심은 보호가 필요한 사정과 송치 요건을 구분하고, 피해지원과 소년사법이 제공하는 개입을 구체적으로 비교하는 것이다.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128"/>
        <w:gridCol w:w="2016"/>
      </w:tblGrid>
      <w:tr>
        <w:trPr>
          <w:cantSplit/>
          <w:tblHeader/>
        </w:trPr>
        <w:tc>
          <w:tcPr>
            <w:tcW w:type="dxa" w:w="1008"/>
            <w:vAlign w:val="center"/>
            <w:tcMar>
              <w:top w:w="100" w:type="dxa"/>
              <w:left w:w="100" w:type="dxa"/>
              <w:bottom w:w="100" w:type="dxa"/>
              <w:right w:w="100" w:type="dxa"/>
            </w:tcMar>
            <w:shd w:fill="E8EDF3"/>
          </w:tcPr>
          <w:p>
            <w:pPr>
              <w:spacing w:after="20" w:line="269" w:lineRule="auto"/>
            </w:pPr>
            <w:r>
              <w:rPr>
                <w:b/>
                <w:sz w:val="20"/>
              </w:rPr>
              <w:t>수정 순서</w:t>
            </w:r>
          </w:p>
        </w:tc>
        <w:tc>
          <w:tcPr>
            <w:tcW w:type="dxa" w:w="7128"/>
            <w:vAlign w:val="center"/>
            <w:tcMar>
              <w:top w:w="100" w:type="dxa"/>
              <w:left w:w="100" w:type="dxa"/>
              <w:bottom w:w="100" w:type="dxa"/>
              <w:right w:w="100" w:type="dxa"/>
            </w:tcMar>
            <w:shd w:fill="E8EDF3"/>
          </w:tcPr>
          <w:p>
            <w:pPr>
              <w:spacing w:after="20" w:line="269" w:lineRule="auto"/>
            </w:pPr>
            <w:r>
              <w:rPr>
                <w:b/>
                <w:sz w:val="20"/>
              </w:rPr>
              <w:t>수정 대상</w:t>
            </w:r>
          </w:p>
        </w:tc>
        <w:tc>
          <w:tcPr>
            <w:tcW w:type="dxa" w:w="2016"/>
            <w:vAlign w:val="center"/>
            <w:tcMar>
              <w:top w:w="100" w:type="dxa"/>
              <w:left w:w="100" w:type="dxa"/>
              <w:bottom w:w="100" w:type="dxa"/>
              <w:right w:w="100" w:type="dxa"/>
            </w:tcMar>
            <w:shd w:fill="E8EDF3"/>
          </w:tcPr>
          <w:p>
            <w:pPr>
              <w:spacing w:after="20" w:line="269" w:lineRule="auto"/>
            </w:pPr>
            <w:r>
              <w:rPr>
                <w:b/>
                <w:sz w:val="20"/>
              </w:rPr>
              <w:t>문서 내 안</w:t>
            </w:r>
          </w:p>
        </w:tc>
      </w:tr>
      <w:tr>
        <w:trPr>
          <w:cantSplit/>
        </w:trPr>
        <w:tc>
          <w:tcPr>
            <w:tcW w:type="dxa" w:w="1008"/>
            <w:vAlign w:val="center"/>
            <w:tcMar>
              <w:top w:w="100" w:type="dxa"/>
              <w:left w:w="100" w:type="dxa"/>
              <w:bottom w:w="100" w:type="dxa"/>
              <w:right w:w="100" w:type="dxa"/>
            </w:tcMar>
          </w:tcPr>
          <w:p>
            <w:pPr>
              <w:spacing w:after="20" w:line="269" w:lineRule="auto"/>
            </w:pPr>
            <w:r>
              <w:rPr>
                <w:b w:val="0"/>
                <w:sz w:val="20"/>
              </w:rPr>
              <w:t>1</w:t>
            </w:r>
          </w:p>
        </w:tc>
        <w:tc>
          <w:tcPr>
            <w:tcW w:type="dxa" w:w="7128"/>
            <w:vAlign w:val="center"/>
            <w:tcMar>
              <w:top w:w="100" w:type="dxa"/>
              <w:left w:w="100" w:type="dxa"/>
              <w:bottom w:w="100" w:type="dxa"/>
              <w:right w:w="100" w:type="dxa"/>
            </w:tcMar>
          </w:tcPr>
          <w:p>
            <w:pPr>
              <w:spacing w:after="20" w:line="269" w:lineRule="auto"/>
            </w:pPr>
            <w:r>
              <w:rPr>
                <w:b w:val="0"/>
                <w:sz w:val="20"/>
              </w:rPr>
              <w:t>첨부 사례의 7호 처분 이유 보완</w:t>
            </w:r>
          </w:p>
        </w:tc>
        <w:tc>
          <w:tcPr>
            <w:tcW w:type="dxa" w:w="2016"/>
            <w:vAlign w:val="center"/>
            <w:tcMar>
              <w:top w:w="100" w:type="dxa"/>
              <w:left w:w="100" w:type="dxa"/>
              <w:bottom w:w="100" w:type="dxa"/>
              <w:right w:w="100" w:type="dxa"/>
            </w:tcMar>
          </w:tcPr>
          <w:p>
            <w:pPr>
              <w:spacing w:after="20" w:line="269" w:lineRule="auto"/>
            </w:pPr>
            <w:r>
              <w:rPr>
                <w:b w:val="0"/>
                <w:sz w:val="20"/>
              </w:rPr>
              <w:t>A1</w:t>
            </w:r>
          </w:p>
        </w:tc>
      </w:tr>
      <w:tr>
        <w:trPr>
          <w:cantSplit/>
        </w:trPr>
        <w:tc>
          <w:tcPr>
            <w:tcW w:type="dxa" w:w="1008"/>
            <w:vAlign w:val="center"/>
            <w:tcMar>
              <w:top w:w="100" w:type="dxa"/>
              <w:left w:w="100" w:type="dxa"/>
              <w:bottom w:w="100" w:type="dxa"/>
              <w:right w:w="100" w:type="dxa"/>
            </w:tcMar>
          </w:tcPr>
          <w:p>
            <w:pPr>
              <w:spacing w:after="20" w:line="269" w:lineRule="auto"/>
            </w:pPr>
            <w:r>
              <w:rPr>
                <w:b w:val="0"/>
                <w:sz w:val="20"/>
              </w:rPr>
              <w:t>2</w:t>
            </w:r>
          </w:p>
        </w:tc>
        <w:tc>
          <w:tcPr>
            <w:tcW w:type="dxa" w:w="7128"/>
            <w:vAlign w:val="center"/>
            <w:tcMar>
              <w:top w:w="100" w:type="dxa"/>
              <w:left w:w="100" w:type="dxa"/>
              <w:bottom w:w="100" w:type="dxa"/>
              <w:right w:w="100" w:type="dxa"/>
            </w:tcMar>
          </w:tcPr>
          <w:p>
            <w:pPr>
              <w:spacing w:after="20" w:line="269" w:lineRule="auto"/>
            </w:pPr>
            <w:r>
              <w:rPr>
                <w:b w:val="0"/>
                <w:sz w:val="20"/>
              </w:rPr>
              <w:t>제5장 피해지원과 소년사법 비교</w:t>
            </w:r>
          </w:p>
        </w:tc>
        <w:tc>
          <w:tcPr>
            <w:tcW w:type="dxa" w:w="2016"/>
            <w:vAlign w:val="center"/>
            <w:tcMar>
              <w:top w:w="100" w:type="dxa"/>
              <w:left w:w="100" w:type="dxa"/>
              <w:bottom w:w="100" w:type="dxa"/>
              <w:right w:w="100" w:type="dxa"/>
            </w:tcMar>
          </w:tcPr>
          <w:p>
            <w:pPr>
              <w:spacing w:after="20" w:line="269" w:lineRule="auto"/>
            </w:pPr>
            <w:r>
              <w:rPr>
                <w:b w:val="0"/>
                <w:sz w:val="20"/>
              </w:rPr>
              <w:t>B1–B3</w:t>
            </w:r>
          </w:p>
        </w:tc>
      </w:tr>
      <w:tr>
        <w:trPr>
          <w:cantSplit/>
        </w:trPr>
        <w:tc>
          <w:tcPr>
            <w:tcW w:type="dxa" w:w="1008"/>
            <w:vAlign w:val="center"/>
            <w:tcMar>
              <w:top w:w="100" w:type="dxa"/>
              <w:left w:w="100" w:type="dxa"/>
              <w:bottom w:w="100" w:type="dxa"/>
              <w:right w:w="100" w:type="dxa"/>
            </w:tcMar>
          </w:tcPr>
          <w:p>
            <w:pPr>
              <w:spacing w:after="20" w:line="269" w:lineRule="auto"/>
            </w:pPr>
            <w:r>
              <w:rPr>
                <w:b w:val="0"/>
                <w:sz w:val="20"/>
              </w:rPr>
              <w:t>3</w:t>
            </w:r>
          </w:p>
        </w:tc>
        <w:tc>
          <w:tcPr>
            <w:tcW w:type="dxa" w:w="7128"/>
            <w:vAlign w:val="center"/>
            <w:tcMar>
              <w:top w:w="100" w:type="dxa"/>
              <w:left w:w="100" w:type="dxa"/>
              <w:bottom w:w="100" w:type="dxa"/>
              <w:right w:w="100" w:type="dxa"/>
            </w:tcMar>
          </w:tcPr>
          <w:p>
            <w:pPr>
              <w:spacing w:after="20" w:line="269" w:lineRule="auto"/>
            </w:pPr>
            <w:r>
              <w:rPr>
                <w:b w:val="0"/>
                <w:sz w:val="20"/>
              </w:rPr>
              <w:t>제6장 현장 판단과 제도개선 논거</w:t>
            </w:r>
          </w:p>
        </w:tc>
        <w:tc>
          <w:tcPr>
            <w:tcW w:type="dxa" w:w="2016"/>
            <w:vAlign w:val="center"/>
            <w:tcMar>
              <w:top w:w="100" w:type="dxa"/>
              <w:left w:w="100" w:type="dxa"/>
              <w:bottom w:w="100" w:type="dxa"/>
              <w:right w:w="100" w:type="dxa"/>
            </w:tcMar>
          </w:tcPr>
          <w:p>
            <w:pPr>
              <w:spacing w:after="20" w:line="269" w:lineRule="auto"/>
            </w:pPr>
            <w:r>
              <w:rPr>
                <w:b w:val="0"/>
                <w:sz w:val="20"/>
              </w:rPr>
              <w:t>C1–C3</w:t>
            </w:r>
          </w:p>
        </w:tc>
      </w:tr>
      <w:tr>
        <w:trPr>
          <w:cantSplit/>
        </w:trPr>
        <w:tc>
          <w:tcPr>
            <w:tcW w:type="dxa" w:w="1008"/>
            <w:vAlign w:val="center"/>
            <w:tcMar>
              <w:top w:w="100" w:type="dxa"/>
              <w:left w:w="100" w:type="dxa"/>
              <w:bottom w:w="100" w:type="dxa"/>
              <w:right w:w="100" w:type="dxa"/>
            </w:tcMar>
          </w:tcPr>
          <w:p>
            <w:pPr>
              <w:spacing w:after="20" w:line="269" w:lineRule="auto"/>
            </w:pPr>
            <w:r>
              <w:rPr>
                <w:b w:val="0"/>
                <w:sz w:val="20"/>
              </w:rPr>
              <w:t>4</w:t>
            </w:r>
          </w:p>
        </w:tc>
        <w:tc>
          <w:tcPr>
            <w:tcW w:type="dxa" w:w="7128"/>
            <w:vAlign w:val="center"/>
            <w:tcMar>
              <w:top w:w="100" w:type="dxa"/>
              <w:left w:w="100" w:type="dxa"/>
              <w:bottom w:w="100" w:type="dxa"/>
              <w:right w:w="100" w:type="dxa"/>
            </w:tcMar>
          </w:tcPr>
          <w:p>
            <w:pPr>
              <w:spacing w:after="20" w:line="269" w:lineRule="auto"/>
            </w:pPr>
            <w:r>
              <w:rPr>
                <w:b w:val="0"/>
                <w:sz w:val="20"/>
              </w:rPr>
              <w:t>제7장 비교제도와 효과근거 정리</w:t>
            </w:r>
          </w:p>
        </w:tc>
        <w:tc>
          <w:tcPr>
            <w:tcW w:type="dxa" w:w="2016"/>
            <w:vAlign w:val="center"/>
            <w:tcMar>
              <w:top w:w="100" w:type="dxa"/>
              <w:left w:w="100" w:type="dxa"/>
              <w:bottom w:w="100" w:type="dxa"/>
              <w:right w:w="100" w:type="dxa"/>
            </w:tcMar>
          </w:tcPr>
          <w:p>
            <w:pPr>
              <w:spacing w:after="20" w:line="269" w:lineRule="auto"/>
            </w:pPr>
            <w:r>
              <w:rPr>
                <w:b w:val="0"/>
                <w:sz w:val="20"/>
              </w:rPr>
              <w:t>D1–D2</w:t>
            </w:r>
          </w:p>
        </w:tc>
      </w:tr>
      <w:tr>
        <w:trPr>
          <w:cantSplit/>
        </w:trPr>
        <w:tc>
          <w:tcPr>
            <w:tcW w:type="dxa" w:w="1008"/>
            <w:vAlign w:val="center"/>
            <w:tcMar>
              <w:top w:w="100" w:type="dxa"/>
              <w:left w:w="100" w:type="dxa"/>
              <w:bottom w:w="100" w:type="dxa"/>
              <w:right w:w="100" w:type="dxa"/>
            </w:tcMar>
          </w:tcPr>
          <w:p>
            <w:pPr>
              <w:spacing w:after="20" w:line="269" w:lineRule="auto"/>
            </w:pPr>
            <w:r>
              <w:rPr>
                <w:b w:val="0"/>
                <w:sz w:val="20"/>
              </w:rPr>
              <w:t>연동</w:t>
            </w:r>
          </w:p>
        </w:tc>
        <w:tc>
          <w:tcPr>
            <w:tcW w:type="dxa" w:w="7128"/>
            <w:vAlign w:val="center"/>
            <w:tcMar>
              <w:top w:w="100" w:type="dxa"/>
              <w:left w:w="100" w:type="dxa"/>
              <w:bottom w:w="100" w:type="dxa"/>
              <w:right w:w="100" w:type="dxa"/>
            </w:tcMar>
          </w:tcPr>
          <w:p>
            <w:pPr>
              <w:spacing w:after="20" w:line="269" w:lineRule="auto"/>
            </w:pPr>
            <w:r>
              <w:rPr>
                <w:b w:val="0"/>
                <w:sz w:val="20"/>
              </w:rPr>
              <w:t>제2–4장과 제8장 연결 및 자료대장 정정</w:t>
            </w:r>
          </w:p>
        </w:tc>
        <w:tc>
          <w:tcPr>
            <w:tcW w:type="dxa" w:w="2016"/>
            <w:vAlign w:val="center"/>
            <w:tcMar>
              <w:top w:w="100" w:type="dxa"/>
              <w:left w:w="100" w:type="dxa"/>
              <w:bottom w:w="100" w:type="dxa"/>
              <w:right w:w="100" w:type="dxa"/>
            </w:tcMar>
          </w:tcPr>
          <w:p>
            <w:pPr>
              <w:spacing w:after="20" w:line="269" w:lineRule="auto"/>
            </w:pPr>
            <w:r>
              <w:rPr>
                <w:b w:val="0"/>
                <w:sz w:val="20"/>
              </w:rPr>
              <w:t>E1 및 연동 수정</w:t>
            </w:r>
          </w:p>
        </w:tc>
      </w:tr>
    </w:tbl>
    <w:p>
      <w:pPr>
        <w:spacing w:after="20"/>
      </w:pPr>
      <w:r>
        <w:rPr>
          <w:b w:val="0"/>
        </w:rPr>
      </w:r>
    </w:p>
    <w:p>
      <w:pPr>
        <w:pStyle w:val="Heading2"/>
      </w:pPr>
      <w:r>
        <w:t>적용 범위</w:t>
      </w:r>
    </w:p>
    <w:p>
      <w:pPr>
        <w:spacing w:after="120"/>
      </w:pPr>
      <w:r>
        <w:rPr>
          <w:b w:val="0"/>
        </w:rPr>
        <w:t>A1 등은 수정안 식별자이며 실제 PPT 쪽번호가 아니다. 첨부 화면과 승인된 목차를 기준으로 작성했으며, 최신 전체 PPTX의 페이지 수나 구현 상태를 확정한 문서는 아니다. 같은 기능의 기존 페이지를 우선 교체하고, 대응 페이지가 없을 때만 신설을 검토한다.</w:t>
      </w:r>
    </w:p>
    <w:p>
      <w:pPr>
        <w:spacing w:after="120"/>
      </w:pPr>
      <w:r>
        <w:rPr>
          <w:b w:val="0"/>
        </w:rPr>
        <w:t>제1장에서 삭제하기로 한 첫 페이지와 논제 안·밖 구획을 되살리지 않는다. 새로운 가상사례를 만들지 않는다. 하단 문장은 해당 페이지를 정리하거나 구체적인 판단 질문을 제시하며, 다음 장 안내는 별도로 둔다.</w:t>
      </w:r>
    </w:p>
    <w:p>
      <w:pPr>
        <w:pStyle w:val="Heading2"/>
      </w:pPr>
      <w:r>
        <w:t>작업 기준</w:t>
      </w:r>
    </w:p>
    <w:p>
      <w:pPr>
        <w:spacing w:after="120"/>
      </w:pPr>
      <w:r>
        <w:rPr>
          <w:b w:val="0"/>
          <w:sz w:val="18"/>
        </w:rPr>
        <w:t>GitHub jskwon89/lecture · master</w:t>
        <w:br/>
        <w:t>6419950ef180efc8b5a94aeb3ab1d1f7df6094e0</w:t>
        <w:br/>
        <w:t>커밋 시각 2026년 9월 22일 22시 51분 05초 KST</w:t>
      </w:r>
    </w:p>
    <w:p>
      <w:pPr>
        <w:spacing w:after="120"/>
      </w:pPr>
      <w:r>
        <w:rPr>
          <w:b w:val="0"/>
          <w:sz w:val="18"/>
        </w:rPr>
        <w:t>Canonical v1.6 및 GPT_LAYOUT_EXPERIMENT 적용. Research Coverage PASS와 TOC 정합성 PASS WITH REVISION을 인수했다. 본 문서의 출처는 2026년 9월 23일 KST까지 확인한 자료를 기준으로 한다.</w:t>
      </w:r>
    </w:p>
    <w:p>
      <w:r>
        <w:br w:type="page"/>
      </w:r>
    </w:p>
    <w:p>
      <w:pPr>
        <w:pStyle w:val="Heading1"/>
      </w:pPr>
      <w:r>
        <w:t>전체 목차와 자료 배치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472"/>
      </w:tblGrid>
      <w:tr>
        <w:trPr>
          <w:cantSplit/>
          <w:tblHeader/>
        </w:trPr>
        <w:tc>
          <w:tcPr>
            <w:tcW w:type="dxa" w:w="4680"/>
            <w:vAlign w:val="center"/>
            <w:tcMar>
              <w:top w:w="100" w:type="dxa"/>
              <w:left w:w="100" w:type="dxa"/>
              <w:bottom w:w="100" w:type="dxa"/>
              <w:right w:w="100" w:type="dxa"/>
            </w:tcMar>
            <w:shd w:fill="E8EDF3"/>
          </w:tcPr>
          <w:p>
            <w:pPr>
              <w:spacing w:after="20" w:line="269" w:lineRule="auto"/>
            </w:pPr>
            <w:r>
              <w:rPr>
                <w:b/>
                <w:sz w:val="20"/>
              </w:rPr>
              <w:t>단원</w:t>
            </w:r>
          </w:p>
        </w:tc>
        <w:tc>
          <w:tcPr>
            <w:tcW w:type="dxa" w:w="5472"/>
            <w:vAlign w:val="center"/>
            <w:tcMar>
              <w:top w:w="100" w:type="dxa"/>
              <w:left w:w="100" w:type="dxa"/>
              <w:bottom w:w="100" w:type="dxa"/>
              <w:right w:w="100" w:type="dxa"/>
            </w:tcMar>
            <w:shd w:fill="E8EDF3"/>
          </w:tcPr>
          <w:p>
            <w:pPr>
              <w:spacing w:after="20" w:line="269" w:lineRule="auto"/>
            </w:pPr>
            <w:r>
              <w:rPr>
                <w:b/>
                <w:sz w:val="20"/>
              </w:rPr>
              <w:t>이번 보강의 역할</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1  논제의 대상과 현행 우범소년 제도</w:t>
            </w:r>
          </w:p>
        </w:tc>
        <w:tc>
          <w:tcPr>
            <w:tcW w:type="dxa" w:w="5472"/>
            <w:vAlign w:val="center"/>
            <w:tcMar>
              <w:top w:w="100" w:type="dxa"/>
              <w:left w:w="100" w:type="dxa"/>
              <w:bottom w:w="100" w:type="dxa"/>
              <w:right w:w="100" w:type="dxa"/>
            </w:tcMar>
          </w:tcPr>
          <w:p>
            <w:pPr>
              <w:spacing w:after="20" w:line="269" w:lineRule="auto"/>
            </w:pPr>
            <w:r>
              <w:rPr>
                <w:b w:val="0"/>
                <w:sz w:val="20"/>
              </w:rPr>
              <w:t>송치 근거와 처분 선택을 분리해 설명한다. 첨부 사례의 처리 결과를 보완한다.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2  성매매 피해청소년의 법적 지위 변화</w:t>
            </w:r>
          </w:p>
        </w:tc>
        <w:tc>
          <w:tcPr>
            <w:tcW w:type="dxa" w:w="5472"/>
            <w:vAlign w:val="center"/>
            <w:tcMar>
              <w:top w:w="100" w:type="dxa"/>
              <w:left w:w="100" w:type="dxa"/>
              <w:bottom w:w="100" w:type="dxa"/>
              <w:right w:w="100" w:type="dxa"/>
            </w:tcMar>
          </w:tcPr>
          <w:p>
            <w:pPr>
              <w:spacing w:after="20" w:line="269" w:lineRule="auto"/>
            </w:pPr>
            <w:r>
              <w:rPr>
                <w:b w:val="0"/>
                <w:sz w:val="20"/>
              </w:rPr>
              <w:t>피해자 지원으로의 전환과 우범소년 제도가 만나는 지점을 설명한다.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3  성착취 위험의 규모와 실제 맥락</w:t>
            </w:r>
          </w:p>
        </w:tc>
        <w:tc>
          <w:tcPr>
            <w:tcW w:type="dxa" w:w="5472"/>
            <w:vAlign w:val="center"/>
            <w:tcMar>
              <w:top w:w="100" w:type="dxa"/>
              <w:left w:w="100" w:type="dxa"/>
              <w:bottom w:w="100" w:type="dxa"/>
              <w:right w:w="100" w:type="dxa"/>
            </w:tcMar>
          </w:tcPr>
          <w:p>
            <w:pPr>
              <w:spacing w:after="20" w:line="269" w:lineRule="auto"/>
            </w:pPr>
            <w:r>
              <w:rPr>
                <w:b w:val="0"/>
                <w:sz w:val="20"/>
              </w:rPr>
              <w:t>가출 관련 통계의 원표를 사용하고, 위험에 노출되는 생활 여건을 연결한다.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4  우범소년 제도의 실제 운용</w:t>
            </w:r>
          </w:p>
        </w:tc>
        <w:tc>
          <w:tcPr>
            <w:tcW w:type="dxa" w:w="5472"/>
            <w:vAlign w:val="center"/>
            <w:tcMar>
              <w:top w:w="100" w:type="dxa"/>
              <w:left w:w="100" w:type="dxa"/>
              <w:bottom w:w="100" w:type="dxa"/>
              <w:right w:w="100" w:type="dxa"/>
            </w:tcMar>
          </w:tcPr>
          <w:p>
            <w:pPr>
              <w:spacing w:after="20" w:line="269" w:lineRule="auto"/>
            </w:pPr>
            <w:r>
              <w:rPr>
                <w:b w:val="0"/>
                <w:sz w:val="20"/>
              </w:rPr>
              <w:t>신고·발견, 송치 이유, 법원의 처리 결과를 구분하여 실제 사례를 읽는다.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5  피해지원과 소년사법은 무엇을 다르게 제공하는가</w:t>
            </w:r>
          </w:p>
        </w:tc>
        <w:tc>
          <w:tcPr>
            <w:tcW w:type="dxa" w:w="5472"/>
            <w:vAlign w:val="center"/>
            <w:tcMar>
              <w:top w:w="100" w:type="dxa"/>
              <w:left w:w="100" w:type="dxa"/>
              <w:bottom w:w="100" w:type="dxa"/>
              <w:right w:w="100" w:type="dxa"/>
            </w:tcMar>
          </w:tcPr>
          <w:p>
            <w:pPr>
              <w:spacing w:after="20" w:line="269" w:lineRule="auto"/>
            </w:pPr>
            <w:r>
              <w:rPr>
                <w:b w:val="0"/>
                <w:sz w:val="20"/>
              </w:rPr>
              <w:t>숙소·치료·생활관리·개입 지속성·자유 제한을 구체적으로 비교한다.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6  현장 판단의 어려움과 제도개선 논의</w:t>
            </w:r>
          </w:p>
        </w:tc>
        <w:tc>
          <w:tcPr>
            <w:tcW w:type="dxa" w:w="5472"/>
            <w:vAlign w:val="center"/>
            <w:tcMar>
              <w:top w:w="100" w:type="dxa"/>
              <w:left w:w="100" w:type="dxa"/>
              <w:bottom w:w="100" w:type="dxa"/>
              <w:right w:w="100" w:type="dxa"/>
            </w:tcMar>
          </w:tcPr>
          <w:p>
            <w:pPr>
              <w:spacing w:after="20" w:line="269" w:lineRule="auto"/>
            </w:pPr>
            <w:r>
              <w:rPr>
                <w:b w:val="0"/>
                <w:sz w:val="20"/>
              </w:rPr>
              <w:t>반복 피해와 지원 거절을 둘러싼 판단, 조기 연계와 주거·인력 문제를 다룬다.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7  비교제도와 효과근거</w:t>
            </w:r>
          </w:p>
        </w:tc>
        <w:tc>
          <w:tcPr>
            <w:tcW w:type="dxa" w:w="5472"/>
            <w:vAlign w:val="center"/>
            <w:tcMar>
              <w:top w:w="100" w:type="dxa"/>
              <w:left w:w="100" w:type="dxa"/>
              <w:bottom w:w="100" w:type="dxa"/>
              <w:right w:w="100" w:type="dxa"/>
            </w:tcMar>
          </w:tcPr>
          <w:p>
            <w:pPr>
              <w:spacing w:after="20" w:line="269" w:lineRule="auto"/>
            </w:pPr>
            <w:r>
              <w:rPr>
                <w:b w:val="0"/>
                <w:sz w:val="20"/>
              </w:rPr>
              <w:t>법원의 개입 범위와 외부 지원 설계를 비교하고, 효과 연구의 실제 대상을 제시한다.</w:t>
            </w:r>
          </w:p>
        </w:tc>
      </w:tr>
      <w:tr>
        <w:trPr>
          <w:cantSplit/>
        </w:trPr>
        <w:tc>
          <w:tcPr>
            <w:tcW w:type="dxa" w:w="4680"/>
            <w:vAlign w:val="center"/>
            <w:tcMar>
              <w:top w:w="100" w:type="dxa"/>
              <w:left w:w="100" w:type="dxa"/>
              <w:bottom w:w="100" w:type="dxa"/>
              <w:right w:w="100" w:type="dxa"/>
            </w:tcMar>
          </w:tcPr>
          <w:p>
            <w:pPr>
              <w:spacing w:after="20" w:line="269" w:lineRule="auto"/>
            </w:pPr>
            <w:r>
              <w:rPr>
                <w:b w:val="0"/>
                <w:sz w:val="20"/>
              </w:rPr>
              <w:t>8  주요 논거와 최종 판단</w:t>
            </w:r>
          </w:p>
        </w:tc>
        <w:tc>
          <w:tcPr>
            <w:tcW w:type="dxa" w:w="5472"/>
            <w:vAlign w:val="center"/>
            <w:tcMar>
              <w:top w:w="100" w:type="dxa"/>
              <w:left w:w="100" w:type="dxa"/>
              <w:bottom w:w="100" w:type="dxa"/>
              <w:right w:w="100" w:type="dxa"/>
            </w:tcMar>
          </w:tcPr>
          <w:p>
            <w:pPr>
              <w:spacing w:after="20" w:line="269" w:lineRule="auto"/>
            </w:pPr>
            <w:r>
              <w:rPr>
                <w:b w:val="0"/>
                <w:sz w:val="20"/>
              </w:rPr>
              <w:t>현행법 적용과 정책·제도 선택을 구분하고, 판단을 뒷받침하는 근거를 회수한다.</w:t>
            </w:r>
          </w:p>
        </w:tc>
      </w:tr>
    </w:tbl>
    <w:p>
      <w:pPr>
        <w:spacing w:after="20"/>
      </w:pPr>
      <w:r>
        <w:rPr>
          <w:b w:val="0"/>
        </w:rPr>
      </w:r>
    </w:p>
    <w:p>
      <w:pPr>
        <w:pStyle w:val="Heading2"/>
      </w:pPr>
      <w:r>
        <w:t>같은 자료를 다시 사용할 때의 역할</w:t>
      </w:r>
    </w:p>
    <w:p>
      <w:pPr>
        <w:spacing w:after="120"/>
      </w:pPr>
      <w:r>
        <w:rPr>
          <w:b w:val="0"/>
        </w:rPr>
        <w:t>B 사례는 제1장에서 송치 이유를 읽는 자료로, 제5장에서는 치료와 보호를 제공할 경로를 비교하는 자료로 사용한다. 제5장에서는 전체 경위를 반복하지 않고 필요한 사정만 짧게 불러온다.</w:t>
      </w:r>
    </w:p>
    <w:p>
      <w:pPr>
        <w:spacing w:after="120"/>
      </w:pPr>
      <w:r>
        <w:rPr>
          <w:b w:val="0"/>
        </w:rPr>
        <w:t>2021년 토론회는 실제 사건과 당시 주장의 근거로 활용한다. 최근 운영 상태는 2025년 보고서 등으로 보완한다. 토론회 제목이 폐지 필요성을 다룬다고 해서 수업 전체의 결론을 폐지로 정하지 않는다.</w:t>
      </w:r>
    </w:p>
    <w:p>
      <w:pPr>
        <w:spacing w:after="120"/>
      </w:pPr>
      <w:r>
        <w:rPr>
          <w:b w:val="0"/>
        </w:rPr>
        <w:t>제7장에 섞여 있던 국내 절차상 권리는 제5장, 국내 인력·주거·협력 문제는 제6장으로 이동한다. 해외 사례는 개입 기준과 서비스 설계의 차이를 보여주는 데 집중한다.</w:t>
      </w:r>
    </w:p>
    <w:p>
      <w:r>
        <w:br w:type="page"/>
      </w:r>
    </w:p>
    <w:p>
      <w:pPr>
        <w:pStyle w:val="Heading1"/>
      </w:pPr>
      <w:r>
        <w:t>A1 첨부 사례의 처리 결과 보완</w:t>
      </w:r>
    </w:p>
    <w:p>
      <w:r>
        <w:rPr>
          <w:b/>
        </w:rPr>
        <w:t xml:space="preserve">적용 위치  </w:t>
      </w:r>
      <w:r>
        <w:t>제1장 「성범죄 연루 우려가 제시된 송치 사례」</w:t>
      </w:r>
    </w:p>
    <w:p>
      <w:r>
        <w:rPr>
          <w:b/>
        </w:rPr>
        <w:t xml:space="preserve">편집 방식  </w:t>
      </w:r>
      <w:r>
        <w:t>기존 3열 구조를 유지하고 ③ 처리 결과를 교체한다.</w:t>
      </w:r>
    </w:p>
    <w:p>
      <w:r>
        <w:rPr>
          <w:b/>
        </w:rPr>
        <w:t xml:space="preserve">기억할 내용  </w:t>
      </w:r>
      <w:r>
        <w:t>소년부 송치 이유와 7호 처분을 선택한 이유는 구별해서 읽는다.</w:t>
      </w:r>
    </w:p>
    <w:p>
      <w:pPr>
        <w:pStyle w:val="Heading2"/>
      </w:pPr>
      <w:r>
        <w:t>화면에 넣을 문구</w:t>
      </w:r>
    </w:p>
    <w:p>
      <w:r>
        <w:rPr>
          <w:b/>
        </w:rPr>
        <w:t xml:space="preserve">제목  </w:t>
      </w:r>
      <w:r>
        <w:t>성범죄 연루 우려가 제시된 송치 사례</w:t>
      </w:r>
    </w:p>
    <w:p>
      <w:r>
        <w:rPr>
          <w:b/>
        </w:rPr>
        <w:t xml:space="preserve">상단  </w:t>
      </w:r>
      <w:r>
        <w:t>담당 변호사의 보고에는 가정폭력 환경에서 가출한 청소년의 송치 경위와 7호 처분에 고려된 사정이 제시되어 있다.</w:t>
      </w:r>
    </w:p>
    <w:p>
      <w:r>
        <w:rPr>
          <w:b/>
        </w:rPr>
        <w:t xml:space="preserve">① 가출의 배경  </w:t>
      </w:r>
      <w:r>
        <w:t>B는 부모의 다툼을 피해 초등학교 때 처음 가출했다. 가정폭력 위험으로 아동보호전문기관과 구청의 사례관리를 받고 있었다.</w:t>
      </w:r>
    </w:p>
    <w:p>
      <w:r>
        <w:rPr>
          <w:b/>
        </w:rPr>
        <w:t xml:space="preserve">② 송치에 이른 과정  </w:t>
      </w:r>
      <w:r>
        <w:t>아버지의 신고 후 경찰서장이 소년부로 송치했다. 가출, 무단 소액결제, 성인 남성과의 접촉 등이 제시됐고, 자료에는 성범죄 연루 우려라는 표현이 나온다.</w:t>
      </w:r>
    </w:p>
    <w:p>
      <w:r>
        <w:rPr>
          <w:b/>
        </w:rPr>
        <w:t xml:space="preserve">③ 처리 결과  </w:t>
      </w:r>
      <w:r>
        <w:t>부모의 보호 여건과 시설처분 요청, B의 치료 필요성 등이 고려되었다. 소년분류심사원 위탁을 거쳐 7호 보호처분을 받았다고 보고되어 있다.</w:t>
      </w:r>
    </w:p>
    <w:p>
      <w:r>
        <w:rPr>
          <w:b/>
        </w:rPr>
        <w:t xml:space="preserve">본문 보충  </w:t>
      </w:r>
      <w:r>
        <w:t>현행 7호 처분  병원·요양소 또는 의료재활소년원에 위탁(소년법 제32조 제1항 제7호)</w:t>
      </w:r>
    </w:p>
    <w:p>
      <w:r>
        <w:rPr>
          <w:b/>
        </w:rPr>
        <w:t xml:space="preserve">하단  </w:t>
      </w:r>
      <w:r>
        <w:t>이 사례에서 소년부 송치와 치료를 위한 위탁은 각각 어떤 사정을 근거로 이루어졌는가?</w:t>
      </w:r>
    </w:p>
    <w:p>
      <w:pPr>
        <w:pStyle w:val="Heading2"/>
      </w:pPr>
      <w:r>
        <w:t>배치와 강조</w:t>
      </w:r>
    </w:p>
    <w:p>
      <w:pPr>
        <w:spacing w:after="120"/>
      </w:pPr>
      <w:r>
        <w:rPr>
          <w:b w:val="0"/>
        </w:rPr>
        <w:t>현재의 시간순 3열과 화살표를 유지한다. 결과 열만 진한 면으로 채우지 않는다. 세 열의 제목과 구조선은 동일한 강도로 두고, 결과 열의 보호 여건·시설처분 요청·치료 필요성을 굵기로 강조한다. 기존 학생용 화면의 하단 출처는 노트로 옮긴다.</w:t>
      </w:r>
    </w:p>
    <w:p>
      <w:pPr>
        <w:pStyle w:val="Heading2"/>
      </w:pPr>
      <w:r>
        <w:t>설명과 다음 장 연결</w:t>
      </w:r>
    </w:p>
    <w:p>
      <w:pPr>
        <w:spacing w:after="120"/>
      </w:pPr>
      <w:r>
        <w:rPr>
          <w:b w:val="0"/>
        </w:rPr>
        <w:t>원문은 담당 변호사가 수행한 사건의 보고이다. 구체적인 진단, 의료진 의견, 다른 대안 대신 7호를 택한 법원의 상세 이유는 공개되지 않았다. 원문에 쓰인 치료감호라는 표현을 현행 처분의 정식 명칭으로 옮기지 않는다.</w:t>
      </w:r>
    </w:p>
    <w:p>
      <w:r>
        <w:rPr>
          <w:b/>
        </w:rPr>
        <w:t xml:space="preserve">다음 연결  </w:t>
      </w:r>
      <w:r>
        <w:t>성착취 피해 위험과 청소년의 장래 범법 우려를 어떻게 구분할 것인가.</w:t>
      </w:r>
    </w:p>
    <w:p>
      <w:r>
        <w:rPr>
          <w:b/>
        </w:rPr>
        <w:t xml:space="preserve">근거  </w:t>
      </w:r>
      <w:r>
        <w:t>S01 강정은, 인쇄면 18쪽. S02 소년법 제32조. 송치 단계와 처분 선택 단계의 구분은 수업을 위한 설명 구조이다.</w:t>
      </w:r>
    </w:p>
    <w:p>
      <w:r>
        <w:br w:type="page"/>
      </w:r>
    </w:p>
    <w:p>
      <w:pPr>
        <w:pStyle w:val="Heading1"/>
      </w:pPr>
      <w:r>
        <w:t>B1 피해지원이 제공하는 실제 서비스</w:t>
      </w:r>
    </w:p>
    <w:p>
      <w:r>
        <w:rPr>
          <w:b/>
        </w:rPr>
        <w:t xml:space="preserve">적용 위치  </w:t>
      </w:r>
      <w:r>
        <w:t>제5장 첫 비교 페이지 앞 또는 추상적인 지원제도 소개 페이지</w:t>
      </w:r>
    </w:p>
    <w:p>
      <w:r>
        <w:rPr>
          <w:b/>
        </w:rPr>
        <w:t xml:space="preserve">편집 방식  </w:t>
      </w:r>
      <w:r>
        <w:t>기존 지원 설명을 과정 중심으로 재구성한다.</w:t>
      </w:r>
    </w:p>
    <w:p>
      <w:r>
        <w:rPr>
          <w:b/>
        </w:rPr>
        <w:t xml:space="preserve">기억할 내용  </w:t>
      </w:r>
      <w:r>
        <w:t>피해지원은 발견 이후의 숙소·치료·생활 회복까지 연결하는 경로이다.</w:t>
      </w:r>
    </w:p>
    <w:p>
      <w:pPr>
        <w:pStyle w:val="Heading2"/>
      </w:pPr>
      <w:r>
        <w:t>화면에 넣을 문구</w:t>
      </w:r>
    </w:p>
    <w:p>
      <w:r>
        <w:rPr>
          <w:b/>
        </w:rPr>
        <w:t xml:space="preserve">제목  </w:t>
      </w:r>
      <w:r>
        <w:t>발견 이후의 피해지원 경로</w:t>
      </w:r>
    </w:p>
    <w:p>
      <w:r>
        <w:rPr>
          <w:b/>
        </w:rPr>
        <w:t xml:space="preserve">상단  </w:t>
      </w:r>
      <w:r>
        <w:t>성착취 피해아동·청소년 지원은 긴급한 필요를 확인하고 주거·상담·의료·법률·학업 지원을 연결한다.</w:t>
      </w:r>
    </w:p>
    <w:p>
      <w:r>
        <w:rPr>
          <w:b/>
        </w:rPr>
        <w:t xml:space="preserve">발견과 연결  </w:t>
      </w:r>
      <w:r>
        <w:t>경찰·검찰의 통지, 다른 기관의 의뢰, 현장 접근 등을 통해 지원기관과 연결된다.</w:t>
      </w:r>
    </w:p>
    <w:p>
      <w:r>
        <w:rPr>
          <w:b/>
        </w:rPr>
        <w:t xml:space="preserve">긴급한 필요 확인  </w:t>
      </w:r>
      <w:r>
        <w:t>안전, 숙소, 생활비 등 당장 필요한 지원을 살피고 구조와 임시보호를 연계한다.</w:t>
      </w:r>
    </w:p>
    <w:p>
      <w:r>
        <w:rPr>
          <w:b/>
        </w:rPr>
        <w:t xml:space="preserve">회복을 위한 지원  </w:t>
      </w:r>
      <w:r>
        <w:t>상담·심리·의료·법률 지원과 학업·취업·자립 지원을 조합한다.</w:t>
      </w:r>
    </w:p>
    <w:p>
      <w:r>
        <w:rPr>
          <w:b/>
        </w:rPr>
        <w:t xml:space="preserve">지원 이후  </w:t>
      </w:r>
      <w:r>
        <w:t>상황에 따라 다른 기관으로 연결하고 필요한 사후관리를 이어간다.</w:t>
      </w:r>
    </w:p>
    <w:p>
      <w:r>
        <w:rPr>
          <w:b/>
        </w:rPr>
        <w:t xml:space="preserve">하단  </w:t>
      </w:r>
      <w:r>
        <w:t>피해지원 경로에서 필요한 숙소와 치료를 얼마나 빨리, 얼마나 지속해서 제공할 수 있는가?</w:t>
      </w:r>
    </w:p>
    <w:p>
      <w:pPr>
        <w:pStyle w:val="Heading2"/>
      </w:pPr>
      <w:r>
        <w:t>배치와 강조</w:t>
      </w:r>
    </w:p>
    <w:p>
      <w:pPr>
        <w:spacing w:after="120"/>
      </w:pPr>
      <w:r>
        <w:rPr>
          <w:b w:val="0"/>
        </w:rPr>
        <w:t>4단계 흐름으로 배치한다. 흐름 상자는 같은 옅은 면으로 묶고, 각 단계의 핵심 동사만 굵게 한다. 특정 기관이 모든 서비스를 직접 제공하는 것처럼 하나의 큰 기관 상자에 넣지 않는다. 선은 이동 순서를 나타내는 화살표에 집중한다.</w:t>
      </w:r>
    </w:p>
    <w:p>
      <w:pPr>
        <w:pStyle w:val="Heading2"/>
      </w:pPr>
      <w:r>
        <w:t>설명과 다음 장 연결</w:t>
      </w:r>
    </w:p>
    <w:p>
      <w:pPr>
        <w:spacing w:after="120"/>
      </w:pPr>
      <w:r>
        <w:rPr>
          <w:b w:val="0"/>
        </w:rPr>
        <w:t>지원센터가 곧 숙박시설인 것은 아니다. 직접 제공하는 서비스와 다른 시설·기관에 연결하는 서비스를 구분해서 설명한다. 지원의 존재를 설명한 뒤 실제 접근성과 지속성 문제를 제6장으로 넘긴다.</w:t>
      </w:r>
    </w:p>
    <w:p>
      <w:r>
        <w:rPr>
          <w:b/>
        </w:rPr>
        <w:t xml:space="preserve">다음 연결  </w:t>
      </w:r>
      <w:r>
        <w:t>소년사법 경로와 같은 항목으로 비교하면 무엇이 다른가.</w:t>
      </w:r>
    </w:p>
    <w:p>
      <w:r>
        <w:rPr>
          <w:b/>
        </w:rPr>
        <w:t xml:space="preserve">근거  </w:t>
      </w:r>
      <w:r>
        <w:t>S03 인쇄면 73–75쪽. 화면의 4단계 명칭은 원문 내용을 강의용으로 재구성한 것이다.</w:t>
      </w:r>
    </w:p>
    <w:p>
      <w:r>
        <w:br w:type="page"/>
      </w:r>
    </w:p>
    <w:p>
      <w:pPr>
        <w:pStyle w:val="Heading1"/>
      </w:pPr>
      <w:r>
        <w:t>B2 피해지원과 소년사법의 비교</w:t>
      </w:r>
    </w:p>
    <w:p>
      <w:r>
        <w:rPr>
          <w:b/>
        </w:rPr>
        <w:t xml:space="preserve">적용 위치  </w:t>
      </w:r>
      <w:r>
        <w:t>제5장 두 경로 비교 페이지</w:t>
      </w:r>
    </w:p>
    <w:p>
      <w:r>
        <w:rPr>
          <w:b/>
        </w:rPr>
        <w:t xml:space="preserve">편집 방식  </w:t>
      </w:r>
      <w:r>
        <w:t>같은 비교 항목을 쓰는 표로 교체한다.</w:t>
      </w:r>
    </w:p>
    <w:p>
      <w:r>
        <w:rPr>
          <w:b/>
        </w:rPr>
        <w:t xml:space="preserve">기억할 내용  </w:t>
      </w:r>
      <w:r>
        <w:t>두 경로는 제공하는 도움 일부가 겹치지만 개입 근거와 자유 제한 방식이 다르다.</w:t>
      </w:r>
    </w:p>
    <w:p>
      <w:pPr>
        <w:pStyle w:val="Heading2"/>
      </w:pPr>
      <w:r>
        <w:t>화면에 넣을 문구</w:t>
      </w:r>
    </w:p>
    <w:p>
      <w:r>
        <w:rPr>
          <w:b/>
        </w:rPr>
        <w:t xml:space="preserve">제목  </w:t>
      </w:r>
      <w:r>
        <w:t>피해지원과 소년사법의 개입 방식</w:t>
      </w:r>
    </w:p>
    <w:p>
      <w:r>
        <w:rPr>
          <w:b/>
        </w:rPr>
        <w:t xml:space="preserve">상단  </w:t>
      </w:r>
      <w:r>
        <w:t>숙소·치료·상담의 제공과, 참여·생활을 법적으로 통제하는 방식은 함께 비교할 필요가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284"/>
        <w:gridCol w:w="4284"/>
      </w:tblGrid>
      <w:tr>
        <w:trPr>
          <w:cantSplit/>
          <w:tblHeader/>
        </w:trPr>
        <w:tc>
          <w:tcPr>
            <w:tcW w:type="dxa" w:w="1584"/>
            <w:vAlign w:val="center"/>
            <w:tcMar>
              <w:top w:w="100" w:type="dxa"/>
              <w:left w:w="100" w:type="dxa"/>
              <w:bottom w:w="100" w:type="dxa"/>
              <w:right w:w="100" w:type="dxa"/>
            </w:tcMar>
            <w:shd w:fill="E8EDF3"/>
          </w:tcPr>
          <w:p>
            <w:pPr>
              <w:spacing w:after="20" w:line="269" w:lineRule="auto"/>
            </w:pPr>
            <w:r>
              <w:rPr>
                <w:b/>
                <w:sz w:val="20"/>
              </w:rPr>
              <w:t>비교 항목</w:t>
            </w:r>
          </w:p>
        </w:tc>
        <w:tc>
          <w:tcPr>
            <w:tcW w:type="dxa" w:w="4284"/>
            <w:vAlign w:val="center"/>
            <w:tcMar>
              <w:top w:w="100" w:type="dxa"/>
              <w:left w:w="100" w:type="dxa"/>
              <w:bottom w:w="100" w:type="dxa"/>
              <w:right w:w="100" w:type="dxa"/>
            </w:tcMar>
            <w:shd w:fill="E8EDF3"/>
          </w:tcPr>
          <w:p>
            <w:pPr>
              <w:spacing w:after="20" w:line="269" w:lineRule="auto"/>
            </w:pPr>
            <w:r>
              <w:rPr>
                <w:b/>
                <w:sz w:val="20"/>
              </w:rPr>
              <w:t>피해지원 경로</w:t>
            </w:r>
          </w:p>
        </w:tc>
        <w:tc>
          <w:tcPr>
            <w:tcW w:type="dxa" w:w="4284"/>
            <w:vAlign w:val="center"/>
            <w:tcMar>
              <w:top w:w="100" w:type="dxa"/>
              <w:left w:w="100" w:type="dxa"/>
              <w:bottom w:w="100" w:type="dxa"/>
              <w:right w:w="100" w:type="dxa"/>
            </w:tcMar>
            <w:shd w:fill="E8EDF3"/>
          </w:tcPr>
          <w:p>
            <w:pPr>
              <w:spacing w:after="20" w:line="269" w:lineRule="auto"/>
            </w:pPr>
            <w:r>
              <w:rPr>
                <w:b/>
                <w:sz w:val="20"/>
              </w:rPr>
              <w:t>소년사법 경로</w:t>
            </w:r>
          </w:p>
        </w:tc>
      </w:tr>
      <w:tr>
        <w:trPr>
          <w:cantSplit/>
        </w:trPr>
        <w:tc>
          <w:tcPr>
            <w:tcW w:type="dxa" w:w="1584"/>
            <w:vAlign w:val="center"/>
            <w:tcMar>
              <w:top w:w="100" w:type="dxa"/>
              <w:left w:w="100" w:type="dxa"/>
              <w:bottom w:w="100" w:type="dxa"/>
              <w:right w:w="100" w:type="dxa"/>
            </w:tcMar>
          </w:tcPr>
          <w:p>
            <w:pPr>
              <w:spacing w:after="20" w:line="269" w:lineRule="auto"/>
            </w:pPr>
            <w:r>
              <w:rPr>
                <w:b w:val="0"/>
                <w:sz w:val="20"/>
              </w:rPr>
              <w:t>숙소와 생활</w:t>
            </w:r>
          </w:p>
        </w:tc>
        <w:tc>
          <w:tcPr>
            <w:tcW w:type="dxa" w:w="4284"/>
            <w:vAlign w:val="center"/>
            <w:tcMar>
              <w:top w:w="100" w:type="dxa"/>
              <w:left w:w="100" w:type="dxa"/>
              <w:bottom w:w="100" w:type="dxa"/>
              <w:right w:w="100" w:type="dxa"/>
            </w:tcMar>
          </w:tcPr>
          <w:p>
            <w:pPr>
              <w:spacing w:after="20" w:line="269" w:lineRule="auto"/>
            </w:pPr>
            <w:r>
              <w:rPr>
                <w:b w:val="0"/>
                <w:sz w:val="20"/>
              </w:rPr>
              <w:t>쉼터 등 주거·생활지원 연계</w:t>
            </w:r>
          </w:p>
        </w:tc>
        <w:tc>
          <w:tcPr>
            <w:tcW w:type="dxa" w:w="4284"/>
            <w:vAlign w:val="center"/>
            <w:tcMar>
              <w:top w:w="100" w:type="dxa"/>
              <w:left w:w="100" w:type="dxa"/>
              <w:bottom w:w="100" w:type="dxa"/>
              <w:right w:w="100" w:type="dxa"/>
            </w:tcMar>
          </w:tcPr>
          <w:p>
            <w:pPr>
              <w:spacing w:after="20" w:line="269" w:lineRule="auto"/>
            </w:pPr>
            <w:r>
              <w:rPr>
                <w:b w:val="0"/>
                <w:sz w:val="20"/>
              </w:rPr>
              <w:t>처분에 따라 가정 내 보호 또는 시설 위탁</w:t>
            </w:r>
          </w:p>
        </w:tc>
      </w:tr>
      <w:tr>
        <w:trPr>
          <w:cantSplit/>
        </w:trPr>
        <w:tc>
          <w:tcPr>
            <w:tcW w:type="dxa" w:w="1584"/>
            <w:vAlign w:val="center"/>
            <w:tcMar>
              <w:top w:w="100" w:type="dxa"/>
              <w:left w:w="100" w:type="dxa"/>
              <w:bottom w:w="100" w:type="dxa"/>
              <w:right w:w="100" w:type="dxa"/>
            </w:tcMar>
          </w:tcPr>
          <w:p>
            <w:pPr>
              <w:spacing w:after="20" w:line="269" w:lineRule="auto"/>
            </w:pPr>
            <w:r>
              <w:rPr>
                <w:b w:val="0"/>
                <w:sz w:val="20"/>
              </w:rPr>
              <w:t>치료와 상담</w:t>
            </w:r>
          </w:p>
        </w:tc>
        <w:tc>
          <w:tcPr>
            <w:tcW w:type="dxa" w:w="4284"/>
            <w:vAlign w:val="center"/>
            <w:tcMar>
              <w:top w:w="100" w:type="dxa"/>
              <w:left w:w="100" w:type="dxa"/>
              <w:bottom w:w="100" w:type="dxa"/>
              <w:right w:w="100" w:type="dxa"/>
            </w:tcMar>
          </w:tcPr>
          <w:p>
            <w:pPr>
              <w:spacing w:after="20" w:line="269" w:lineRule="auto"/>
            </w:pPr>
            <w:r>
              <w:rPr>
                <w:b w:val="0"/>
                <w:sz w:val="20"/>
              </w:rPr>
              <w:t>의료·심리·상담 서비스 지원</w:t>
            </w:r>
          </w:p>
        </w:tc>
        <w:tc>
          <w:tcPr>
            <w:tcW w:type="dxa" w:w="4284"/>
            <w:vAlign w:val="center"/>
            <w:tcMar>
              <w:top w:w="100" w:type="dxa"/>
              <w:left w:w="100" w:type="dxa"/>
              <w:bottom w:w="100" w:type="dxa"/>
              <w:right w:w="100" w:type="dxa"/>
            </w:tcMar>
          </w:tcPr>
          <w:p>
            <w:pPr>
              <w:spacing w:after="20" w:line="269" w:lineRule="auto"/>
            </w:pPr>
            <w:r>
              <w:rPr>
                <w:b w:val="0"/>
                <w:sz w:val="20"/>
              </w:rPr>
              <w:t>처분에 따른 치료·교육·상담과 의료 위탁</w:t>
            </w:r>
          </w:p>
        </w:tc>
      </w:tr>
      <w:tr>
        <w:trPr>
          <w:cantSplit/>
        </w:trPr>
        <w:tc>
          <w:tcPr>
            <w:tcW w:type="dxa" w:w="1584"/>
            <w:vAlign w:val="center"/>
            <w:tcMar>
              <w:top w:w="100" w:type="dxa"/>
              <w:left w:w="100" w:type="dxa"/>
              <w:bottom w:w="100" w:type="dxa"/>
              <w:right w:w="100" w:type="dxa"/>
            </w:tcMar>
          </w:tcPr>
          <w:p>
            <w:pPr>
              <w:spacing w:after="20" w:line="269" w:lineRule="auto"/>
            </w:pPr>
            <w:r>
              <w:rPr>
                <w:b w:val="0"/>
                <w:sz w:val="20"/>
              </w:rPr>
              <w:t>참여와 지속</w:t>
            </w:r>
          </w:p>
        </w:tc>
        <w:tc>
          <w:tcPr>
            <w:tcW w:type="dxa" w:w="4284"/>
            <w:vAlign w:val="center"/>
            <w:tcMar>
              <w:top w:w="100" w:type="dxa"/>
              <w:left w:w="100" w:type="dxa"/>
              <w:bottom w:w="100" w:type="dxa"/>
              <w:right w:w="100" w:type="dxa"/>
            </w:tcMar>
          </w:tcPr>
          <w:p>
            <w:pPr>
              <w:spacing w:after="20" w:line="269" w:lineRule="auto"/>
            </w:pPr>
            <w:r>
              <w:rPr>
                <w:b w:val="0"/>
                <w:sz w:val="20"/>
              </w:rPr>
              <w:t>기관과의 관계 및 서비스 이용을 통한 지원</w:t>
            </w:r>
          </w:p>
        </w:tc>
        <w:tc>
          <w:tcPr>
            <w:tcW w:type="dxa" w:w="4284"/>
            <w:vAlign w:val="center"/>
            <w:tcMar>
              <w:top w:w="100" w:type="dxa"/>
              <w:left w:w="100" w:type="dxa"/>
              <w:bottom w:w="100" w:type="dxa"/>
              <w:right w:w="100" w:type="dxa"/>
            </w:tcMar>
          </w:tcPr>
          <w:p>
            <w:pPr>
              <w:spacing w:after="20" w:line="269" w:lineRule="auto"/>
            </w:pPr>
            <w:r>
              <w:rPr>
                <w:b w:val="0"/>
                <w:sz w:val="20"/>
              </w:rPr>
              <w:t>법원의 결정에 따른 감독·의무·위탁</w:t>
            </w:r>
          </w:p>
        </w:tc>
      </w:tr>
      <w:tr>
        <w:trPr>
          <w:cantSplit/>
        </w:trPr>
        <w:tc>
          <w:tcPr>
            <w:tcW w:type="dxa" w:w="1584"/>
            <w:vAlign w:val="center"/>
            <w:tcMar>
              <w:top w:w="100" w:type="dxa"/>
              <w:left w:w="100" w:type="dxa"/>
              <w:bottom w:w="100" w:type="dxa"/>
              <w:right w:w="100" w:type="dxa"/>
            </w:tcMar>
          </w:tcPr>
          <w:p>
            <w:pPr>
              <w:spacing w:after="20" w:line="269" w:lineRule="auto"/>
            </w:pPr>
            <w:r>
              <w:rPr>
                <w:b w:val="0"/>
                <w:sz w:val="20"/>
              </w:rPr>
              <w:t>청소년의 생활</w:t>
            </w:r>
          </w:p>
        </w:tc>
        <w:tc>
          <w:tcPr>
            <w:tcW w:type="dxa" w:w="4284"/>
            <w:vAlign w:val="center"/>
            <w:tcMar>
              <w:top w:w="100" w:type="dxa"/>
              <w:left w:w="100" w:type="dxa"/>
              <w:bottom w:w="100" w:type="dxa"/>
              <w:right w:w="100" w:type="dxa"/>
            </w:tcMar>
          </w:tcPr>
          <w:p>
            <w:pPr>
              <w:spacing w:after="20" w:line="269" w:lineRule="auto"/>
            </w:pPr>
            <w:r>
              <w:rPr>
                <w:b w:val="0"/>
                <w:sz w:val="20"/>
              </w:rPr>
              <w:t>지역사회 생활을 뒷받침하는 지원</w:t>
            </w:r>
          </w:p>
        </w:tc>
        <w:tc>
          <w:tcPr>
            <w:tcW w:type="dxa" w:w="4284"/>
            <w:vAlign w:val="center"/>
            <w:tcMar>
              <w:top w:w="100" w:type="dxa"/>
              <w:left w:w="100" w:type="dxa"/>
              <w:bottom w:w="100" w:type="dxa"/>
              <w:right w:w="100" w:type="dxa"/>
            </w:tcMar>
          </w:tcPr>
          <w:p>
            <w:pPr>
              <w:spacing w:after="20" w:line="269" w:lineRule="auto"/>
            </w:pPr>
            <w:r>
              <w:rPr>
                <w:b w:val="0"/>
                <w:sz w:val="20"/>
              </w:rPr>
              <w:t>처분에 따라 이동·생활의 자유가 제한될 수 있음</w:t>
            </w:r>
          </w:p>
        </w:tc>
      </w:tr>
    </w:tbl>
    <w:p>
      <w:pPr>
        <w:spacing w:after="20"/>
      </w:pPr>
      <w:r>
        <w:rPr>
          <w:b w:val="0"/>
        </w:rPr>
      </w:r>
    </w:p>
    <w:p>
      <w:r>
        <w:rPr>
          <w:b/>
        </w:rPr>
        <w:t xml:space="preserve">하단  </w:t>
      </w:r>
      <w:r>
        <w:t>같은 보호 목표라도 제공되는 서비스와 청소년이 받는 제한을 함께 비교해야 한다.</w:t>
      </w:r>
    </w:p>
    <w:p>
      <w:pPr>
        <w:pStyle w:val="Heading2"/>
      </w:pPr>
      <w:r>
        <w:t>배치와 강조</w:t>
      </w:r>
    </w:p>
    <w:p>
      <w:pPr>
        <w:spacing w:after="120"/>
      </w:pPr>
      <w:r>
        <w:rPr>
          <w:b w:val="0"/>
        </w:rPr>
        <w:t>두 경로의 열 제목을 같은 크기와 색으로 표시한다. 본문 4행은 옅은 회색선으로 구분한다. 각 칸에 굵은 테두리를 두지 않는다. 지원을 장점만, 사법을 부담만 적는 색 배분도 피한다.</w:t>
      </w:r>
    </w:p>
    <w:p>
      <w:pPr>
        <w:pStyle w:val="Heading2"/>
      </w:pPr>
      <w:r>
        <w:t>설명과 다음 장 연결</w:t>
      </w:r>
    </w:p>
    <w:p>
      <w:pPr>
        <w:spacing w:after="120"/>
      </w:pPr>
      <w:r>
        <w:rPr>
          <w:b w:val="0"/>
        </w:rPr>
        <w:t>이 표는 성착취 피해지원과 소년법 보호처분을 비교한 것이다. 모든 복지 개입이 자발적이라는 뜻이나, 모든 소년보호처분이 시설 수용이라는 뜻은 아니다. 소년사법 안에서도 외부 서비스를 이용할 수 있다. 실제 처분 종류에 따라 개입 내용이 달라진다.</w:t>
      </w:r>
    </w:p>
    <w:p>
      <w:r>
        <w:rPr>
          <w:b/>
        </w:rPr>
        <w:t xml:space="preserve">다음 연결  </w:t>
      </w:r>
      <w:r>
        <w:t>B 사례처럼 치료가 필요할 때 7호 처분은 어떤 선택인가.</w:t>
      </w:r>
    </w:p>
    <w:p>
      <w:r>
        <w:rPr>
          <w:b/>
        </w:rPr>
        <w:t xml:space="preserve">근거  </w:t>
      </w:r>
      <w:r>
        <w:t>S02 보호처분의 종류. S03 지원 내용. S05 분류심사원 위탁과 절차상 권리. 비교 항목은 강의용 분석틀이다.</w:t>
      </w:r>
    </w:p>
    <w:p>
      <w:r>
        <w:br w:type="page"/>
      </w:r>
    </w:p>
    <w:p>
      <w:pPr>
        <w:pStyle w:val="Heading1"/>
      </w:pPr>
      <w:r>
        <w:t>B3 치료 필요성과 7호 처분</w:t>
      </w:r>
    </w:p>
    <w:p>
      <w:r>
        <w:rPr>
          <w:b/>
        </w:rPr>
        <w:t xml:space="preserve">적용 위치  </w:t>
      </w:r>
      <w:r>
        <w:t>제5장 경로 비교 뒤</w:t>
      </w:r>
    </w:p>
    <w:p>
      <w:r>
        <w:rPr>
          <w:b/>
        </w:rPr>
        <w:t xml:space="preserve">편집 방식  </w:t>
      </w:r>
      <w:r>
        <w:t>B 사례를 짧게 회수하고 치료 제공 경로를 비교한다.</w:t>
      </w:r>
    </w:p>
    <w:p>
      <w:r>
        <w:rPr>
          <w:b/>
        </w:rPr>
        <w:t xml:space="preserve">기억할 내용  </w:t>
      </w:r>
      <w:r>
        <w:t>치료 필요성을 확인한 다음에는 치료를 제공할 장소와 방식까지 판단해야 한다.</w:t>
      </w:r>
    </w:p>
    <w:p>
      <w:pPr>
        <w:pStyle w:val="Heading2"/>
      </w:pPr>
      <w:r>
        <w:t>화면에 넣을 문구</w:t>
      </w:r>
    </w:p>
    <w:p>
      <w:r>
        <w:rPr>
          <w:b/>
        </w:rPr>
        <w:t xml:space="preserve">제목  </w:t>
      </w:r>
      <w:r>
        <w:t>치료가 필요한 청소년과 7호 처분</w:t>
      </w:r>
    </w:p>
    <w:p>
      <w:r>
        <w:rPr>
          <w:b/>
        </w:rPr>
        <w:t xml:space="preserve">상단  </w:t>
      </w:r>
      <w:r>
        <w:t>7호는 병원·요양소 또는 의료재활소년원에 위탁하는 보호처분이다.</w:t>
      </w:r>
    </w:p>
    <w:p>
      <w:r>
        <w:rPr>
          <w:b/>
        </w:rPr>
        <w:t xml:space="preserve">치료에 관한 판단  </w:t>
      </w:r>
      <w:r>
        <w:t>실무 연구에서는 치료 이력, 현재 증상, 전문가 의견, 치료 의사와 가정의 지원 여건을 살피는 과정이 보고된다.</w:t>
      </w:r>
    </w:p>
    <w:p>
      <w:r>
        <w:rPr>
          <w:b/>
        </w:rPr>
        <w:t xml:space="preserve">B 사례에서 확인된 사정  </w:t>
      </w:r>
      <w:r>
        <w:t>가정의 보호 여건, 부모의 시설처분 요청, 치료 필요성이 제시되었다.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12"/>
      </w:tblGrid>
      <w:tr>
        <w:trPr>
          <w:cantSplit/>
          <w:tblHeader/>
        </w:trPr>
        <w:tc>
          <w:tcPr>
            <w:tcW w:type="dxa" w:w="3240"/>
            <w:vAlign w:val="center"/>
            <w:tcMar>
              <w:top w:w="100" w:type="dxa"/>
              <w:left w:w="100" w:type="dxa"/>
              <w:bottom w:w="100" w:type="dxa"/>
              <w:right w:w="100" w:type="dxa"/>
            </w:tcMar>
            <w:shd w:fill="E8EDF3"/>
          </w:tcPr>
          <w:p>
            <w:pPr>
              <w:spacing w:after="20" w:line="269" w:lineRule="auto"/>
            </w:pPr>
            <w:r>
              <w:rPr>
                <w:b/>
                <w:sz w:val="20"/>
              </w:rPr>
              <w:t>비교할 경로</w:t>
            </w:r>
          </w:p>
        </w:tc>
        <w:tc>
          <w:tcPr>
            <w:tcW w:type="dxa" w:w="6912"/>
            <w:vAlign w:val="center"/>
            <w:tcMar>
              <w:top w:w="100" w:type="dxa"/>
              <w:left w:w="100" w:type="dxa"/>
              <w:bottom w:w="100" w:type="dxa"/>
              <w:right w:w="100" w:type="dxa"/>
            </w:tcMar>
            <w:shd w:fill="E8EDF3"/>
          </w:tcPr>
          <w:p>
            <w:pPr>
              <w:spacing w:after="20" w:line="269" w:lineRule="auto"/>
            </w:pPr>
            <w:r>
              <w:rPr>
                <w:b/>
                <w:sz w:val="20"/>
              </w:rPr>
              <w:t>구체적으로 확인할 내용</w:t>
            </w:r>
          </w:p>
        </w:tc>
      </w:tr>
      <w:tr>
        <w:trPr>
          <w:cantSplit/>
        </w:trPr>
        <w:tc>
          <w:tcPr>
            <w:tcW w:type="dxa" w:w="3240"/>
            <w:vAlign w:val="center"/>
            <w:tcMar>
              <w:top w:w="100" w:type="dxa"/>
              <w:left w:w="100" w:type="dxa"/>
              <w:bottom w:w="100" w:type="dxa"/>
              <w:right w:w="100" w:type="dxa"/>
            </w:tcMar>
          </w:tcPr>
          <w:p>
            <w:pPr>
              <w:spacing w:after="20" w:line="269" w:lineRule="auto"/>
            </w:pPr>
            <w:r>
              <w:rPr>
                <w:b w:val="0"/>
                <w:sz w:val="20"/>
              </w:rPr>
              <w:t>지역사회 의료와 피해지원</w:t>
            </w:r>
          </w:p>
        </w:tc>
        <w:tc>
          <w:tcPr>
            <w:tcW w:type="dxa" w:w="6912"/>
            <w:vAlign w:val="center"/>
            <w:tcMar>
              <w:top w:w="100" w:type="dxa"/>
              <w:left w:w="100" w:type="dxa"/>
              <w:bottom w:w="100" w:type="dxa"/>
              <w:right w:w="100" w:type="dxa"/>
            </w:tcMar>
          </w:tcPr>
          <w:p>
            <w:pPr>
              <w:spacing w:after="20" w:line="269" w:lineRule="auto"/>
            </w:pPr>
            <w:r>
              <w:rPr>
                <w:b w:val="0"/>
                <w:sz w:val="20"/>
              </w:rPr>
              <w:t>진료기관·안전한 거처·치료비·동행 지원을 확보할 수 있는가</w:t>
            </w:r>
          </w:p>
        </w:tc>
      </w:tr>
      <w:tr>
        <w:trPr>
          <w:cantSplit/>
        </w:trPr>
        <w:tc>
          <w:tcPr>
            <w:tcW w:type="dxa" w:w="3240"/>
            <w:vAlign w:val="center"/>
            <w:tcMar>
              <w:top w:w="100" w:type="dxa"/>
              <w:left w:w="100" w:type="dxa"/>
              <w:bottom w:w="100" w:type="dxa"/>
              <w:right w:w="100" w:type="dxa"/>
            </w:tcMar>
          </w:tcPr>
          <w:p>
            <w:pPr>
              <w:spacing w:after="20" w:line="269" w:lineRule="auto"/>
            </w:pPr>
            <w:r>
              <w:rPr>
                <w:b w:val="0"/>
                <w:sz w:val="20"/>
              </w:rPr>
              <w:t>법원의 의료 위탁</w:t>
            </w:r>
          </w:p>
        </w:tc>
        <w:tc>
          <w:tcPr>
            <w:tcW w:type="dxa" w:w="6912"/>
            <w:vAlign w:val="center"/>
            <w:tcMar>
              <w:top w:w="100" w:type="dxa"/>
              <w:left w:w="100" w:type="dxa"/>
              <w:bottom w:w="100" w:type="dxa"/>
              <w:right w:w="100" w:type="dxa"/>
            </w:tcMar>
          </w:tcPr>
          <w:p>
            <w:pPr>
              <w:spacing w:after="20" w:line="269" w:lineRule="auto"/>
            </w:pPr>
            <w:r>
              <w:rPr>
                <w:b w:val="0"/>
                <w:sz w:val="20"/>
              </w:rPr>
              <w:t>적합한 수탁기관·치료 내용·생활 제한·위탁 이후 연계를 어떻게 마련하는가</w:t>
            </w:r>
          </w:p>
        </w:tc>
      </w:tr>
    </w:tbl>
    <w:p>
      <w:pPr>
        <w:spacing w:after="20"/>
      </w:pPr>
      <w:r>
        <w:rPr>
          <w:b w:val="0"/>
        </w:rPr>
      </w:r>
    </w:p>
    <w:p>
      <w:r>
        <w:rPr>
          <w:b/>
        </w:rPr>
        <w:t xml:space="preserve">하단  </w:t>
      </w:r>
      <w:r>
        <w:t>치료의 필요성과 시설 위탁의 필요성을 각각 어떤 근거로 판단할 것인가?</w:t>
      </w:r>
    </w:p>
    <w:p>
      <w:pPr>
        <w:pStyle w:val="Heading2"/>
      </w:pPr>
      <w:r>
        <w:t>배치와 강조</w:t>
      </w:r>
    </w:p>
    <w:p>
      <w:pPr>
        <w:spacing w:after="120"/>
      </w:pPr>
      <w:r>
        <w:rPr>
          <w:b w:val="0"/>
        </w:rPr>
        <w:t>상단에 법적 의미를 간결하게 두고, 본문은 치료 판단 요소와 경로 비교를 위아래로 배치한다. 7호의 숫자를 처분 강도의 순위로 시각화하지 않는다. B 사례는 작은 문장으로만 회수하며 전체 경위를 반복하지 않는다.</w:t>
      </w:r>
    </w:p>
    <w:p>
      <w:pPr>
        <w:pStyle w:val="Heading2"/>
      </w:pPr>
      <w:r>
        <w:t>설명과 다음 장 연결</w:t>
      </w:r>
    </w:p>
    <w:p>
      <w:pPr>
        <w:spacing w:after="120"/>
      </w:pPr>
      <w:r>
        <w:rPr>
          <w:b w:val="0"/>
        </w:rPr>
        <w:t>2022년 연구의 면접은 분류심사 실무자의 처분 의견을 설명한다. 최종 처분은 법원이 정한다. 연구의 일반적 판단 요소를 B에게 확인된 진단으로 옮기지 않는다. 자유 제한을 수반하는 조치의 법률조력 문제는 대법원 2025트6을 짧게 연결한다.</w:t>
      </w:r>
    </w:p>
    <w:p>
      <w:r>
        <w:rPr>
          <w:b/>
        </w:rPr>
        <w:t xml:space="preserve">다음 연결  </w:t>
      </w:r>
      <w:r>
        <w:t>필요한 보호를 제공하는 방법을 두고 현장에서는 왜 판단이 달라지는가.</w:t>
      </w:r>
    </w:p>
    <w:p>
      <w:r>
        <w:rPr>
          <w:b/>
        </w:rPr>
        <w:t xml:space="preserve">근거  </w:t>
      </w:r>
      <w:r>
        <w:t>S04 인쇄면 128–129쪽. S01 18쪽. S02 제32조 제1항 제7호. S05는 분류심사원 위탁에 관한 결정으로, 7호의 요건을 판시한 자료가 아니다.</w:t>
      </w:r>
    </w:p>
    <w:p>
      <w:r>
        <w:br w:type="page"/>
      </w:r>
    </w:p>
    <w:p>
      <w:pPr>
        <w:pStyle w:val="Heading1"/>
      </w:pPr>
      <w:r>
        <w:t>C1 토론회의 주장과 근거</w:t>
      </w:r>
    </w:p>
    <w:p>
      <w:r>
        <w:rPr>
          <w:b/>
        </w:rPr>
        <w:t xml:space="preserve">적용 위치  </w:t>
      </w:r>
      <w:r>
        <w:t>제6장 「우범소년 규정 폐지 필요성 토론회」 소개 부분</w:t>
      </w:r>
    </w:p>
    <w:p>
      <w:r>
        <w:rPr>
          <w:b/>
        </w:rPr>
        <w:t xml:space="preserve">편집 방식  </w:t>
      </w:r>
      <w:r>
        <w:t>행사 소개와 발언자 나열을 주장·근거 구조로 바꾼다.</w:t>
      </w:r>
    </w:p>
    <w:p>
      <w:r>
        <w:rPr>
          <w:b/>
        </w:rPr>
        <w:t xml:space="preserve">기억할 내용  </w:t>
      </w:r>
      <w:r>
        <w:t>현장 보호의 지속성과 청소년의 권리라는 서로 다른 이유가 제도 선택에 작용한다.</w:t>
      </w:r>
    </w:p>
    <w:p>
      <w:pPr>
        <w:pStyle w:val="Heading2"/>
      </w:pPr>
      <w:r>
        <w:t>화면에 넣을 문구</w:t>
      </w:r>
    </w:p>
    <w:p>
      <w:r>
        <w:rPr>
          <w:b/>
        </w:rPr>
        <w:t xml:space="preserve">제목  </w:t>
      </w:r>
      <w:r>
        <w:t>반복 피해에 개입하는 방법에 관한 논의</w:t>
      </w:r>
    </w:p>
    <w:p>
      <w:r>
        <w:rPr>
          <w:b/>
        </w:rPr>
        <w:t xml:space="preserve">상단  </w:t>
      </w:r>
      <w:r>
        <w:t>2021년 토론회에서는 개입의 공백과 청소년의 자유 제한을 함께 다루었다.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92"/>
      </w:tblGrid>
      <w:tr>
        <w:trPr>
          <w:cantSplit/>
          <w:tblHeader/>
        </w:trPr>
        <w:tc>
          <w:tcPr>
            <w:tcW w:type="dxa" w:w="3960"/>
            <w:vAlign w:val="center"/>
            <w:tcMar>
              <w:top w:w="100" w:type="dxa"/>
              <w:left w:w="100" w:type="dxa"/>
              <w:bottom w:w="100" w:type="dxa"/>
              <w:right w:w="100" w:type="dxa"/>
            </w:tcMar>
            <w:shd w:fill="E8EDF3"/>
          </w:tcPr>
          <w:p>
            <w:pPr>
              <w:spacing w:after="20" w:line="269" w:lineRule="auto"/>
            </w:pPr>
            <w:r>
              <w:rPr>
                <w:b/>
                <w:sz w:val="20"/>
              </w:rPr>
              <w:t>주장</w:t>
            </w:r>
          </w:p>
        </w:tc>
        <w:tc>
          <w:tcPr>
            <w:tcW w:type="dxa" w:w="6192"/>
            <w:vAlign w:val="center"/>
            <w:tcMar>
              <w:top w:w="100" w:type="dxa"/>
              <w:left w:w="100" w:type="dxa"/>
              <w:bottom w:w="100" w:type="dxa"/>
              <w:right w:w="100" w:type="dxa"/>
            </w:tcMar>
            <w:shd w:fill="E8EDF3"/>
          </w:tcPr>
          <w:p>
            <w:pPr>
              <w:spacing w:after="20" w:line="269" w:lineRule="auto"/>
            </w:pPr>
            <w:r>
              <w:rPr>
                <w:b/>
                <w:sz w:val="20"/>
              </w:rPr>
              <w:t>그 주장을 뒷받침하는 이유</w:t>
            </w:r>
          </w:p>
        </w:tc>
      </w:tr>
      <w:tr>
        <w:trPr>
          <w:cantSplit/>
        </w:trPr>
        <w:tc>
          <w:tcPr>
            <w:tcW w:type="dxa" w:w="3960"/>
            <w:vAlign w:val="center"/>
            <w:tcMar>
              <w:top w:w="100" w:type="dxa"/>
              <w:left w:w="100" w:type="dxa"/>
              <w:bottom w:w="100" w:type="dxa"/>
              <w:right w:w="100" w:type="dxa"/>
            </w:tcMar>
          </w:tcPr>
          <w:p>
            <w:pPr>
              <w:spacing w:after="20" w:line="269" w:lineRule="auto"/>
            </w:pPr>
            <w:r>
              <w:rPr>
                <w:b w:val="0"/>
                <w:sz w:val="20"/>
              </w:rPr>
              <w:t>즉시 개입하고 보호를 지속할 수단을 확보해야 한다</w:t>
            </w:r>
          </w:p>
        </w:tc>
        <w:tc>
          <w:tcPr>
            <w:tcW w:type="dxa" w:w="6192"/>
            <w:vAlign w:val="center"/>
            <w:tcMar>
              <w:top w:w="100" w:type="dxa"/>
              <w:left w:w="100" w:type="dxa"/>
              <w:bottom w:w="100" w:type="dxa"/>
              <w:right w:w="100" w:type="dxa"/>
            </w:tcMar>
          </w:tcPr>
          <w:p>
            <w:pPr>
              <w:spacing w:after="20" w:line="269" w:lineRule="auto"/>
            </w:pPr>
            <w:r>
              <w:rPr>
                <w:b w:val="0"/>
                <w:sz w:val="20"/>
              </w:rPr>
              <w:t>경찰 측은 가출과 피해가 반복되는 상황에서 기존 보호가 이어지기 어려운 문제를 제시했다.</w:t>
            </w:r>
          </w:p>
        </w:tc>
      </w:tr>
      <w:tr>
        <w:trPr>
          <w:cantSplit/>
        </w:trPr>
        <w:tc>
          <w:tcPr>
            <w:tcW w:type="dxa" w:w="3960"/>
            <w:vAlign w:val="center"/>
            <w:tcMar>
              <w:top w:w="100" w:type="dxa"/>
              <w:left w:w="100" w:type="dxa"/>
              <w:bottom w:w="100" w:type="dxa"/>
              <w:right w:w="100" w:type="dxa"/>
            </w:tcMar>
          </w:tcPr>
          <w:p>
            <w:pPr>
              <w:spacing w:after="20" w:line="269" w:lineRule="auto"/>
            </w:pPr>
            <w:r>
              <w:rPr>
                <w:b w:val="0"/>
                <w:sz w:val="20"/>
              </w:rPr>
              <w:t>위험의 원인을 청소년의 비행 문제로만 처리해서는 안 된다</w:t>
            </w:r>
          </w:p>
        </w:tc>
        <w:tc>
          <w:tcPr>
            <w:tcW w:type="dxa" w:w="6192"/>
            <w:vAlign w:val="center"/>
            <w:tcMar>
              <w:top w:w="100" w:type="dxa"/>
              <w:left w:w="100" w:type="dxa"/>
              <w:bottom w:w="100" w:type="dxa"/>
              <w:right w:w="100" w:type="dxa"/>
            </w:tcMar>
          </w:tcPr>
          <w:p>
            <w:pPr>
              <w:spacing w:after="20" w:line="269" w:lineRule="auto"/>
            </w:pPr>
            <w:r>
              <w:rPr>
                <w:b w:val="0"/>
                <w:sz w:val="20"/>
              </w:rPr>
              <w:t>변호사와 연구자는 가정폭력·유해환경에 대한 대응이 부족한 채 청소년에게 시설처분이 집중될 수 있다고 비판했다.</w:t>
            </w:r>
          </w:p>
        </w:tc>
      </w:tr>
      <w:tr>
        <w:trPr>
          <w:cantSplit/>
        </w:trPr>
        <w:tc>
          <w:tcPr>
            <w:tcW w:type="dxa" w:w="3960"/>
            <w:vAlign w:val="center"/>
            <w:tcMar>
              <w:top w:w="100" w:type="dxa"/>
              <w:left w:w="100" w:type="dxa"/>
              <w:bottom w:w="100" w:type="dxa"/>
              <w:right w:w="100" w:type="dxa"/>
            </w:tcMar>
          </w:tcPr>
          <w:p>
            <w:pPr>
              <w:spacing w:after="20" w:line="269" w:lineRule="auto"/>
            </w:pPr>
            <w:r>
              <w:rPr>
                <w:b w:val="0"/>
                <w:sz w:val="20"/>
              </w:rPr>
              <w:t>제도 변경에는 실제 보호 공백을 메울 방안이 필요하다</w:t>
            </w:r>
          </w:p>
        </w:tc>
        <w:tc>
          <w:tcPr>
            <w:tcW w:type="dxa" w:w="6192"/>
            <w:vAlign w:val="center"/>
            <w:tcMar>
              <w:top w:w="100" w:type="dxa"/>
              <w:left w:w="100" w:type="dxa"/>
              <w:bottom w:w="100" w:type="dxa"/>
              <w:right w:w="100" w:type="dxa"/>
            </w:tcMar>
          </w:tcPr>
          <w:p>
            <w:pPr>
              <w:spacing w:after="20" w:line="269" w:lineRule="auto"/>
            </w:pPr>
            <w:r>
              <w:rPr>
                <w:b w:val="0"/>
                <w:sz w:val="20"/>
              </w:rPr>
              <w:t>법무부 측 토론에서는 폐지 논의와 함께 지원 이탈 등에 대응할 보호 수단과 제도 보완이 검토됐다.</w:t>
            </w:r>
          </w:p>
        </w:tc>
      </w:tr>
    </w:tbl>
    <w:p>
      <w:pPr>
        <w:spacing w:after="20"/>
      </w:pPr>
      <w:r>
        <w:rPr>
          <w:b w:val="0"/>
        </w:rPr>
      </w:r>
    </w:p>
    <w:p>
      <w:r>
        <w:rPr>
          <w:b/>
        </w:rPr>
        <w:t xml:space="preserve">하단  </w:t>
      </w:r>
      <w:r>
        <w:t>청소년을 안전하게 보호하면서 개입의 근거와 범위를 어떻게 정할 것인가?</w:t>
      </w:r>
    </w:p>
    <w:p>
      <w:pPr>
        <w:pStyle w:val="Heading2"/>
      </w:pPr>
      <w:r>
        <w:t>배치와 강조</w:t>
      </w:r>
    </w:p>
    <w:p>
      <w:pPr>
        <w:spacing w:after="120"/>
      </w:pPr>
      <w:r>
        <w:rPr>
          <w:b w:val="0"/>
        </w:rPr>
        <w:t>주장과 근거의 2열 표로 구성한다. 발언자를 별도 카드로 늘어놓지 않는다. 셋째 행을 강사의 최종 결론처럼 더 진하게 표시하지 않는다. 인물·기관명은 해당 근거 설명에 짧게 남긴다.</w:t>
      </w:r>
    </w:p>
    <w:p>
      <w:pPr>
        <w:pStyle w:val="Heading2"/>
      </w:pPr>
      <w:r>
        <w:t>설명과 다음 장 연결</w:t>
      </w:r>
    </w:p>
    <w:p>
      <w:pPr>
        <w:spacing w:after="120"/>
      </w:pPr>
      <w:r>
        <w:rPr>
          <w:b w:val="0"/>
        </w:rPr>
        <w:t>이 표는 토론 내용을 수업의 질문에 맞춰 묶은 요약이다. 세 행이 서로 배타적인 입장을 뜻하지 않는다. 강정은 17–39쪽, 양현규 67–70쪽, 고평기 74–78쪽, 이승현 82–86쪽을 참고한다. 2021년의 제안과 현재 법을 구분한다.</w:t>
      </w:r>
    </w:p>
    <w:p>
      <w:r>
        <w:rPr>
          <w:b/>
        </w:rPr>
        <w:t xml:space="preserve">다음 연결  </w:t>
      </w:r>
      <w:r>
        <w:t>기관이 협의한 뒤 송치 계획이 달라진 실제 사례를 본다.</w:t>
      </w:r>
    </w:p>
    <w:p>
      <w:r>
        <w:rPr>
          <w:b/>
        </w:rPr>
        <w:t xml:space="preserve">근거  </w:t>
      </w:r>
      <w:r>
        <w:t>S01 해당 발제·토론문. S07은 가출 청소년에 대한 복지·지원 대안의 구체화를 보완한다.</w:t>
      </w:r>
    </w:p>
    <w:p>
      <w:r>
        <w:br w:type="page"/>
      </w:r>
    </w:p>
    <w:p>
      <w:pPr>
        <w:pStyle w:val="Heading1"/>
      </w:pPr>
      <w:r>
        <w:t>C2 기관 협의로 처리 경로가 달라진 사례</w:t>
      </w:r>
    </w:p>
    <w:p>
      <w:r>
        <w:rPr>
          <w:b/>
        </w:rPr>
        <w:t xml:space="preserve">적용 위치  </w:t>
      </w:r>
      <w:r>
        <w:t>제6장 토론회 논거 뒤</w:t>
      </w:r>
    </w:p>
    <w:p>
      <w:r>
        <w:rPr>
          <w:b/>
        </w:rPr>
        <w:t xml:space="preserve">편집 방식  </w:t>
      </w:r>
      <w:r>
        <w:t>구체적인 대안 경로를 보여주는 사례로 배치한다.</w:t>
      </w:r>
    </w:p>
    <w:p>
      <w:r>
        <w:rPr>
          <w:b/>
        </w:rPr>
        <w:t xml:space="preserve">기억할 내용  </w:t>
      </w:r>
      <w:r>
        <w:t>경찰과 지원기관의 협의는 청소년에게 적용할 처리 경로를 바꿀 수 있다.</w:t>
      </w:r>
    </w:p>
    <w:p>
      <w:pPr>
        <w:pStyle w:val="Heading2"/>
      </w:pPr>
      <w:r>
        <w:t>화면에 넣을 문구</w:t>
      </w:r>
    </w:p>
    <w:p>
      <w:r>
        <w:rPr>
          <w:b/>
        </w:rPr>
        <w:t xml:space="preserve">제목  </w:t>
      </w:r>
      <w:r>
        <w:t>기관 협의로 달라진 송치 계획</w:t>
      </w:r>
    </w:p>
    <w:p>
      <w:r>
        <w:rPr>
          <w:b/>
        </w:rPr>
        <w:t xml:space="preserve">상단  </w:t>
      </w:r>
      <w:r>
        <w:t>지원기관의 사례보고에는 경찰과의 협의 후 우범소년 송치 계획을 중단한 과정이 나온다.</w:t>
      </w:r>
    </w:p>
    <w:p>
      <w:r>
        <w:rPr>
          <w:b/>
        </w:rPr>
        <w:t xml:space="preserve">경찰의 초기 계획  </w:t>
      </w:r>
      <w:r>
        <w:t>지적장애가 있는 14세 피해청소년에 대해 의료적 치료를 목적으로 우범소년 송치를 계획했다.</w:t>
      </w:r>
    </w:p>
    <w:p>
      <w:r>
        <w:rPr>
          <w:b/>
        </w:rPr>
        <w:t xml:space="preserve">지원기관과의 협의  </w:t>
      </w:r>
      <w:r>
        <w:t>지원기관은 2020년 법 개정 취지와 피해청소년의 보호 방안을 설명하며 경찰과 여러 차례 협의했다.</w:t>
      </w:r>
    </w:p>
    <w:p>
      <w:r>
        <w:rPr>
          <w:b/>
        </w:rPr>
        <w:t xml:space="preserve">보고된 결과  </w:t>
      </w:r>
      <w:r>
        <w:t>송치 계획이 중단되었고, 지원기관은 가해자에 대한 적절한 수사도 요청했다.</w:t>
      </w:r>
    </w:p>
    <w:p>
      <w:r>
        <w:rPr>
          <w:b/>
        </w:rPr>
        <w:t xml:space="preserve">하단  </w:t>
      </w:r>
      <w:r>
        <w:t>송치 판단 전에 지원기관과 협의한다면 어떤 보호·치료 방법을 함께 검토할 수 있는가?</w:t>
      </w:r>
    </w:p>
    <w:p>
      <w:pPr>
        <w:pStyle w:val="Heading2"/>
      </w:pPr>
      <w:r>
        <w:t>배치와 강조</w:t>
      </w:r>
    </w:p>
    <w:p>
      <w:pPr>
        <w:spacing w:after="120"/>
      </w:pPr>
      <w:r>
        <w:rPr>
          <w:b w:val="0"/>
        </w:rPr>
        <w:t>초기 계획 → 기관 협의 → 계획 변경의 시간순 구조를 사용한다. 협의 단계를 옅은 면으로 묶어 경로를 바꾼 행동이 보이게 한다. 성공·실패를 뜻하는 녹색·빨간색 판정 표시는 넣지 않는다.</w:t>
      </w:r>
    </w:p>
    <w:p>
      <w:pPr>
        <w:pStyle w:val="Heading2"/>
      </w:pPr>
      <w:r>
        <w:t>설명과 다음 장 연결</w:t>
      </w:r>
    </w:p>
    <w:p>
      <w:pPr>
        <w:spacing w:after="120"/>
      </w:pPr>
      <w:r>
        <w:rPr>
          <w:b w:val="0"/>
        </w:rPr>
        <w:t>지원기관이 직접 보고한 사례이다. 확인된 결과는 처리 계획의 변경이다. 이후의 주거 안정, 치료 지속, 재피해 여부까지 보고된 것은 아니므로 장기적인 효과를 단정하지 않는다. B 사례와 결과의 우열을 비교하지 않는다.</w:t>
      </w:r>
    </w:p>
    <w:p>
      <w:r>
        <w:rPr>
          <w:b/>
        </w:rPr>
        <w:t xml:space="preserve">다음 연결  </w:t>
      </w:r>
      <w:r>
        <w:t>이런 협의가 개인의 노력에 그치지 않으려면 어떤 운영 조건이 필요한가.</w:t>
      </w:r>
    </w:p>
    <w:p>
      <w:r>
        <w:rPr>
          <w:b/>
        </w:rPr>
        <w:t xml:space="preserve">근거  </w:t>
      </w:r>
      <w:r>
        <w:t>S06 평화의샘, 「아청법 개정 1년, 그리고」, 2021년 12월 20일.</w:t>
      </w:r>
    </w:p>
    <w:p>
      <w:r>
        <w:br w:type="page"/>
      </w:r>
    </w:p>
    <w:p>
      <w:pPr>
        <w:pStyle w:val="Heading1"/>
      </w:pPr>
      <w:r>
        <w:t>C3 지원이 실제로 이어지기 위한 조건</w:t>
      </w:r>
    </w:p>
    <w:p>
      <w:r>
        <w:rPr>
          <w:b/>
        </w:rPr>
        <w:t xml:space="preserve">적용 위치  </w:t>
      </w:r>
      <w:r>
        <w:t>제6장 제도개선 부분의 추상적인 지원체계 보완 설명</w:t>
      </w:r>
    </w:p>
    <w:p>
      <w:r>
        <w:rPr>
          <w:b/>
        </w:rPr>
        <w:t xml:space="preserve">편집 방식  </w:t>
      </w:r>
      <w:r>
        <w:t>운영 문제와 개선안을 나란히 제시한다.</w:t>
      </w:r>
    </w:p>
    <w:p>
      <w:r>
        <w:rPr>
          <w:b/>
        </w:rPr>
        <w:t xml:space="preserve">기억할 내용  </w:t>
      </w:r>
      <w:r>
        <w:t>지원의 존재와 지원이 제때 작동하는 것은 별도로 살펴야 한다.</w:t>
      </w:r>
    </w:p>
    <w:p>
      <w:pPr>
        <w:pStyle w:val="Heading2"/>
      </w:pPr>
      <w:r>
        <w:t>화면에 넣을 문구</w:t>
      </w:r>
    </w:p>
    <w:p>
      <w:r>
        <w:rPr>
          <w:b/>
        </w:rPr>
        <w:t xml:space="preserve">제목  </w:t>
      </w:r>
      <w:r>
        <w:t>지원이 제때 이어지기 위한 조건</w:t>
      </w:r>
    </w:p>
    <w:p>
      <w:r>
        <w:rPr>
          <w:b/>
        </w:rPr>
        <w:t xml:space="preserve">상단  </w:t>
      </w:r>
      <w:r>
        <w:t>최근 현장조사는 통지 시점, 지원 참여, 기관의 운영 여건을 개선 과제로 제시한다.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04"/>
        <w:gridCol w:w="6048"/>
      </w:tblGrid>
      <w:tr>
        <w:trPr>
          <w:cantSplit/>
          <w:tblHeader/>
        </w:trPr>
        <w:tc>
          <w:tcPr>
            <w:tcW w:type="dxa" w:w="4104"/>
            <w:vAlign w:val="center"/>
            <w:tcMar>
              <w:top w:w="100" w:type="dxa"/>
              <w:left w:w="100" w:type="dxa"/>
              <w:bottom w:w="100" w:type="dxa"/>
              <w:right w:w="100" w:type="dxa"/>
            </w:tcMar>
            <w:shd w:fill="E8EDF3"/>
          </w:tcPr>
          <w:p>
            <w:pPr>
              <w:spacing w:after="20" w:line="269" w:lineRule="auto"/>
            </w:pPr>
            <w:r>
              <w:rPr>
                <w:b/>
                <w:sz w:val="20"/>
              </w:rPr>
              <w:t>확인된 운영 문제</w:t>
            </w:r>
          </w:p>
        </w:tc>
        <w:tc>
          <w:tcPr>
            <w:tcW w:type="dxa" w:w="6048"/>
            <w:vAlign w:val="center"/>
            <w:tcMar>
              <w:top w:w="100" w:type="dxa"/>
              <w:left w:w="100" w:type="dxa"/>
              <w:bottom w:w="100" w:type="dxa"/>
              <w:right w:w="100" w:type="dxa"/>
            </w:tcMar>
            <w:shd w:fill="E8EDF3"/>
          </w:tcPr>
          <w:p>
            <w:pPr>
              <w:spacing w:after="20" w:line="269" w:lineRule="auto"/>
            </w:pPr>
            <w:r>
              <w:rPr>
                <w:b/>
                <w:sz w:val="20"/>
              </w:rPr>
              <w:t>수업에서 검토할 개선 방향</w:t>
            </w:r>
          </w:p>
        </w:tc>
      </w:tr>
      <w:tr>
        <w:trPr>
          <w:cantSplit/>
        </w:trPr>
        <w:tc>
          <w:tcPr>
            <w:tcW w:type="dxa" w:w="4104"/>
            <w:vAlign w:val="center"/>
            <w:tcMar>
              <w:top w:w="100" w:type="dxa"/>
              <w:left w:w="100" w:type="dxa"/>
              <w:bottom w:w="100" w:type="dxa"/>
              <w:right w:w="100" w:type="dxa"/>
            </w:tcMar>
          </w:tcPr>
          <w:p>
            <w:pPr>
              <w:spacing w:after="20" w:line="269" w:lineRule="auto"/>
            </w:pPr>
            <w:r>
              <w:rPr>
                <w:b w:val="0"/>
                <w:sz w:val="20"/>
              </w:rPr>
              <w:t>지원 통지가 늦어지면 연락과 연계가 어려워짐</w:t>
            </w:r>
          </w:p>
        </w:tc>
        <w:tc>
          <w:tcPr>
            <w:tcW w:type="dxa" w:w="6048"/>
            <w:vAlign w:val="center"/>
            <w:tcMar>
              <w:top w:w="100" w:type="dxa"/>
              <w:left w:w="100" w:type="dxa"/>
              <w:bottom w:w="100" w:type="dxa"/>
              <w:right w:w="100" w:type="dxa"/>
            </w:tcMar>
          </w:tcPr>
          <w:p>
            <w:pPr>
              <w:spacing w:after="20" w:line="269" w:lineRule="auto"/>
            </w:pPr>
            <w:r>
              <w:rPr>
                <w:b w:val="0"/>
                <w:sz w:val="20"/>
              </w:rPr>
              <w:t>초기 접촉 단계부터 지원기관 연결과 긴급 보호를 협의한다.</w:t>
            </w:r>
          </w:p>
        </w:tc>
      </w:tr>
      <w:tr>
        <w:trPr>
          <w:cantSplit/>
        </w:trPr>
        <w:tc>
          <w:tcPr>
            <w:tcW w:type="dxa" w:w="4104"/>
            <w:vAlign w:val="center"/>
            <w:tcMar>
              <w:top w:w="100" w:type="dxa"/>
              <w:left w:w="100" w:type="dxa"/>
              <w:bottom w:w="100" w:type="dxa"/>
              <w:right w:w="100" w:type="dxa"/>
            </w:tcMar>
          </w:tcPr>
          <w:p>
            <w:pPr>
              <w:spacing w:after="20" w:line="269" w:lineRule="auto"/>
            </w:pPr>
            <w:r>
              <w:rPr>
                <w:b w:val="0"/>
                <w:sz w:val="20"/>
              </w:rPr>
              <w:t>지원 거절 또는 참여의 중단</w:t>
            </w:r>
          </w:p>
        </w:tc>
        <w:tc>
          <w:tcPr>
            <w:tcW w:type="dxa" w:w="6048"/>
            <w:vAlign w:val="center"/>
            <w:tcMar>
              <w:top w:w="100" w:type="dxa"/>
              <w:left w:w="100" w:type="dxa"/>
              <w:bottom w:w="100" w:type="dxa"/>
              <w:right w:w="100" w:type="dxa"/>
            </w:tcMar>
          </w:tcPr>
          <w:p>
            <w:pPr>
              <w:spacing w:after="20" w:line="269" w:lineRule="auto"/>
            </w:pPr>
            <w:r>
              <w:rPr>
                <w:b w:val="0"/>
                <w:sz w:val="20"/>
              </w:rPr>
              <w:t>청소년의 필요에 맞춘 서비스와 지속적인 접촉을 마련한다.</w:t>
            </w:r>
          </w:p>
        </w:tc>
      </w:tr>
      <w:tr>
        <w:trPr>
          <w:cantSplit/>
        </w:trPr>
        <w:tc>
          <w:tcPr>
            <w:tcW w:type="dxa" w:w="4104"/>
            <w:vAlign w:val="center"/>
            <w:tcMar>
              <w:top w:w="100" w:type="dxa"/>
              <w:left w:w="100" w:type="dxa"/>
              <w:bottom w:w="100" w:type="dxa"/>
              <w:right w:w="100" w:type="dxa"/>
            </w:tcMar>
          </w:tcPr>
          <w:p>
            <w:pPr>
              <w:spacing w:after="20" w:line="269" w:lineRule="auto"/>
            </w:pPr>
            <w:r>
              <w:rPr>
                <w:b w:val="0"/>
                <w:sz w:val="20"/>
              </w:rPr>
              <w:t>부족한 인력과 불안정한 운영</w:t>
            </w:r>
          </w:p>
        </w:tc>
        <w:tc>
          <w:tcPr>
            <w:tcW w:type="dxa" w:w="6048"/>
            <w:vAlign w:val="center"/>
            <w:tcMar>
              <w:top w:w="100" w:type="dxa"/>
              <w:left w:w="100" w:type="dxa"/>
              <w:bottom w:w="100" w:type="dxa"/>
              <w:right w:w="100" w:type="dxa"/>
            </w:tcMar>
          </w:tcPr>
          <w:p>
            <w:pPr>
              <w:spacing w:after="20" w:line="269" w:lineRule="auto"/>
            </w:pPr>
            <w:r>
              <w:rPr>
                <w:b w:val="0"/>
                <w:sz w:val="20"/>
              </w:rPr>
              <w:t>사례관리를 지속할 인력·재원과 주거·치료 연계를 확보한다.</w:t>
            </w:r>
          </w:p>
        </w:tc>
      </w:tr>
    </w:tbl>
    <w:p>
      <w:pPr>
        <w:spacing w:after="20"/>
      </w:pPr>
      <w:r>
        <w:rPr>
          <w:b w:val="0"/>
        </w:rPr>
      </w:r>
    </w:p>
    <w:p>
      <w:r>
        <w:rPr>
          <w:b/>
        </w:rPr>
        <w:t xml:space="preserve">하단  </w:t>
      </w:r>
      <w:r>
        <w:t>송치 여부를 바꾸려면, 그 뒤의 숙소·치료·사례관리를 누가 계속 책임질지도 정해야 한다.</w:t>
      </w:r>
    </w:p>
    <w:p>
      <w:pPr>
        <w:pStyle w:val="Heading2"/>
      </w:pPr>
      <w:r>
        <w:t>배치와 강조</w:t>
      </w:r>
    </w:p>
    <w:p>
      <w:pPr>
        <w:spacing w:after="120"/>
      </w:pPr>
      <w:r>
        <w:rPr>
          <w:b w:val="0"/>
        </w:rPr>
        <w:t>문제와 개선 방향의 2열 대응 구조로 만든다. 오른쪽 개선안은 제안임을 열 제목으로 분명히 한다. 세 행의 강조 수준은 같게 두고, 마지막 행만 만능 해결책처럼 처리하지 않는다.</w:t>
      </w:r>
    </w:p>
    <w:p>
      <w:pPr>
        <w:pStyle w:val="Heading2"/>
      </w:pPr>
      <w:r>
        <w:t>설명과 다음 장 연결</w:t>
      </w:r>
    </w:p>
    <w:p>
      <w:pPr>
        <w:spacing w:after="120"/>
      </w:pPr>
      <w:r>
        <w:rPr>
          <w:b w:val="0"/>
        </w:rPr>
        <w:t>최근 면접조사에서 보고된 경험을 전국의 발생률로 읽지 않는다. 개선 방향은 조사 결과와 인권위 권고를 바탕으로 구성한 검토안이다. 법정 통지와 초기 지원 협력은 관련 절차와 개인정보 처리 근거를 지키며 설계해야 한다.</w:t>
      </w:r>
    </w:p>
    <w:p>
      <w:r>
        <w:rPr>
          <w:b/>
        </w:rPr>
        <w:t xml:space="preserve">다음 연결  </w:t>
      </w:r>
      <w:r>
        <w:t>다른 제도에서는 법원의 개입 범위와 법원 밖의 보호를 어떻게 결합하는가.</w:t>
      </w:r>
    </w:p>
    <w:p>
      <w:r>
        <w:rPr>
          <w:b/>
        </w:rPr>
        <w:t xml:space="preserve">근거  </w:t>
      </w:r>
      <w:r>
        <w:t>S03 인쇄면 206–208, 321–325쪽. S07 복지·의료·주거 등 지원 권고. 연구의 운영 시점은 2025년이며 현재 전국 인력 총수로 환산하지 않는다.</w:t>
      </w:r>
    </w:p>
    <w:p>
      <w:r>
        <w:br w:type="page"/>
      </w:r>
    </w:p>
    <w:p>
      <w:pPr>
        <w:pStyle w:val="Heading1"/>
      </w:pPr>
      <w:r>
        <w:t>D1 비교제도의 공통 질문</w:t>
      </w:r>
    </w:p>
    <w:p>
      <w:r>
        <w:rPr>
          <w:b/>
        </w:rPr>
        <w:t xml:space="preserve">적용 위치  </w:t>
      </w:r>
      <w:r>
        <w:t>제7장 국가별 제도 소개 부분</w:t>
      </w:r>
    </w:p>
    <w:p>
      <w:r>
        <w:rPr>
          <w:b/>
        </w:rPr>
        <w:t xml:space="preserve">편집 방식  </w:t>
      </w:r>
      <w:r>
        <w:t>국가별 설명을 개입 범위와 보호 설계의 비교로 재구성한다.</w:t>
      </w:r>
    </w:p>
    <w:p>
      <w:r>
        <w:rPr>
          <w:b/>
        </w:rPr>
        <w:t xml:space="preserve">기억할 내용  </w:t>
      </w:r>
      <w:r>
        <w:t>법원 개입을 넓히거나 줄이는 선택과 실제 보호의 설계는 함께 검토한다.</w:t>
      </w:r>
    </w:p>
    <w:p>
      <w:pPr>
        <w:pStyle w:val="Heading2"/>
      </w:pPr>
      <w:r>
        <w:t>화면에 넣을 문구</w:t>
      </w:r>
    </w:p>
    <w:p>
      <w:r>
        <w:rPr>
          <w:b/>
        </w:rPr>
        <w:t xml:space="preserve">제목  </w:t>
      </w:r>
      <w:r>
        <w:t>법원의 개입 범위와 법원 밖의 보호</w:t>
      </w:r>
    </w:p>
    <w:p>
      <w:r>
        <w:rPr>
          <w:b/>
        </w:rPr>
        <w:t xml:space="preserve">상단  </w:t>
      </w:r>
      <w:r>
        <w:t>일본의 우범소년 제도와 미국의 지위비행·피해지원 제도는 서로 다른 개입 기준을 보여준다.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960"/>
        <w:gridCol w:w="4104"/>
      </w:tblGrid>
      <w:tr>
        <w:trPr>
          <w:cantSplit/>
          <w:tblHeader/>
        </w:trPr>
        <w:tc>
          <w:tcPr>
            <w:tcW w:type="dxa" w:w="2088"/>
            <w:vAlign w:val="center"/>
            <w:tcMar>
              <w:top w:w="100" w:type="dxa"/>
              <w:left w:w="100" w:type="dxa"/>
              <w:bottom w:w="100" w:type="dxa"/>
              <w:right w:w="100" w:type="dxa"/>
            </w:tcMar>
            <w:shd w:fill="E8EDF3"/>
          </w:tcPr>
          <w:p>
            <w:pPr>
              <w:spacing w:after="20" w:line="269" w:lineRule="auto"/>
            </w:pPr>
            <w:r>
              <w:rPr>
                <w:b/>
                <w:sz w:val="20"/>
              </w:rPr>
              <w:t>비교 대상</w:t>
            </w:r>
          </w:p>
        </w:tc>
        <w:tc>
          <w:tcPr>
            <w:tcW w:type="dxa" w:w="3960"/>
            <w:vAlign w:val="center"/>
            <w:tcMar>
              <w:top w:w="100" w:type="dxa"/>
              <w:left w:w="100" w:type="dxa"/>
              <w:bottom w:w="100" w:type="dxa"/>
              <w:right w:w="100" w:type="dxa"/>
            </w:tcMar>
            <w:shd w:fill="E8EDF3"/>
          </w:tcPr>
          <w:p>
            <w:pPr>
              <w:spacing w:after="20" w:line="269" w:lineRule="auto"/>
            </w:pPr>
            <w:r>
              <w:rPr>
                <w:b/>
                <w:sz w:val="20"/>
              </w:rPr>
              <w:t>대상과 개입 기준</w:t>
            </w:r>
          </w:p>
        </w:tc>
        <w:tc>
          <w:tcPr>
            <w:tcW w:type="dxa" w:w="4104"/>
            <w:vAlign w:val="center"/>
            <w:tcMar>
              <w:top w:w="100" w:type="dxa"/>
              <w:left w:w="100" w:type="dxa"/>
              <w:bottom w:w="100" w:type="dxa"/>
              <w:right w:w="100" w:type="dxa"/>
            </w:tcMar>
            <w:shd w:fill="E8EDF3"/>
          </w:tcPr>
          <w:p>
            <w:pPr>
              <w:spacing w:after="20" w:line="269" w:lineRule="auto"/>
            </w:pPr>
            <w:r>
              <w:rPr>
                <w:b/>
                <w:sz w:val="20"/>
              </w:rPr>
              <w:t>눈여겨볼 제도 요소</w:t>
            </w:r>
          </w:p>
        </w:tc>
      </w:tr>
      <w:tr>
        <w:trPr>
          <w:cantSplit/>
        </w:trPr>
        <w:tc>
          <w:tcPr>
            <w:tcW w:type="dxa" w:w="2088"/>
            <w:vAlign w:val="center"/>
            <w:tcMar>
              <w:top w:w="100" w:type="dxa"/>
              <w:left w:w="100" w:type="dxa"/>
              <w:bottom w:w="100" w:type="dxa"/>
              <w:right w:w="100" w:type="dxa"/>
            </w:tcMar>
          </w:tcPr>
          <w:p>
            <w:pPr>
              <w:spacing w:after="20" w:line="269" w:lineRule="auto"/>
            </w:pPr>
            <w:r>
              <w:rPr>
                <w:b w:val="0"/>
                <w:sz w:val="20"/>
              </w:rPr>
              <w:t>일본의 ぐ犯소년</w:t>
            </w:r>
          </w:p>
        </w:tc>
        <w:tc>
          <w:tcPr>
            <w:tcW w:type="dxa" w:w="3960"/>
            <w:vAlign w:val="center"/>
            <w:tcMar>
              <w:top w:w="100" w:type="dxa"/>
              <w:left w:w="100" w:type="dxa"/>
              <w:bottom w:w="100" w:type="dxa"/>
              <w:right w:w="100" w:type="dxa"/>
            </w:tcMar>
          </w:tcPr>
          <w:p>
            <w:pPr>
              <w:spacing w:after="20" w:line="269" w:lineRule="auto"/>
            </w:pPr>
            <w:r>
              <w:rPr>
                <w:b w:val="0"/>
                <w:sz w:val="20"/>
              </w:rPr>
              <w:t>18세 미만의 장래 범죄 우려와 법정 사유</w:t>
            </w:r>
          </w:p>
        </w:tc>
        <w:tc>
          <w:tcPr>
            <w:tcW w:type="dxa" w:w="4104"/>
            <w:vAlign w:val="center"/>
            <w:tcMar>
              <w:top w:w="100" w:type="dxa"/>
              <w:left w:w="100" w:type="dxa"/>
              <w:bottom w:w="100" w:type="dxa"/>
              <w:right w:w="100" w:type="dxa"/>
            </w:tcMar>
          </w:tcPr>
          <w:p>
            <w:pPr>
              <w:spacing w:after="20" w:line="269" w:lineRule="auto"/>
            </w:pPr>
            <w:r>
              <w:rPr>
                <w:b w:val="0"/>
                <w:sz w:val="20"/>
              </w:rPr>
              <w:t>가정재판소가 다루는 보호사건 경로가 존재한다.</w:t>
            </w:r>
          </w:p>
        </w:tc>
      </w:tr>
      <w:tr>
        <w:trPr>
          <w:cantSplit/>
        </w:trPr>
        <w:tc>
          <w:tcPr>
            <w:tcW w:type="dxa" w:w="2088"/>
            <w:vAlign w:val="center"/>
            <w:tcMar>
              <w:top w:w="100" w:type="dxa"/>
              <w:left w:w="100" w:type="dxa"/>
              <w:bottom w:w="100" w:type="dxa"/>
              <w:right w:w="100" w:type="dxa"/>
            </w:tcMar>
          </w:tcPr>
          <w:p>
            <w:pPr>
              <w:spacing w:after="20" w:line="269" w:lineRule="auto"/>
            </w:pPr>
            <w:r>
              <w:rPr>
                <w:b w:val="0"/>
                <w:sz w:val="20"/>
              </w:rPr>
              <w:t>미국의 지위비행 규율</w:t>
            </w:r>
          </w:p>
        </w:tc>
        <w:tc>
          <w:tcPr>
            <w:tcW w:type="dxa" w:w="3960"/>
            <w:vAlign w:val="center"/>
            <w:tcMar>
              <w:top w:w="100" w:type="dxa"/>
              <w:left w:w="100" w:type="dxa"/>
              <w:bottom w:w="100" w:type="dxa"/>
              <w:right w:w="100" w:type="dxa"/>
            </w:tcMar>
          </w:tcPr>
          <w:p>
            <w:pPr>
              <w:spacing w:after="20" w:line="269" w:lineRule="auto"/>
            </w:pPr>
            <w:r>
              <w:rPr>
                <w:b w:val="0"/>
                <w:sz w:val="20"/>
              </w:rPr>
              <w:t>가출 등 성인에게는 범죄가 아닌 행위</w:t>
            </w:r>
          </w:p>
        </w:tc>
        <w:tc>
          <w:tcPr>
            <w:tcW w:type="dxa" w:w="4104"/>
            <w:vAlign w:val="center"/>
            <w:tcMar>
              <w:top w:w="100" w:type="dxa"/>
              <w:left w:w="100" w:type="dxa"/>
              <w:bottom w:w="100" w:type="dxa"/>
              <w:right w:w="100" w:type="dxa"/>
            </w:tcMar>
          </w:tcPr>
          <w:p>
            <w:pPr>
              <w:spacing w:after="20" w:line="269" w:lineRule="auto"/>
            </w:pPr>
            <w:r>
              <w:rPr>
                <w:b w:val="0"/>
                <w:sz w:val="20"/>
              </w:rPr>
              <w:t>연방 기준은 시설 구금을 제한한다. 법원명령 위반 예외와 주별 차이도 있다.</w:t>
            </w:r>
          </w:p>
        </w:tc>
      </w:tr>
      <w:tr>
        <w:trPr>
          <w:cantSplit/>
        </w:trPr>
        <w:tc>
          <w:tcPr>
            <w:tcW w:type="dxa" w:w="2088"/>
            <w:vAlign w:val="center"/>
            <w:tcMar>
              <w:top w:w="100" w:type="dxa"/>
              <w:left w:w="100" w:type="dxa"/>
              <w:bottom w:w="100" w:type="dxa"/>
              <w:right w:w="100" w:type="dxa"/>
            </w:tcMar>
          </w:tcPr>
          <w:p>
            <w:pPr>
              <w:spacing w:after="20" w:line="269" w:lineRule="auto"/>
            </w:pPr>
            <w:r>
              <w:rPr>
                <w:b w:val="0"/>
                <w:sz w:val="20"/>
              </w:rPr>
              <w:t>뉴욕의 성착취 피해청소년 지원</w:t>
            </w:r>
          </w:p>
        </w:tc>
        <w:tc>
          <w:tcPr>
            <w:tcW w:type="dxa" w:w="3960"/>
            <w:vAlign w:val="center"/>
            <w:tcMar>
              <w:top w:w="100" w:type="dxa"/>
              <w:left w:w="100" w:type="dxa"/>
              <w:bottom w:w="100" w:type="dxa"/>
              <w:right w:w="100" w:type="dxa"/>
            </w:tcMar>
          </w:tcPr>
          <w:p>
            <w:pPr>
              <w:spacing w:after="20" w:line="269" w:lineRule="auto"/>
            </w:pPr>
            <w:r>
              <w:rPr>
                <w:b w:val="0"/>
                <w:sz w:val="20"/>
              </w:rPr>
              <w:t>성착취 피해를 입은 18세 미만 청소년</w:t>
            </w:r>
          </w:p>
        </w:tc>
        <w:tc>
          <w:tcPr>
            <w:tcW w:type="dxa" w:w="4104"/>
            <w:vAlign w:val="center"/>
            <w:tcMar>
              <w:top w:w="100" w:type="dxa"/>
              <w:left w:w="100" w:type="dxa"/>
              <w:bottom w:w="100" w:type="dxa"/>
              <w:right w:w="100" w:type="dxa"/>
            </w:tcMar>
          </w:tcPr>
          <w:p>
            <w:pPr>
              <w:spacing w:after="20" w:line="269" w:lineRule="auto"/>
            </w:pPr>
            <w:r>
              <w:rPr>
                <w:b w:val="0"/>
                <w:sz w:val="20"/>
              </w:rPr>
              <w:t>긴급·장기 주거와 의료·법률·사례관리 등을 규정한다.</w:t>
            </w:r>
          </w:p>
        </w:tc>
      </w:tr>
    </w:tbl>
    <w:p>
      <w:pPr>
        <w:spacing w:after="20"/>
      </w:pPr>
      <w:r>
        <w:rPr>
          <w:b w:val="0"/>
        </w:rPr>
      </w:r>
    </w:p>
    <w:p>
      <w:r>
        <w:rPr>
          <w:b/>
        </w:rPr>
        <w:t xml:space="preserve">하단  </w:t>
      </w:r>
      <w:r>
        <w:t>법원의 개입 기준을 조정할 때, 법원 밖의 주거와 치료는 어떻게 마련할 것인가?</w:t>
      </w:r>
    </w:p>
    <w:p>
      <w:pPr>
        <w:pStyle w:val="Heading2"/>
      </w:pPr>
      <w:r>
        <w:t>배치와 강조</w:t>
      </w:r>
    </w:p>
    <w:p>
      <w:pPr>
        <w:spacing w:after="120"/>
      </w:pPr>
      <w:r>
        <w:rPr>
          <w:b w:val="0"/>
        </w:rPr>
        <w:t>같은 열에서 대상·개입 기준·보호 설계를 읽게 한다. 일본과 미국 전체를 단순한 유지·폐지 국가로 나누지 않는다. 뉴욕은 미국의 특정 주 제도임을 이름에 남긴다. 표 안에 지원 효과 수치를 끼워 넣지 않는다.</w:t>
      </w:r>
    </w:p>
    <w:p>
      <w:pPr>
        <w:pStyle w:val="Heading2"/>
      </w:pPr>
      <w:r>
        <w:t>설명과 다음 장 연결</w:t>
      </w:r>
    </w:p>
    <w:p>
      <w:pPr>
        <w:spacing w:after="120"/>
      </w:pPr>
      <w:r>
        <w:rPr>
          <w:b w:val="0"/>
        </w:rPr>
        <w:t>세 자료가 다루는 대상은 동일하지 않다. 지위비행 일반과 성착취 피해 지원을 분리해서 설명한다. 뉴욕 법은 법원 절차 중인 청소년과 절차에 들어가지 않은 청소년 모두의 보호시설 이용을 상정한다. 이 자료는 제도 설계의 비교이며 효과 평가가 아니다.</w:t>
      </w:r>
    </w:p>
    <w:p>
      <w:r>
        <w:rPr>
          <w:b/>
        </w:rPr>
        <w:t xml:space="preserve">다음 연결  </w:t>
      </w:r>
      <w:r>
        <w:t>사법절차를 줄이거나 다른 서비스로 연결했을 때의 결과 연구를 검토한다.</w:t>
      </w:r>
    </w:p>
    <w:p>
      <w:r>
        <w:rPr>
          <w:b/>
        </w:rPr>
        <w:t xml:space="preserve">근거  </w:t>
      </w:r>
      <w:r>
        <w:t>S08 일본 법원 Q&amp;A. S09 OJJDP 지위비행 검토자료. S10 뉴욕 사회서비스법 §447-a.</w:t>
      </w:r>
    </w:p>
    <w:p>
      <w:r>
        <w:br w:type="page"/>
      </w:r>
    </w:p>
    <w:p>
      <w:pPr>
        <w:pStyle w:val="Heading1"/>
      </w:pPr>
      <w:r>
        <w:t>D2 사법절차 회피와 이후 비행 연구</w:t>
      </w:r>
    </w:p>
    <w:p>
      <w:r>
        <w:rPr>
          <w:b/>
        </w:rPr>
        <w:t xml:space="preserve">적용 위치  </w:t>
      </w:r>
      <w:r>
        <w:t>제7장 효과 연구 페이지</w:t>
      </w:r>
    </w:p>
    <w:p>
      <w:r>
        <w:rPr>
          <w:b/>
        </w:rPr>
        <w:t xml:space="preserve">편집 방식  </w:t>
      </w:r>
      <w:r>
        <w:t>잘못 연결된 연구명을 바로잡고 실제 비교를 설명한다.</w:t>
      </w:r>
    </w:p>
    <w:p>
      <w:r>
        <w:rPr>
          <w:b/>
        </w:rPr>
        <w:t xml:space="preserve">기억할 내용  </w:t>
      </w:r>
      <w:r>
        <w:t>일반 청소년 비행 연구가 답한 질문과 이번 논제에서 남는 질문을 구분한다.</w:t>
      </w:r>
    </w:p>
    <w:p>
      <w:pPr>
        <w:pStyle w:val="Heading2"/>
      </w:pPr>
      <w:r>
        <w:t>화면에 넣을 문구</w:t>
      </w:r>
    </w:p>
    <w:p>
      <w:r>
        <w:rPr>
          <w:b/>
        </w:rPr>
        <w:t xml:space="preserve">제목  </w:t>
      </w:r>
      <w:r>
        <w:t>경찰 단계의 사법절차 회피와 이후 비행</w:t>
      </w:r>
    </w:p>
    <w:p>
      <w:r>
        <w:rPr>
          <w:b/>
        </w:rPr>
        <w:t xml:space="preserve">상단  </w:t>
      </w:r>
      <w:r>
        <w:t>Wilson·Brennan·Olaghere(2018)는 경찰의 경고·지원 연계 등과 통상적인 사법처리를 비교한 19개 평가를 종합했다.</w:t>
      </w:r>
    </w:p>
    <w:p>
      <w:r>
        <w:rPr>
          <w:b/>
        </w:rPr>
        <w:t xml:space="preserve">연구 대상  </w:t>
      </w:r>
      <w:r>
        <w:t>사법체계와 접촉한 18세 미만 청소년. 결과 해석의 중심은 기존 사법 접촉이 적은 저위험 청소년이다.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76"/>
        <w:gridCol w:w="5076"/>
      </w:tblGrid>
      <w:tr>
        <w:trPr>
          <w:cantSplit/>
          <w:tblHeader/>
        </w:trPr>
        <w:tc>
          <w:tcPr>
            <w:tcW w:type="dxa" w:w="5076"/>
            <w:vAlign w:val="center"/>
            <w:tcMar>
              <w:top w:w="100" w:type="dxa"/>
              <w:left w:w="100" w:type="dxa"/>
              <w:bottom w:w="100" w:type="dxa"/>
              <w:right w:w="100" w:type="dxa"/>
            </w:tcMar>
            <w:shd w:fill="E8EDF3"/>
          </w:tcPr>
          <w:p>
            <w:pPr>
              <w:spacing w:after="20" w:line="269" w:lineRule="auto"/>
            </w:pPr>
            <w:r>
              <w:rPr>
                <w:b/>
                <w:sz w:val="20"/>
              </w:rPr>
              <w:t>비교한 개입</w:t>
            </w:r>
          </w:p>
        </w:tc>
        <w:tc>
          <w:tcPr>
            <w:tcW w:type="dxa" w:w="5076"/>
            <w:vAlign w:val="center"/>
            <w:tcMar>
              <w:top w:w="100" w:type="dxa"/>
              <w:left w:w="100" w:type="dxa"/>
              <w:bottom w:w="100" w:type="dxa"/>
              <w:right w:w="100" w:type="dxa"/>
            </w:tcMar>
            <w:shd w:fill="E8EDF3"/>
          </w:tcPr>
          <w:p>
            <w:pPr>
              <w:spacing w:after="20" w:line="269" w:lineRule="auto"/>
            </w:pPr>
            <w:r>
              <w:rPr>
                <w:b/>
                <w:sz w:val="20"/>
              </w:rPr>
              <w:t>비교 경로</w:t>
            </w:r>
          </w:p>
        </w:tc>
      </w:tr>
      <w:tr>
        <w:trPr>
          <w:cantSplit/>
        </w:trPr>
        <w:tc>
          <w:tcPr>
            <w:tcW w:type="dxa" w:w="5076"/>
            <w:vAlign w:val="center"/>
            <w:tcMar>
              <w:top w:w="100" w:type="dxa"/>
              <w:left w:w="100" w:type="dxa"/>
              <w:bottom w:w="100" w:type="dxa"/>
              <w:right w:w="100" w:type="dxa"/>
            </w:tcMar>
          </w:tcPr>
          <w:p>
            <w:pPr>
              <w:spacing w:after="20" w:line="269" w:lineRule="auto"/>
            </w:pPr>
            <w:r>
              <w:rPr>
                <w:b w:val="0"/>
                <w:sz w:val="20"/>
              </w:rPr>
              <w:t>경찰 경고, 회복적 경고, 서비스 연결 등의 처리를 통해 법원 절차를 피함</w:t>
            </w:r>
          </w:p>
        </w:tc>
        <w:tc>
          <w:tcPr>
            <w:tcW w:type="dxa" w:w="5076"/>
            <w:vAlign w:val="center"/>
            <w:tcMar>
              <w:top w:w="100" w:type="dxa"/>
              <w:left w:w="100" w:type="dxa"/>
              <w:bottom w:w="100" w:type="dxa"/>
              <w:right w:w="100" w:type="dxa"/>
            </w:tcMar>
          </w:tcPr>
          <w:p>
            <w:pPr>
              <w:spacing w:after="20" w:line="269" w:lineRule="auto"/>
            </w:pPr>
            <w:r>
              <w:rPr>
                <w:b w:val="0"/>
                <w:sz w:val="20"/>
              </w:rPr>
              <w:t>통상적인 사법처리 절차를 진행함</w:t>
            </w:r>
          </w:p>
        </w:tc>
      </w:tr>
    </w:tbl>
    <w:p>
      <w:pPr>
        <w:spacing w:after="20"/>
      </w:pPr>
      <w:r>
        <w:rPr>
          <w:b w:val="0"/>
        </w:rPr>
      </w:r>
    </w:p>
    <w:p>
      <w:r>
        <w:rPr>
          <w:b/>
        </w:rPr>
        <w:t xml:space="preserve">주요 결과  </w:t>
      </w:r>
      <w:r>
        <w:t>주분석에서 이후 비행의 오즈비는 0.77이었다(95% 신뢰구간 0.63–0.95). 경찰 단계의 대안 처리를 받은 쪽이 낮은 방향이었다.</w:t>
      </w:r>
    </w:p>
    <w:p>
      <w:r>
        <w:rPr>
          <w:b/>
        </w:rPr>
        <w:t xml:space="preserve">논제와의 연결  </w:t>
      </w:r>
      <w:r>
        <w:t>측정한 것은 이후 비행이다. 성착취 재피해, 안전한 주거, 치료 지속은 이 연구로 직접 비교되지 않는다.</w:t>
      </w:r>
    </w:p>
    <w:p>
      <w:r>
        <w:rPr>
          <w:b/>
        </w:rPr>
        <w:t xml:space="preserve">하단  </w:t>
      </w:r>
      <w:r>
        <w:t>이번 논제에서는 이후 비행과 함께 재피해·주거 안정·치료 지속을 어떤 근거로 판단할 것인가?</w:t>
      </w:r>
    </w:p>
    <w:p>
      <w:pPr>
        <w:pStyle w:val="Heading2"/>
      </w:pPr>
      <w:r>
        <w:t>배치와 강조</w:t>
      </w:r>
    </w:p>
    <w:p>
      <w:pPr>
        <w:spacing w:after="120"/>
      </w:pPr>
      <w:r>
        <w:rPr>
          <w:b w:val="0"/>
        </w:rPr>
        <w:t>대상 설명은 위에 한 묶음으로 두고 실제 개입과 비교 경로만 나란히 배치한다. 결과는 두 열 아래 공통 영역에 둔다. OR 0.77을 재범률 23% 감소로 바꾸지 않는다. 본문에 50%→44% 막대그래프를 쓰지 않는다.</w:t>
      </w:r>
    </w:p>
    <w:p>
      <w:pPr>
        <w:pStyle w:val="Heading2"/>
      </w:pPr>
      <w:r>
        <w:t>설명과 다음 장 연결</w:t>
      </w:r>
    </w:p>
    <w:p>
      <w:pPr>
        <w:spacing w:after="120"/>
      </w:pPr>
      <w:r>
        <w:rPr>
          <w:b w:val="0"/>
        </w:rPr>
        <w:t>14개 문헌에 포함된 19개 평가이며 31개 처우 비교를 분석했다. 개별 연구는 1973–2011년에 수행됐다. 원문이 제시한 50%→약 44%는 비교 경로의 재범률을 50%로 가정한 환산 예시이고 관찰된 통합 비율이 아니다. 필요할 때만 설명한다.</w:t>
      </w:r>
    </w:p>
    <w:p>
      <w:r>
        <w:rPr>
          <w:b/>
        </w:rPr>
        <w:t xml:space="preserve">다음 연결  </w:t>
      </w:r>
      <w:r>
        <w:t>어떤 자료를 근거로 어떤 제도 선택을 할 것인지 종합한다.</w:t>
      </w:r>
    </w:p>
    <w:p>
      <w:r>
        <w:rPr>
          <w:b/>
        </w:rPr>
        <w:t xml:space="preserve">근거  </w:t>
      </w:r>
      <w:r>
        <w:t>S11 원문 Table 4 및 Overall synthesis results. 기존 E01 항목의 제목과 URL 불일치를 정정한다.</w:t>
      </w:r>
    </w:p>
    <w:p>
      <w:r>
        <w:br w:type="page"/>
      </w:r>
    </w:p>
    <w:p>
      <w:pPr>
        <w:pStyle w:val="Heading1"/>
      </w:pPr>
      <w:r>
        <w:t>E1 종합 판단에서 자료 회수</w:t>
      </w:r>
    </w:p>
    <w:p>
      <w:r>
        <w:rPr>
          <w:b/>
        </w:rPr>
        <w:t xml:space="preserve">적용 위치  </w:t>
      </w:r>
      <w:r>
        <w:t>제8장 주요 논거와 최종 판단 중 관련 페이지</w:t>
      </w:r>
    </w:p>
    <w:p>
      <w:r>
        <w:rPr>
          <w:b/>
        </w:rPr>
        <w:t xml:space="preserve">편집 방식  </w:t>
      </w:r>
      <w:r>
        <w:t>기존 종합 페이지의 질문과 연결을 보완한다.</w:t>
      </w:r>
    </w:p>
    <w:p>
      <w:r>
        <w:rPr>
          <w:b/>
        </w:rPr>
        <w:t xml:space="preserve">기억할 내용  </w:t>
      </w:r>
      <w:r>
        <w:t>현재의 송치 요건 판단과 제도를 어떻게 바꿀지에 관한 판단을 구별해 설명한다.</w:t>
      </w:r>
    </w:p>
    <w:p>
      <w:pPr>
        <w:pStyle w:val="Heading2"/>
      </w:pPr>
      <w:r>
        <w:t>화면에 넣을 문구</w:t>
      </w:r>
    </w:p>
    <w:p>
      <w:r>
        <w:rPr>
          <w:b/>
        </w:rPr>
        <w:t xml:space="preserve">제목  </w:t>
      </w:r>
      <w:r>
        <w:t>현행법 적용과 제도 선택의 판단</w:t>
      </w:r>
    </w:p>
    <w:p>
      <w:r>
        <w:rPr>
          <w:b/>
        </w:rPr>
        <w:t xml:space="preserve">상단  </w:t>
      </w:r>
      <w:r>
        <w:t>개별 사건에서 법정 요건을 판단하는 일과, 어떤 보호체계를 운영할지 정하는 일은 구별된다.</w:t>
      </w:r>
    </w:p>
    <w:p>
      <w:r>
        <w:rPr>
          <w:b/>
        </w:rPr>
        <w:t xml:space="preserve">현행법 적용  </w:t>
      </w:r>
      <w:r>
        <w:t>이 청소년에게 법정 우범사유와 장래 범법 우려가 인정되는가? 무엇이 각각의 판단 근거인가?</w:t>
      </w:r>
    </w:p>
    <w:p>
      <w:r>
        <w:rPr>
          <w:b/>
        </w:rPr>
        <w:t xml:space="preserve">정책과 제도 선택  </w:t>
      </w:r>
      <w:r>
        <w:t>우범소년 제도를 유지·축소·대체·보완하는 방안 중 무엇을 선택하는가? 그 선택은 실제 보호와 권리에 어떤 차이를 만드는가?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128"/>
      </w:tblGrid>
      <w:tr>
        <w:trPr>
          <w:cantSplit/>
          <w:tblHeader/>
        </w:trPr>
        <w:tc>
          <w:tcPr>
            <w:tcW w:type="dxa" w:w="3024"/>
            <w:vAlign w:val="center"/>
            <w:tcMar>
              <w:top w:w="100" w:type="dxa"/>
              <w:left w:w="100" w:type="dxa"/>
              <w:bottom w:w="100" w:type="dxa"/>
              <w:right w:w="100" w:type="dxa"/>
            </w:tcMar>
            <w:shd w:fill="E8EDF3"/>
          </w:tcPr>
          <w:p>
            <w:pPr>
              <w:spacing w:after="20" w:line="269" w:lineRule="auto"/>
            </w:pPr>
            <w:r>
              <w:rPr>
                <w:b/>
                <w:sz w:val="20"/>
              </w:rPr>
              <w:t>판단 기준</w:t>
            </w:r>
          </w:p>
        </w:tc>
        <w:tc>
          <w:tcPr>
            <w:tcW w:type="dxa" w:w="7128"/>
            <w:vAlign w:val="center"/>
            <w:tcMar>
              <w:top w:w="100" w:type="dxa"/>
              <w:left w:w="100" w:type="dxa"/>
              <w:bottom w:w="100" w:type="dxa"/>
              <w:right w:w="100" w:type="dxa"/>
            </w:tcMar>
            <w:shd w:fill="E8EDF3"/>
          </w:tcPr>
          <w:p>
            <w:pPr>
              <w:spacing w:after="20" w:line="269" w:lineRule="auto"/>
            </w:pPr>
            <w:r>
              <w:rPr>
                <w:b/>
                <w:sz w:val="20"/>
              </w:rPr>
              <w:t>회수할 자료</w:t>
            </w:r>
          </w:p>
        </w:tc>
      </w:tr>
      <w:tr>
        <w:trPr>
          <w:cantSplit/>
        </w:trPr>
        <w:tc>
          <w:tcPr>
            <w:tcW w:type="dxa" w:w="3024"/>
            <w:vAlign w:val="center"/>
            <w:tcMar>
              <w:top w:w="100" w:type="dxa"/>
              <w:left w:w="100" w:type="dxa"/>
              <w:bottom w:w="100" w:type="dxa"/>
              <w:right w:w="100" w:type="dxa"/>
            </w:tcMar>
          </w:tcPr>
          <w:p>
            <w:pPr>
              <w:spacing w:after="20" w:line="269" w:lineRule="auto"/>
            </w:pPr>
            <w:r>
              <w:rPr>
                <w:b w:val="0"/>
                <w:sz w:val="20"/>
              </w:rPr>
              <w:t>당장의 안전과 재피해</w:t>
            </w:r>
          </w:p>
        </w:tc>
        <w:tc>
          <w:tcPr>
            <w:tcW w:type="dxa" w:w="7128"/>
            <w:vAlign w:val="center"/>
            <w:tcMar>
              <w:top w:w="100" w:type="dxa"/>
              <w:left w:w="100" w:type="dxa"/>
              <w:bottom w:w="100" w:type="dxa"/>
              <w:right w:w="100" w:type="dxa"/>
            </w:tcMar>
          </w:tcPr>
          <w:p>
            <w:pPr>
              <w:spacing w:after="20" w:line="269" w:lineRule="auto"/>
            </w:pPr>
            <w:r>
              <w:rPr>
                <w:b w:val="0"/>
                <w:sz w:val="20"/>
              </w:rPr>
              <w:t>실제 송치 사례와 지원 연계 사례</w:t>
            </w:r>
          </w:p>
        </w:tc>
      </w:tr>
      <w:tr>
        <w:trPr>
          <w:cantSplit/>
        </w:trPr>
        <w:tc>
          <w:tcPr>
            <w:tcW w:type="dxa" w:w="3024"/>
            <w:vAlign w:val="center"/>
            <w:tcMar>
              <w:top w:w="100" w:type="dxa"/>
              <w:left w:w="100" w:type="dxa"/>
              <w:bottom w:w="100" w:type="dxa"/>
              <w:right w:w="100" w:type="dxa"/>
            </w:tcMar>
          </w:tcPr>
          <w:p>
            <w:pPr>
              <w:spacing w:after="20" w:line="269" w:lineRule="auto"/>
            </w:pPr>
            <w:r>
              <w:rPr>
                <w:b w:val="0"/>
                <w:sz w:val="20"/>
              </w:rPr>
              <w:t>숙소와 치료의 지속</w:t>
            </w:r>
          </w:p>
        </w:tc>
        <w:tc>
          <w:tcPr>
            <w:tcW w:type="dxa" w:w="7128"/>
            <w:vAlign w:val="center"/>
            <w:tcMar>
              <w:top w:w="100" w:type="dxa"/>
              <w:left w:w="100" w:type="dxa"/>
              <w:bottom w:w="100" w:type="dxa"/>
              <w:right w:w="100" w:type="dxa"/>
            </w:tcMar>
          </w:tcPr>
          <w:p>
            <w:pPr>
              <w:spacing w:after="20" w:line="269" w:lineRule="auto"/>
            </w:pPr>
            <w:r>
              <w:rPr>
                <w:b w:val="0"/>
                <w:sz w:val="20"/>
              </w:rPr>
              <w:t>지원 경로와 7호 처분 연구</w:t>
            </w:r>
          </w:p>
        </w:tc>
      </w:tr>
      <w:tr>
        <w:trPr>
          <w:cantSplit/>
        </w:trPr>
        <w:tc>
          <w:tcPr>
            <w:tcW w:type="dxa" w:w="3024"/>
            <w:vAlign w:val="center"/>
            <w:tcMar>
              <w:top w:w="100" w:type="dxa"/>
              <w:left w:w="100" w:type="dxa"/>
              <w:bottom w:w="100" w:type="dxa"/>
              <w:right w:w="100" w:type="dxa"/>
            </w:tcMar>
          </w:tcPr>
          <w:p>
            <w:pPr>
              <w:spacing w:after="20" w:line="269" w:lineRule="auto"/>
            </w:pPr>
            <w:r>
              <w:rPr>
                <w:b w:val="0"/>
                <w:sz w:val="20"/>
              </w:rPr>
              <w:t>자유 제한과 절차 보장</w:t>
            </w:r>
          </w:p>
        </w:tc>
        <w:tc>
          <w:tcPr>
            <w:tcW w:type="dxa" w:w="7128"/>
            <w:vAlign w:val="center"/>
            <w:tcMar>
              <w:top w:w="100" w:type="dxa"/>
              <w:left w:w="100" w:type="dxa"/>
              <w:bottom w:w="100" w:type="dxa"/>
              <w:right w:w="100" w:type="dxa"/>
            </w:tcMar>
          </w:tcPr>
          <w:p>
            <w:pPr>
              <w:spacing w:after="20" w:line="269" w:lineRule="auto"/>
            </w:pPr>
            <w:r>
              <w:rPr>
                <w:b w:val="0"/>
                <w:sz w:val="20"/>
              </w:rPr>
              <w:t>소년법과 분류심사원 위탁에 관한 결정</w:t>
            </w:r>
          </w:p>
        </w:tc>
      </w:tr>
      <w:tr>
        <w:trPr>
          <w:cantSplit/>
        </w:trPr>
        <w:tc>
          <w:tcPr>
            <w:tcW w:type="dxa" w:w="3024"/>
            <w:vAlign w:val="center"/>
            <w:tcMar>
              <w:top w:w="100" w:type="dxa"/>
              <w:left w:w="100" w:type="dxa"/>
              <w:bottom w:w="100" w:type="dxa"/>
              <w:right w:w="100" w:type="dxa"/>
            </w:tcMar>
          </w:tcPr>
          <w:p>
            <w:pPr>
              <w:spacing w:after="20" w:line="269" w:lineRule="auto"/>
            </w:pPr>
            <w:r>
              <w:rPr>
                <w:b w:val="0"/>
                <w:sz w:val="20"/>
              </w:rPr>
              <w:t>실행 여건과 효과</w:t>
            </w:r>
          </w:p>
        </w:tc>
        <w:tc>
          <w:tcPr>
            <w:tcW w:type="dxa" w:w="7128"/>
            <w:vAlign w:val="center"/>
            <w:tcMar>
              <w:top w:w="100" w:type="dxa"/>
              <w:left w:w="100" w:type="dxa"/>
              <w:bottom w:w="100" w:type="dxa"/>
              <w:right w:w="100" w:type="dxa"/>
            </w:tcMar>
          </w:tcPr>
          <w:p>
            <w:pPr>
              <w:spacing w:after="20" w:line="269" w:lineRule="auto"/>
            </w:pPr>
            <w:r>
              <w:rPr>
                <w:b w:val="0"/>
                <w:sz w:val="20"/>
              </w:rPr>
              <w:t>현장조사·제도 비교·이후 비행 연구</w:t>
            </w:r>
          </w:p>
        </w:tc>
      </w:tr>
    </w:tbl>
    <w:p>
      <w:pPr>
        <w:spacing w:after="20"/>
      </w:pPr>
      <w:r>
        <w:rPr>
          <w:b w:val="0"/>
        </w:rPr>
      </w:r>
    </w:p>
    <w:p>
      <w:r>
        <w:rPr>
          <w:b/>
        </w:rPr>
        <w:t xml:space="preserve">하단  </w:t>
      </w:r>
      <w:r>
        <w:t>어떤 개입을 선택하며, 그 이유와 필요한 조건을 무엇으로 설명할 것인가?</w:t>
      </w:r>
    </w:p>
    <w:p>
      <w:pPr>
        <w:pStyle w:val="Heading2"/>
      </w:pPr>
      <w:r>
        <w:t>배치와 강조</w:t>
      </w:r>
    </w:p>
    <w:p>
      <w:pPr>
        <w:spacing w:after="120"/>
      </w:pPr>
      <w:r>
        <w:rPr>
          <w:b w:val="0"/>
        </w:rPr>
        <w:t>현행법 적용과 정책 판단을 위아래로 나눈다. 두 구역을 각각 진한 면으로 채우지 않는다. 상단은 문장과 한 줄 구조선, 하단은 옅은 표로 정리한다. 논거를 회수하는 표가 강사의 결론을 대신하지 않게 한다.</w:t>
      </w:r>
    </w:p>
    <w:p>
      <w:pPr>
        <w:pStyle w:val="Heading2"/>
      </w:pPr>
      <w:r>
        <w:t>설명과 다음 장 연결</w:t>
      </w:r>
    </w:p>
    <w:p>
      <w:pPr>
        <w:spacing w:after="120"/>
      </w:pPr>
      <w:r>
        <w:rPr>
          <w:b w:val="0"/>
        </w:rPr>
        <w:t>단순히 피해자로 볼 것인가, 우범소년으로 볼 것인가를 선택하는 질문으로 좁히지 않는다. 피해자 지원의 필요성과 소년법상 요건은 따로 검토한다. 학생은 자기 결론, 이를 지지하는 이유, 적용 조건, 판단을 바꿀 자료를 제시한다.</w:t>
      </w:r>
    </w:p>
    <w:p>
      <w:r>
        <w:rPr>
          <w:b/>
        </w:rPr>
        <w:t xml:space="preserve">다음 연결  </w:t>
      </w:r>
      <w:r>
        <w:t>기존 학생 자기 논증 정리 페이지로 이어간다.</w:t>
      </w:r>
    </w:p>
    <w:p>
      <w:r>
        <w:rPr>
          <w:b/>
        </w:rPr>
        <w:t xml:space="preserve">근거  </w:t>
      </w:r>
      <w:r>
        <w:t>제1–7장 자료의 종합. 이 페이지에 새로운 핵심 수치나 판례를 처음 도입하지 않는다.</w:t>
      </w:r>
    </w:p>
    <w:p>
      <w:r>
        <w:br w:type="page"/>
      </w:r>
    </w:p>
    <w:p>
      <w:pPr>
        <w:pStyle w:val="Heading1"/>
      </w:pPr>
      <w:r>
        <w:t>제2장부터 제4장까지의 연동 수정</w:t>
      </w:r>
    </w:p>
    <w:p>
      <w:pPr>
        <w:pStyle w:val="Heading2"/>
      </w:pPr>
      <w:r>
        <w:t>제2장 피해청소년의 지위 변화와 우범소년 제도의 접점</w:t>
      </w:r>
    </w:p>
    <w:p>
      <w:pPr>
        <w:spacing w:after="120"/>
      </w:pPr>
      <w:r>
        <w:rPr>
          <w:b w:val="0"/>
        </w:rPr>
        <w:t>기존 개정 전후 비교를 유지하고, 말미에 다음 설명을 연결한다. “성매매 피해청소년을 지원하는 방향으로 법이 바뀌었다. 이후에도 가출과 장래 범법 우려를 이유로 소년부에 송치하는 문제가 논의된다.” 피해자로 인정되면 모든 소년법 적용이 자동 배제된다는 도식은 사용하지 않는다. 근거는 기존 개정법 대조자료와 S01·S03이다.</w:t>
      </w:r>
    </w:p>
    <w:p>
      <w:r>
        <w:rPr>
          <w:b/>
        </w:rPr>
        <w:t xml:space="preserve">하단 후보  </w:t>
      </w:r>
      <w:r>
        <w:t>피해자 지원으로의 전환 이후, 우범소년 송치는 어떤 근거와 목적에서 이루어져야 하는가?</w:t>
      </w:r>
    </w:p>
    <w:p>
      <w:pPr>
        <w:pStyle w:val="Heading2"/>
      </w:pPr>
      <w:r>
        <w:t>제3장 가출 관련 통계의 원표 사용</w:t>
      </w:r>
    </w:p>
    <w:p>
      <w:pPr>
        <w:spacing w:after="120"/>
      </w:pPr>
      <w:r>
        <w:rPr>
          <w:b w:val="0"/>
        </w:rPr>
        <w:t>S12 인쇄면 385–386쪽 표 6-21을 사용한다. 신상정보등록연도 2017–2023년 자료이며, 성매매범죄 피해자 2,943명 중 피해 당시 가출로 분류된 경우는 553명(18.8%)이다. 유형별 분모를 보존해 다음 세 막대를 그린다.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3240"/>
        <w:gridCol w:w="2088"/>
      </w:tblGrid>
      <w:tr>
        <w:trPr>
          <w:cantSplit/>
          <w:tblHeader/>
        </w:trPr>
        <w:tc>
          <w:tcPr>
            <w:tcW w:type="dxa" w:w="4824"/>
            <w:vAlign w:val="center"/>
            <w:tcMar>
              <w:top w:w="100" w:type="dxa"/>
              <w:left w:w="100" w:type="dxa"/>
              <w:bottom w:w="100" w:type="dxa"/>
              <w:right w:w="100" w:type="dxa"/>
            </w:tcMar>
            <w:shd w:fill="E8EDF3"/>
          </w:tcPr>
          <w:p>
            <w:pPr>
              <w:spacing w:after="20" w:line="269" w:lineRule="auto"/>
            </w:pPr>
            <w:r>
              <w:rPr>
                <w:b/>
                <w:sz w:val="20"/>
              </w:rPr>
              <w:t>원표의 범죄 유형</w:t>
            </w:r>
          </w:p>
        </w:tc>
        <w:tc>
          <w:tcPr>
            <w:tcW w:type="dxa" w:w="3240"/>
            <w:vAlign w:val="center"/>
            <w:tcMar>
              <w:top w:w="100" w:type="dxa"/>
              <w:left w:w="100" w:type="dxa"/>
              <w:bottom w:w="100" w:type="dxa"/>
              <w:right w:w="100" w:type="dxa"/>
            </w:tcMar>
            <w:shd w:fill="E8EDF3"/>
          </w:tcPr>
          <w:p>
            <w:pPr>
              <w:spacing w:after="20" w:line="269" w:lineRule="auto"/>
            </w:pPr>
            <w:r>
              <w:rPr>
                <w:b/>
                <w:sz w:val="20"/>
              </w:rPr>
              <w:t>가출 인원과 분모</w:t>
            </w:r>
          </w:p>
        </w:tc>
        <w:tc>
          <w:tcPr>
            <w:tcW w:type="dxa" w:w="2088"/>
            <w:vAlign w:val="center"/>
            <w:tcMar>
              <w:top w:w="100" w:type="dxa"/>
              <w:left w:w="100" w:type="dxa"/>
              <w:bottom w:w="100" w:type="dxa"/>
              <w:right w:w="100" w:type="dxa"/>
            </w:tcMar>
            <w:shd w:fill="E8EDF3"/>
          </w:tcPr>
          <w:p>
            <w:pPr>
              <w:spacing w:after="20" w:line="269" w:lineRule="auto"/>
            </w:pPr>
            <w:r>
              <w:rPr>
                <w:b/>
                <w:sz w:val="20"/>
              </w:rPr>
              <w:t>비율</w:t>
            </w:r>
          </w:p>
        </w:tc>
      </w:tr>
      <w:tr>
        <w:trPr>
          <w:cantSplit/>
        </w:trPr>
        <w:tc>
          <w:tcPr>
            <w:tcW w:type="dxa" w:w="4824"/>
            <w:vAlign w:val="center"/>
            <w:tcMar>
              <w:top w:w="100" w:type="dxa"/>
              <w:left w:w="100" w:type="dxa"/>
              <w:bottom w:w="100" w:type="dxa"/>
              <w:right w:w="100" w:type="dxa"/>
            </w:tcMar>
          </w:tcPr>
          <w:p>
            <w:pPr>
              <w:spacing w:after="20" w:line="269" w:lineRule="auto"/>
            </w:pPr>
            <w:r>
              <w:rPr>
                <w:b w:val="0"/>
                <w:sz w:val="20"/>
              </w:rPr>
              <w:t>성매수</w:t>
            </w:r>
          </w:p>
        </w:tc>
        <w:tc>
          <w:tcPr>
            <w:tcW w:type="dxa" w:w="3240"/>
            <w:vAlign w:val="center"/>
            <w:tcMar>
              <w:top w:w="100" w:type="dxa"/>
              <w:left w:w="100" w:type="dxa"/>
              <w:bottom w:w="100" w:type="dxa"/>
              <w:right w:w="100" w:type="dxa"/>
            </w:tcMar>
          </w:tcPr>
          <w:p>
            <w:pPr>
              <w:spacing w:after="20" w:line="269" w:lineRule="auto"/>
            </w:pPr>
            <w:r>
              <w:rPr>
                <w:b w:val="0"/>
                <w:sz w:val="20"/>
              </w:rPr>
              <w:t>101 / 1,674명</w:t>
            </w:r>
          </w:p>
        </w:tc>
        <w:tc>
          <w:tcPr>
            <w:tcW w:type="dxa" w:w="2088"/>
            <w:vAlign w:val="center"/>
            <w:tcMar>
              <w:top w:w="100" w:type="dxa"/>
              <w:left w:w="100" w:type="dxa"/>
              <w:bottom w:w="100" w:type="dxa"/>
              <w:right w:w="100" w:type="dxa"/>
            </w:tcMar>
          </w:tcPr>
          <w:p>
            <w:pPr>
              <w:spacing w:after="20" w:line="269" w:lineRule="auto"/>
            </w:pPr>
            <w:r>
              <w:rPr>
                <w:b w:val="0"/>
                <w:sz w:val="20"/>
              </w:rPr>
              <w:t>6.0%</w:t>
            </w:r>
          </w:p>
        </w:tc>
      </w:tr>
      <w:tr>
        <w:trPr>
          <w:cantSplit/>
        </w:trPr>
        <w:tc>
          <w:tcPr>
            <w:tcW w:type="dxa" w:w="4824"/>
            <w:vAlign w:val="center"/>
            <w:tcMar>
              <w:top w:w="100" w:type="dxa"/>
              <w:left w:w="100" w:type="dxa"/>
              <w:bottom w:w="100" w:type="dxa"/>
              <w:right w:w="100" w:type="dxa"/>
            </w:tcMar>
          </w:tcPr>
          <w:p>
            <w:pPr>
              <w:spacing w:after="20" w:line="269" w:lineRule="auto"/>
            </w:pPr>
            <w:r>
              <w:rPr>
                <w:b w:val="0"/>
                <w:sz w:val="20"/>
              </w:rPr>
              <w:t>성매매 강요</w:t>
            </w:r>
          </w:p>
        </w:tc>
        <w:tc>
          <w:tcPr>
            <w:tcW w:type="dxa" w:w="3240"/>
            <w:vAlign w:val="center"/>
            <w:tcMar>
              <w:top w:w="100" w:type="dxa"/>
              <w:left w:w="100" w:type="dxa"/>
              <w:bottom w:w="100" w:type="dxa"/>
              <w:right w:w="100" w:type="dxa"/>
            </w:tcMar>
          </w:tcPr>
          <w:p>
            <w:pPr>
              <w:spacing w:after="20" w:line="269" w:lineRule="auto"/>
            </w:pPr>
            <w:r>
              <w:rPr>
                <w:b w:val="0"/>
                <w:sz w:val="20"/>
              </w:rPr>
              <w:t>160 / 407명</w:t>
            </w:r>
          </w:p>
        </w:tc>
        <w:tc>
          <w:tcPr>
            <w:tcW w:type="dxa" w:w="2088"/>
            <w:vAlign w:val="center"/>
            <w:tcMar>
              <w:top w:w="100" w:type="dxa"/>
              <w:left w:w="100" w:type="dxa"/>
              <w:bottom w:w="100" w:type="dxa"/>
              <w:right w:w="100" w:type="dxa"/>
            </w:tcMar>
          </w:tcPr>
          <w:p>
            <w:pPr>
              <w:spacing w:after="20" w:line="269" w:lineRule="auto"/>
            </w:pPr>
            <w:r>
              <w:rPr>
                <w:b w:val="0"/>
                <w:sz w:val="20"/>
              </w:rPr>
              <w:t>39.3%</w:t>
            </w:r>
          </w:p>
        </w:tc>
      </w:tr>
      <w:tr>
        <w:trPr>
          <w:cantSplit/>
        </w:trPr>
        <w:tc>
          <w:tcPr>
            <w:tcW w:type="dxa" w:w="4824"/>
            <w:vAlign w:val="center"/>
            <w:tcMar>
              <w:top w:w="100" w:type="dxa"/>
              <w:left w:w="100" w:type="dxa"/>
              <w:bottom w:w="100" w:type="dxa"/>
              <w:right w:w="100" w:type="dxa"/>
            </w:tcMar>
          </w:tcPr>
          <w:p>
            <w:pPr>
              <w:spacing w:after="20" w:line="269" w:lineRule="auto"/>
            </w:pPr>
            <w:r>
              <w:rPr>
                <w:b w:val="0"/>
                <w:sz w:val="20"/>
              </w:rPr>
              <w:t>성매매 알선·영업</w:t>
            </w:r>
          </w:p>
        </w:tc>
        <w:tc>
          <w:tcPr>
            <w:tcW w:type="dxa" w:w="3240"/>
            <w:vAlign w:val="center"/>
            <w:tcMar>
              <w:top w:w="100" w:type="dxa"/>
              <w:left w:w="100" w:type="dxa"/>
              <w:bottom w:w="100" w:type="dxa"/>
              <w:right w:w="100" w:type="dxa"/>
            </w:tcMar>
          </w:tcPr>
          <w:p>
            <w:pPr>
              <w:spacing w:after="20" w:line="269" w:lineRule="auto"/>
            </w:pPr>
            <w:r>
              <w:rPr>
                <w:b w:val="0"/>
                <w:sz w:val="20"/>
              </w:rPr>
              <w:t>292 / 862명</w:t>
            </w:r>
          </w:p>
        </w:tc>
        <w:tc>
          <w:tcPr>
            <w:tcW w:type="dxa" w:w="2088"/>
            <w:vAlign w:val="center"/>
            <w:tcMar>
              <w:top w:w="100" w:type="dxa"/>
              <w:left w:w="100" w:type="dxa"/>
              <w:bottom w:w="100" w:type="dxa"/>
              <w:right w:w="100" w:type="dxa"/>
            </w:tcMar>
          </w:tcPr>
          <w:p>
            <w:pPr>
              <w:spacing w:after="20" w:line="269" w:lineRule="auto"/>
            </w:pPr>
            <w:r>
              <w:rPr>
                <w:b w:val="0"/>
                <w:sz w:val="20"/>
              </w:rPr>
              <w:t>33.9%</w:t>
            </w:r>
          </w:p>
        </w:tc>
      </w:tr>
    </w:tbl>
    <w:p>
      <w:pPr>
        <w:spacing w:after="20"/>
      </w:pPr>
      <w:r>
        <w:rPr>
          <w:b w:val="0"/>
        </w:rPr>
      </w:r>
    </w:p>
    <w:p>
      <w:pPr>
        <w:spacing w:after="120"/>
      </w:pPr>
      <w:r>
        <w:rPr>
          <w:b w:val="0"/>
        </w:rPr>
        <w:t>그래프 제목은 「성매매범죄 유형별 피해 당시 가출 비율」로 한다. 분모와 등록연도 범위를 본문에 둔다. 원표의 다른 범주인 가출않음/미상을 전부 비가출로 읽지 않는다. 전체 가출 청소년 중 성매매 피해 비율을 나타내는 그래프도 아니다.</w:t>
      </w:r>
    </w:p>
    <w:p>
      <w:r>
        <w:rPr>
          <w:b/>
        </w:rPr>
        <w:t xml:space="preserve">하단 후보  </w:t>
      </w:r>
      <w:r>
        <w:t>이 자료에서는 성매매 강요·알선 피해에서 가출 비율이 높게 나타난다.</w:t>
      </w:r>
    </w:p>
    <w:p>
      <w:pPr>
        <w:pStyle w:val="Heading2"/>
      </w:pPr>
      <w:r>
        <w:t>제4장 실제 운용 사례의 기록 방식</w:t>
      </w:r>
    </w:p>
    <w:p>
      <w:pPr>
        <w:spacing w:after="120"/>
      </w:pPr>
      <w:r>
        <w:rPr>
          <w:b w:val="0"/>
        </w:rPr>
        <w:t>기존 사례마다 발견·신고 주체, 송치 근거로 제시된 사정, 임시조치, 최종 처분을 나누어 기록한다. S01의 경찰 사례(인쇄면 75쪽)는 처리 중인 사례와 1호·4호 처분이 보고된 사례를 구분한다. 사례가 서로 다른 시점의 제도 아래 발생했을 수 있으므로 보고 연도만으로 사건 발생 연도를 대신하지 않는다.</w:t>
      </w:r>
    </w:p>
    <w:p>
      <w:pPr>
        <w:spacing w:after="120"/>
      </w:pPr>
      <w:r>
        <w:rPr>
          <w:b w:val="0"/>
        </w:rPr>
        <w:t>S13은 우범소년 판단과 처분기준 논의를 더 보강할 후보이다. 이번 확인 범위는 공식 초록·목차이며, 232–236쪽과 316–318쪽의 상세 내용을 사용할 때에는 원문을 추가로 대조한다. 현재 수정안의 화면 문구에는 미확인 내용을 넣지 않았다.</w:t>
      </w:r>
    </w:p>
    <w:p>
      <w:r>
        <w:br w:type="page"/>
      </w:r>
    </w:p>
    <w:p>
      <w:pPr>
        <w:pStyle w:val="Heading1"/>
      </w:pPr>
      <w:r>
        <w:t>자료와 확인 위치 국내 근거</w:t>
      </w:r>
    </w:p>
    <w:p>
      <w:pPr>
        <w:spacing w:after="120"/>
      </w:pPr>
      <w:r>
        <w:rPr>
          <w:b/>
        </w:rPr>
        <w:t>S01  우범소년 규정 폐지 필요성 토론회 2021년 3월 9일</w:t>
      </w:r>
    </w:p>
    <w:p>
      <w:pPr>
        <w:spacing w:after="60"/>
      </w:pPr>
      <w:r>
        <w:rPr>
          <w:b w:val="0"/>
          <w:sz w:val="20"/>
        </w:rPr>
        <w:t>강정은 발제 17–39쪽 중 B 사례 18쪽. 양현규 67–70쪽, 고평기 74–78쪽, 이승현 82–86쪽. 인쇄면 기준이며 PDF 한 면에 인쇄면 두 쪽이 들어 있다. 사례보고와 토론 주장을 판결문으로 표기하지 않는다.</w:t>
      </w:r>
    </w:p>
    <w:p>
      <w:pPr>
        <w:spacing w:after="160"/>
      </w:pPr>
      <w:hyperlink r:id="rId11">
        <w:r>
          <w:rPr>
            <w:color w:val="245A81"/>
            <w:sz w:val="20"/>
          </w:rPr>
          <w:t>자료 게시 페이지  두루</w:t>
        </w:r>
      </w:hyperlink>
    </w:p>
    <w:p>
      <w:pPr>
        <w:spacing w:after="120"/>
      </w:pPr>
      <w:r>
        <w:rPr>
          <w:b/>
        </w:rPr>
        <w:t>S02  소년법 제32조 보호처분의 결정</w:t>
      </w:r>
    </w:p>
    <w:p>
      <w:pPr>
        <w:spacing w:after="60"/>
      </w:pPr>
      <w:r>
        <w:rPr>
          <w:b w:val="0"/>
          <w:sz w:val="20"/>
        </w:rPr>
        <w:t>제1항 제7호의 현행 위탁처분 명칭을 확인했다. B 사례의 처분 당시 조문과 현행 조문을 동일 시점으로 표기하지 않는다.</w:t>
      </w:r>
    </w:p>
    <w:p>
      <w:pPr>
        <w:spacing w:after="160"/>
      </w:pPr>
      <w:hyperlink r:id="rId12">
        <w:r>
          <w:rPr>
            <w:color w:val="245A81"/>
            <w:sz w:val="20"/>
          </w:rPr>
          <w:t>국가법령정보센터  소년법 제32조</w:t>
        </w:r>
      </w:hyperlink>
    </w:p>
    <w:p>
      <w:pPr>
        <w:spacing w:after="120"/>
      </w:pPr>
      <w:r>
        <w:rPr>
          <w:b/>
        </w:rPr>
        <w:t>S03  박상민 등 2025 성착취 피해아동 청소년의 법적 지위 변화에 따른 법제도 운영 현황과 과제</w:t>
      </w:r>
    </w:p>
    <w:p>
      <w:pPr>
        <w:spacing w:after="60"/>
      </w:pPr>
      <w:r>
        <w:rPr>
          <w:b w:val="0"/>
          <w:sz w:val="20"/>
        </w:rPr>
        <w:t>한국여성정책연구원. 인쇄면 73–75쪽 지원 경로, 190–194쪽 경찰 판단, 206–208쪽 연계 지연과 지원 거절, 321–325쪽 협력과 운영 여건. 이번 확보 PDF는 인쇄면보다 PDF 쪽수가 47쪽 많다.</w:t>
      </w:r>
    </w:p>
    <w:p>
      <w:pPr>
        <w:spacing w:after="160"/>
      </w:pPr>
      <w:hyperlink r:id="rId13">
        <w:r>
          <w:rPr>
            <w:color w:val="245A81"/>
            <w:sz w:val="20"/>
          </w:rPr>
          <w:t>원문 또는 공식 자료 페이지</w:t>
        </w:r>
      </w:hyperlink>
    </w:p>
    <w:p>
      <w:pPr>
        <w:spacing w:after="120"/>
      </w:pPr>
      <w:r>
        <w:rPr>
          <w:b/>
        </w:rPr>
        <w:t>S04  배상균 등 2022 의료재활소년원 운영의 실효성 제고 방안 7호 처분을 중심으로</w:t>
      </w:r>
    </w:p>
    <w:p>
      <w:pPr>
        <w:spacing w:after="60"/>
      </w:pPr>
      <w:r>
        <w:rPr>
          <w:b w:val="0"/>
          <w:sz w:val="20"/>
        </w:rPr>
        <w:t>한국형사·법무정책연구원 연구총서 22-AB-02. 인쇄면 128–129쪽의 분류기준 관련 면접. 2022년의 일반 실무자료이며 B의 의료기록은 아니다.</w:t>
      </w:r>
    </w:p>
    <w:p>
      <w:pPr>
        <w:spacing w:after="160"/>
      </w:pPr>
      <w:hyperlink r:id="rId14">
        <w:r>
          <w:rPr>
            <w:color w:val="245A81"/>
            <w:sz w:val="20"/>
          </w:rPr>
          <w:t>연구보고서 PDF</w:t>
        </w:r>
      </w:hyperlink>
    </w:p>
    <w:p>
      <w:pPr>
        <w:spacing w:after="120"/>
      </w:pPr>
      <w:r>
        <w:rPr>
          <w:b/>
        </w:rPr>
        <w:t>S05  대법원 2025트6 결정</w:t>
      </w:r>
    </w:p>
    <w:p>
      <w:pPr>
        <w:spacing w:after="60"/>
      </w:pPr>
      <w:r>
        <w:rPr>
          <w:b w:val="0"/>
          <w:sz w:val="20"/>
        </w:rPr>
        <w:t>분류심사원 위탁의 자유 제한과 보조인 조력 문제에 활용한다. 우범소년 요건이나 7호 선택 기준을 직접 판단한 사례로 소개하지 않는다.</w:t>
      </w:r>
    </w:p>
    <w:p>
      <w:pPr>
        <w:spacing w:after="160"/>
      </w:pPr>
      <w:hyperlink r:id="rId15">
        <w:r>
          <w:rPr>
            <w:color w:val="245A81"/>
            <w:sz w:val="20"/>
          </w:rPr>
          <w:t>국가법령정보센터  결정문</w:t>
        </w:r>
      </w:hyperlink>
    </w:p>
    <w:p>
      <w:pPr>
        <w:spacing w:after="120"/>
      </w:pPr>
      <w:r>
        <w:rPr>
          <w:b/>
        </w:rPr>
        <w:t>S06  평화의샘 2021 아청법 개정 1년 그리고</w:t>
      </w:r>
    </w:p>
    <w:p>
      <w:pPr>
        <w:spacing w:after="60"/>
      </w:pPr>
      <w:r>
        <w:rPr>
          <w:b w:val="0"/>
          <w:sz w:val="20"/>
        </w:rPr>
        <w:t>2021년 12월 20일 게시. 경찰과 협의하여 송치 계획이 중단된 지원기관 사례보고. 이후 장기 효과는 제시되지 않았다.</w:t>
      </w:r>
    </w:p>
    <w:p>
      <w:pPr>
        <w:spacing w:after="160"/>
      </w:pPr>
      <w:hyperlink r:id="rId16">
        <w:r>
          <w:rPr>
            <w:color w:val="245A81"/>
            <w:sz w:val="20"/>
          </w:rPr>
          <w:t>지원기관의 사례보고</w:t>
        </w:r>
      </w:hyperlink>
    </w:p>
    <w:p>
      <w:r>
        <w:br w:type="page"/>
      </w:r>
    </w:p>
    <w:p>
      <w:pPr>
        <w:pStyle w:val="Heading1"/>
      </w:pPr>
      <w:r>
        <w:t>자료와 확인 위치 비교와 효과 근거</w:t>
      </w:r>
    </w:p>
    <w:p>
      <w:pPr>
        <w:spacing w:after="120"/>
      </w:pPr>
      <w:r>
        <w:rPr>
          <w:b/>
        </w:rPr>
        <w:t>S07  국가인권위원회 가출 청소년의 인권 보호 관련 권고</w:t>
      </w:r>
    </w:p>
    <w:p>
      <w:pPr>
        <w:spacing w:after="60"/>
      </w:pPr>
      <w:r>
        <w:rPr>
          <w:b w:val="0"/>
          <w:sz w:val="20"/>
        </w:rPr>
        <w:t>2017년 1월 24일 공개 자료. 가출 관련 우범 규정과 복지·의료·정신건강·법률·주거 지원을 검토할 근거. 권고와 현행법을 구별한다.</w:t>
      </w:r>
    </w:p>
    <w:p>
      <w:pPr>
        <w:spacing w:after="160"/>
      </w:pPr>
      <w:hyperlink r:id="rId17">
        <w:r>
          <w:rPr>
            <w:color w:val="245A81"/>
            <w:sz w:val="20"/>
          </w:rPr>
          <w:t>원문 또는 공식 자료 페이지</w:t>
        </w:r>
      </w:hyperlink>
    </w:p>
    <w:p>
      <w:pPr>
        <w:spacing w:after="120"/>
      </w:pPr>
      <w:r>
        <w:rPr>
          <w:b/>
        </w:rPr>
        <w:t>S08  일본 법원 소년사건 질문과 답변</w:t>
      </w:r>
    </w:p>
    <w:p>
      <w:pPr>
        <w:spacing w:after="60"/>
      </w:pPr>
      <w:r>
        <w:rPr>
          <w:b w:val="0"/>
          <w:sz w:val="20"/>
        </w:rPr>
        <w:t>ぐ犯소년의 개념과 18·19세 특정소년에 대한 적용 제외를 확인하는 공식 자료.</w:t>
      </w:r>
    </w:p>
    <w:p>
      <w:pPr>
        <w:spacing w:after="160"/>
      </w:pPr>
      <w:hyperlink r:id="rId18">
        <w:r>
          <w:rPr>
            <w:color w:val="245A81"/>
            <w:sz w:val="20"/>
          </w:rPr>
          <w:t>일본 법원 공식 안내</w:t>
        </w:r>
      </w:hyperlink>
    </w:p>
    <w:p>
      <w:pPr>
        <w:spacing w:after="120"/>
      </w:pPr>
      <w:r>
        <w:rPr>
          <w:b/>
        </w:rPr>
        <w:t>S09  OJJDP Status Offenses</w:t>
      </w:r>
    </w:p>
    <w:p>
      <w:pPr>
        <w:spacing w:after="60"/>
      </w:pPr>
      <w:r>
        <w:rPr>
          <w:b w:val="0"/>
          <w:sz w:val="20"/>
        </w:rPr>
        <w:t>지위비행과 시설 구금 제한, 법원명령 위반 예외 및 주별 차이를 설명하는 검토자료. 사이트의 보관 자료이며 모든 주의 현재 운영을 한 가지로 단정하지 않는다.</w:t>
      </w:r>
    </w:p>
    <w:p>
      <w:pPr>
        <w:spacing w:after="160"/>
      </w:pPr>
      <w:hyperlink r:id="rId19">
        <w:r>
          <w:rPr>
            <w:color w:val="245A81"/>
            <w:sz w:val="20"/>
          </w:rPr>
          <w:t>원문 또는 공식 자료 페이지</w:t>
        </w:r>
      </w:hyperlink>
    </w:p>
    <w:p>
      <w:pPr>
        <w:spacing w:after="120"/>
      </w:pPr>
      <w:r>
        <w:rPr>
          <w:b/>
        </w:rPr>
        <w:t>S10  New York Social Services Law §447-a</w:t>
      </w:r>
    </w:p>
    <w:p>
      <w:pPr>
        <w:spacing w:after="60"/>
      </w:pPr>
      <w:r>
        <w:rPr>
          <w:b w:val="0"/>
          <w:sz w:val="20"/>
        </w:rPr>
        <w:t>성착취 피해청소년, 단기·장기 보호시설과 지역사회 서비스의 정의. 법원 절차 중인 청소년과 절차 밖의 청소년 모두의 지원을 검토한다.</w:t>
      </w:r>
    </w:p>
    <w:p>
      <w:pPr>
        <w:spacing w:after="160"/>
      </w:pPr>
      <w:hyperlink r:id="rId20">
        <w:r>
          <w:rPr>
            <w:color w:val="245A81"/>
            <w:sz w:val="20"/>
          </w:rPr>
          <w:t>뉴욕주 공식 법령</w:t>
        </w:r>
      </w:hyperlink>
    </w:p>
    <w:p>
      <w:pPr>
        <w:spacing w:after="120"/>
      </w:pPr>
      <w:r>
        <w:rPr>
          <w:b/>
        </w:rPr>
        <w:t>S11  Wilson Brennan Olaghere 2018 Police initiated diversion for youth to prevent future delinquent behavior</w:t>
      </w:r>
    </w:p>
    <w:p>
      <w:pPr>
        <w:spacing w:after="60"/>
      </w:pPr>
      <w:r>
        <w:rPr>
          <w:b w:val="0"/>
          <w:sz w:val="20"/>
        </w:rPr>
        <w:t>Campbell Systematic Reviews, 14(1), 1–88. DOI 10.4073/csr.2018.5. 원문 제목 말미는 a systematic review이다. Table 4와 주분석 결과를 사용한다.</w:t>
      </w:r>
    </w:p>
    <w:p>
      <w:pPr>
        <w:spacing w:after="160"/>
      </w:pPr>
      <w:hyperlink r:id="rId21">
        <w:r>
          <w:rPr>
            <w:color w:val="245A81"/>
            <w:sz w:val="20"/>
          </w:rPr>
          <w:t>연구 원문</w:t>
        </w:r>
      </w:hyperlink>
    </w:p>
    <w:p>
      <w:pPr>
        <w:spacing w:after="120"/>
      </w:pPr>
      <w:r>
        <w:rPr>
          <w:b/>
        </w:rPr>
        <w:t>S12  아동 청소년 대상 성범죄 발생추세 및 동향 분석</w:t>
      </w:r>
    </w:p>
    <w:p>
      <w:pPr>
        <w:spacing w:after="60"/>
      </w:pPr>
      <w:r>
        <w:rPr>
          <w:b w:val="0"/>
          <w:sz w:val="20"/>
        </w:rPr>
        <w:t>2024년도 연구의 원자료. 인쇄면 385–386쪽 표 6-21, 신상정보등록연도 2017–2023년. 전체 비율과 유형별 분모를 원표 대조했다.</w:t>
      </w:r>
    </w:p>
    <w:p>
      <w:pPr>
        <w:spacing w:after="160"/>
      </w:pPr>
      <w:hyperlink r:id="rId22">
        <w:r>
          <w:rPr>
            <w:color w:val="245A81"/>
            <w:sz w:val="20"/>
          </w:rPr>
          <w:t>국회도서관 제공 보고서 PDF</w:t>
        </w:r>
      </w:hyperlink>
    </w:p>
    <w:p>
      <w:pPr>
        <w:spacing w:after="120"/>
      </w:pPr>
      <w:r>
        <w:rPr>
          <w:b/>
        </w:rPr>
        <w:t>S13  이승현 등 2024 소년범죄 처벌 실태 분석 및 처분 양형 기준 도입방안 연구 I</w:t>
      </w:r>
    </w:p>
    <w:p>
      <w:pPr>
        <w:spacing w:after="60"/>
      </w:pPr>
      <w:r>
        <w:rPr>
          <w:b w:val="0"/>
          <w:sz w:val="20"/>
        </w:rPr>
        <w:t>부제 소년보호처분 기준을 중심으로. 공식 초록·목차 확인. 상세 본문 대조 후 제4·6장 추가 보강에 활용할 후보이다.</w:t>
      </w:r>
    </w:p>
    <w:p>
      <w:pPr>
        <w:spacing w:after="160"/>
      </w:pPr>
      <w:hyperlink r:id="rId23">
        <w:r>
          <w:rPr>
            <w:color w:val="245A81"/>
            <w:sz w:val="20"/>
          </w:rPr>
          <w:t>원문 또는 공식 자료 페이지</w:t>
        </w:r>
      </w:hyperlink>
    </w:p>
    <w:p>
      <w:r>
        <w:br w:type="page"/>
      </w:r>
    </w:p>
    <w:p>
      <w:pPr>
        <w:pStyle w:val="Heading1"/>
      </w:pPr>
      <w:r>
        <w:t>편집 적용과 검수 기준</w:t>
      </w:r>
    </w:p>
    <w:p>
      <w:pPr>
        <w:pStyle w:val="Heading2"/>
      </w:pPr>
      <w:r>
        <w:t>자료대장에 반영할 정정</w:t>
      </w:r>
    </w:p>
    <w:p>
      <w:pPr>
        <w:spacing w:after="120"/>
      </w:pPr>
      <w:r>
        <w:rPr>
          <w:b w:val="0"/>
        </w:rPr>
        <w:t>E01의 제목은 연결된 URL의 실제 연구명인 Wilson 등(2018)의 경찰 단계 diversion 연구로 고친다. 기존 제목 Formal system processing of juveniles: effects on delinquency와 한 문헌처럼 섞지 않는다.</w:t>
      </w:r>
    </w:p>
    <w:p>
      <w:pPr>
        <w:spacing w:after="120"/>
      </w:pPr>
      <w:r>
        <w:rPr>
          <w:b w:val="0"/>
        </w:rPr>
        <w:t>여성정책연구원 보고서는 이 문서 S03의 인쇄면 기준으로 쪽수를 대조한다. 가출 통계는 S12 표 6-21의 확인 위치를 기록한다. 제7장 제목은 승인된 「비교제도와 효과근거」로 맞추고, 삭제된 제1장 첫 페이지를 과거 source map에 따라 복원하지 않는다.</w:t>
      </w:r>
    </w:p>
    <w:p>
      <w:pPr>
        <w:pStyle w:val="Heading2"/>
      </w:pPr>
      <w:r>
        <w:t>화면 제작에 적용할 디자인</w:t>
      </w:r>
    </w:p>
    <w:p>
      <w:pPr>
        <w:spacing w:after="120"/>
      </w:pPr>
      <w:r>
        <w:rPr>
          <w:b w:val="0"/>
        </w:rPr>
        <w:t>행 결론 14pt, 보충 12.5pt를 적용한다. 본문 묶음은 행 안에서 세로 가운데에 놓되 텍스트박스 내부는 위쪽 정렬한다. 제목 오른쪽 칩은 두지 않는다. 다른 역할의 크기·좌표·색은 Canonical을 따른다.</w:t>
      </w:r>
    </w:p>
    <w:p>
      <w:pPr>
        <w:spacing w:after="120"/>
      </w:pPr>
      <w:r>
        <w:rPr>
          <w:b w:val="0"/>
        </w:rPr>
        <w:t>텍스트박스 기본 외곽선은 없앤다. 비교 제목, 요건별 상단선, 구간의 시작과 끝을 나타내는 구조선은 기능을 확인하여 보존한다. 같은 경계를 나타내는 진한 세로선과 가로선만 중복 여부를 검토한다. 보조선은 회색·옅은 선으로 둔다.</w:t>
      </w:r>
    </w:p>
    <w:p>
      <w:pPr>
        <w:spacing w:after="120"/>
      </w:pPr>
      <w:r>
        <w:rPr>
          <w:b w:val="0"/>
        </w:rPr>
        <w:t>한 화면의 제목·상단·본문·하단을 모두 같은 강도로 강조하지 않는다. 비교 열의 이름과 같은 위계의 강조는 동일한 색·굵기로 맞춘다. 하단은 페이지 전체의 요지 또는 구체적인 판단 질문을 담는다. 다음 페이지 안내와 출처는 별도로 관리한다.</w:t>
      </w:r>
    </w:p>
    <w:p>
      <w:pPr>
        <w:pStyle w:val="Heading2"/>
      </w:pPr>
      <w:r>
        <w:t>실제 PPT 수정 후의 검수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08"/>
      </w:tblGrid>
      <w:tr>
        <w:trPr>
          <w:cantSplit/>
          <w:tblHeader/>
        </w:trPr>
        <w:tc>
          <w:tcPr>
            <w:tcW w:type="dxa" w:w="1944"/>
            <w:vAlign w:val="center"/>
            <w:tcMar>
              <w:top w:w="100" w:type="dxa"/>
              <w:left w:w="100" w:type="dxa"/>
              <w:bottom w:w="100" w:type="dxa"/>
              <w:right w:w="100" w:type="dxa"/>
            </w:tcMar>
            <w:shd w:fill="E8EDF3"/>
          </w:tcPr>
          <w:p>
            <w:pPr>
              <w:spacing w:after="20" w:line="269" w:lineRule="auto"/>
            </w:pPr>
            <w:r>
              <w:rPr>
                <w:b/>
                <w:sz w:val="20"/>
              </w:rPr>
              <w:t>단계</w:t>
            </w:r>
          </w:p>
        </w:tc>
        <w:tc>
          <w:tcPr>
            <w:tcW w:type="dxa" w:w="8208"/>
            <w:vAlign w:val="center"/>
            <w:tcMar>
              <w:top w:w="100" w:type="dxa"/>
              <w:left w:w="100" w:type="dxa"/>
              <w:bottom w:w="100" w:type="dxa"/>
              <w:right w:w="100" w:type="dxa"/>
            </w:tcMar>
            <w:shd w:fill="E8EDF3"/>
          </w:tcPr>
          <w:p>
            <w:pPr>
              <w:spacing w:after="20" w:line="269" w:lineRule="auto"/>
            </w:pPr>
            <w:r>
              <w:rPr>
                <w:b/>
                <w:sz w:val="20"/>
              </w:rPr>
              <w:t>확인할 항목</w:t>
            </w:r>
          </w:p>
        </w:tc>
      </w:tr>
      <w:tr>
        <w:trPr>
          <w:cantSplit/>
        </w:trPr>
        <w:tc>
          <w:tcPr>
            <w:tcW w:type="dxa" w:w="1944"/>
            <w:vAlign w:val="center"/>
            <w:tcMar>
              <w:top w:w="100" w:type="dxa"/>
              <w:left w:w="100" w:type="dxa"/>
              <w:bottom w:w="100" w:type="dxa"/>
              <w:right w:w="100" w:type="dxa"/>
            </w:tcMar>
          </w:tcPr>
          <w:p>
            <w:pPr>
              <w:spacing w:after="20" w:line="269" w:lineRule="auto"/>
            </w:pPr>
            <w:r>
              <w:rPr>
                <w:b w:val="0"/>
                <w:sz w:val="20"/>
              </w:rPr>
              <w:t>객체 대조</w:t>
            </w:r>
          </w:p>
        </w:tc>
        <w:tc>
          <w:tcPr>
            <w:tcW w:type="dxa" w:w="8208"/>
            <w:vAlign w:val="center"/>
            <w:tcMar>
              <w:top w:w="100" w:type="dxa"/>
              <w:left w:w="100" w:type="dxa"/>
              <w:bottom w:w="100" w:type="dxa"/>
              <w:right w:w="100" w:type="dxa"/>
            </w:tcMar>
          </w:tcPr>
          <w:p>
            <w:pPr>
              <w:spacing w:after="20" w:line="269" w:lineRule="auto"/>
            </w:pPr>
            <w:r>
              <w:rPr>
                <w:b w:val="0"/>
                <w:sz w:val="20"/>
              </w:rPr>
              <w:t>최신 PPTX와 참조본의 텍스트·열 제목·선·색 면·화살표·하단 문구를 대응시킨다.</w:t>
            </w:r>
          </w:p>
        </w:tc>
      </w:tr>
      <w:tr>
        <w:trPr>
          <w:cantSplit/>
        </w:trPr>
        <w:tc>
          <w:tcPr>
            <w:tcW w:type="dxa" w:w="1944"/>
            <w:vAlign w:val="center"/>
            <w:tcMar>
              <w:top w:w="100" w:type="dxa"/>
              <w:left w:w="100" w:type="dxa"/>
              <w:bottom w:w="100" w:type="dxa"/>
              <w:right w:w="100" w:type="dxa"/>
            </w:tcMar>
          </w:tcPr>
          <w:p>
            <w:pPr>
              <w:spacing w:after="20" w:line="269" w:lineRule="auto"/>
            </w:pPr>
            <w:r>
              <w:rPr>
                <w:b w:val="0"/>
                <w:sz w:val="20"/>
              </w:rPr>
              <w:t>페이지별 렌더</w:t>
            </w:r>
          </w:p>
        </w:tc>
        <w:tc>
          <w:tcPr>
            <w:tcW w:type="dxa" w:w="8208"/>
            <w:vAlign w:val="center"/>
            <w:tcMar>
              <w:top w:w="100" w:type="dxa"/>
              <w:left w:w="100" w:type="dxa"/>
              <w:bottom w:w="100" w:type="dxa"/>
              <w:right w:w="100" w:type="dxa"/>
            </w:tcMar>
          </w:tcPr>
          <w:p>
            <w:pPr>
              <w:spacing w:after="20" w:line="269" w:lineRule="auto"/>
            </w:pPr>
            <w:r>
              <w:rPr>
                <w:b w:val="0"/>
                <w:sz w:val="20"/>
              </w:rPr>
              <w:t>핵심 식별, 외곽선, 색 중복, 의미 단위 줄바꿈, 정렬, 과밀·공백을 확인한다.</w:t>
            </w:r>
          </w:p>
        </w:tc>
      </w:tr>
      <w:tr>
        <w:trPr>
          <w:cantSplit/>
        </w:trPr>
        <w:tc>
          <w:tcPr>
            <w:tcW w:type="dxa" w:w="1944"/>
            <w:vAlign w:val="center"/>
            <w:tcMar>
              <w:top w:w="100" w:type="dxa"/>
              <w:left w:w="100" w:type="dxa"/>
              <w:bottom w:w="100" w:type="dxa"/>
              <w:right w:w="100" w:type="dxa"/>
            </w:tcMar>
          </w:tcPr>
          <w:p>
            <w:pPr>
              <w:spacing w:after="20" w:line="269" w:lineRule="auto"/>
            </w:pPr>
            <w:r>
              <w:rPr>
                <w:b w:val="0"/>
                <w:sz w:val="20"/>
              </w:rPr>
              <w:t>전체 접촉시트</w:t>
            </w:r>
          </w:p>
        </w:tc>
        <w:tc>
          <w:tcPr>
            <w:tcW w:type="dxa" w:w="8208"/>
            <w:vAlign w:val="center"/>
            <w:tcMar>
              <w:top w:w="100" w:type="dxa"/>
              <w:left w:w="100" w:type="dxa"/>
              <w:bottom w:w="100" w:type="dxa"/>
              <w:right w:w="100" w:type="dxa"/>
            </w:tcMar>
          </w:tcPr>
          <w:p>
            <w:pPr>
              <w:spacing w:after="20" w:line="269" w:lineRule="auto"/>
            </w:pPr>
            <w:r>
              <w:rPr>
                <w:b w:val="0"/>
                <w:sz w:val="20"/>
              </w:rPr>
              <w:t>정보관계에 맞는 형식 변화와 장간 일관성, 다음 장 연결을 확인한다.</w:t>
            </w:r>
          </w:p>
        </w:tc>
      </w:tr>
      <w:tr>
        <w:trPr>
          <w:cantSplit/>
        </w:trPr>
        <w:tc>
          <w:tcPr>
            <w:tcW w:type="dxa" w:w="1944"/>
            <w:vAlign w:val="center"/>
            <w:tcMar>
              <w:top w:w="100" w:type="dxa"/>
              <w:left w:w="100" w:type="dxa"/>
              <w:bottom w:w="100" w:type="dxa"/>
              <w:right w:w="100" w:type="dxa"/>
            </w:tcMar>
          </w:tcPr>
          <w:p>
            <w:pPr>
              <w:spacing w:after="20" w:line="269" w:lineRule="auto"/>
            </w:pPr>
            <w:r>
              <w:rPr>
                <w:b w:val="0"/>
                <w:sz w:val="20"/>
              </w:rPr>
              <w:t>최종 파일 확인</w:t>
            </w:r>
          </w:p>
        </w:tc>
        <w:tc>
          <w:tcPr>
            <w:tcW w:type="dxa" w:w="8208"/>
            <w:vAlign w:val="center"/>
            <w:tcMar>
              <w:top w:w="100" w:type="dxa"/>
              <w:left w:w="100" w:type="dxa"/>
              <w:bottom w:w="100" w:type="dxa"/>
              <w:right w:w="100" w:type="dxa"/>
            </w:tcMar>
          </w:tcPr>
          <w:p>
            <w:pPr>
              <w:spacing w:after="20" w:line="269" w:lineRule="auto"/>
            </w:pPr>
            <w:r>
              <w:rPr>
                <w:b w:val="0"/>
                <w:sz w:val="20"/>
              </w:rPr>
              <w:t>전달 파일과 검수 파일의 일치 및 노트의 출처 보존을 확인한다.</w:t>
            </w:r>
          </w:p>
        </w:tc>
      </w:tr>
    </w:tbl>
    <w:p>
      <w:pPr>
        <w:spacing w:after="20"/>
      </w:pPr>
      <w:r>
        <w:rPr>
          <w:b w:val="0"/>
        </w:rPr>
      </w:r>
    </w:p>
    <w:p>
      <w:pPr>
        <w:pStyle w:val="Heading2"/>
      </w:pPr>
      <w:r>
        <w:t>이번 전달 상태</w:t>
      </w:r>
    </w:p>
    <w:p>
      <w:pPr>
        <w:spacing w:after="120"/>
      </w:pPr>
      <w:r>
        <w:rPr>
          <w:b w:val="0"/>
        </w:rPr>
        <w:t>완료 범위는 PPT 수정안 DOCX 작성과 문서 렌더 검수이다. PPTX 수정, PPT 전체 렌더, 저장소 자료대장 갱신은 이번 전달에 포함되지 않는다. 문서의 화면 문구는 제안이며, 현재 PPT에 이미 구현된 문구라는 뜻이 아니다.</w:t>
      </w:r>
    </w:p>
    <w:p>
      <w:pPr>
        <w:spacing w:after="120"/>
      </w:pPr>
      <w:r>
        <w:rPr>
          <w:b w:val="0"/>
          <w:sz w:val="18"/>
        </w:rPr>
        <w:t>변경 기록 문안  5주차 첨부 사례의 7호 처분 사유를 보완하고, 제5장 경로 비교·제6장 현장 논거·제7장 제도와 효과근거의 수정안을 작성함. 관련 단원 연결, 출처 위치 및 E01 서지 정정 대상을 기록함.</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PPT 수정 제안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경찰대학 범죄·공공안전세미나Ⅱ  |  5주차 PPT 수정안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Pretendard" w:hAnsi="Pretendard" w:eastAsia="Pretendard" w:cs="Pretendar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8" w:lineRule="auto"/>
      <w:outlineLvl w:val="0"/>
    </w:pPr>
    <w:rPr>
      <w:rFonts w:ascii="Pretendard" w:hAnsi="Pretendard" w:eastAsia="Pretendard" w:cs="Pretendar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278" w:lineRule="auto"/>
      <w:outlineLvl w:val="1"/>
    </w:pPr>
    <w:rPr>
      <w:rFonts w:ascii="Pretendard" w:hAnsi="Pretendard" w:eastAsia="Pretendard" w:cs="Pretendar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8" w:lineRule="auto"/>
      <w:outlineLvl w:val="2"/>
    </w:pPr>
    <w:rPr>
      <w:rFonts w:ascii="Pretendard" w:hAnsi="Pretendard" w:eastAsia="Pretendard" w:cs="Pretendard"/>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8" w:lineRule="auto"/>
      <w:contextualSpacing/>
    </w:pPr>
    <w:rPr>
      <w:rFonts w:ascii="Pretendard" w:hAnsi="Pretendard" w:eastAsia="Pretendard" w:cs="Pretendard"/>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8" w:lineRule="auto" w:after="120"/>
    </w:pPr>
    <w:rPr>
      <w:rFonts w:ascii="Pretendard" w:hAnsi="Pretendard" w:eastAsia="Pretendard" w:cs="Pretendar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8" w:lineRule="auto" w:after="120"/>
    </w:pPr>
    <w:rPr>
      <w:rFonts w:ascii="Pretendard" w:hAnsi="Pretendard" w:eastAsia="Pretendard" w:cs="Pretendard"/>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uroo.org/data/?bmode=view&amp;idx=128595217" TargetMode="External"/><Relationship Id="rId12" Type="http://schemas.openxmlformats.org/officeDocument/2006/relationships/hyperlink" Target="https://law.go.kr/lsLinkCommonInfo.do?chrClsCd=010202&amp;lsJoLnkSeq=1014134273" TargetMode="External"/><Relationship Id="rId13" Type="http://schemas.openxmlformats.org/officeDocument/2006/relationships/hyperlink" Target="https://www.kwdi.re.kr/publications/reportView.do?idx=133642&amp;p=3" TargetMode="External"/><Relationship Id="rId14" Type="http://schemas.openxmlformats.org/officeDocument/2006/relationships/hyperlink" Target="https://www.kicj.re.kr/boardDownload.es?bid=0001&amp;list_no=13282&amp;seq=2" TargetMode="External"/><Relationship Id="rId15" Type="http://schemas.openxmlformats.org/officeDocument/2006/relationships/hyperlink" Target="https://www.law.go.kr/precInfoP.do?precSeq=613213" TargetMode="External"/><Relationship Id="rId16" Type="http://schemas.openxmlformats.org/officeDocument/2006/relationships/hyperlink" Target="https://peacewell.org/&#50500;&#52397;&#48277;-&#44060;&#51221;-1&#45380;-&#44536;&#47532;&#44256;/" TargetMode="External"/><Relationship Id="rId17" Type="http://schemas.openxmlformats.org/officeDocument/2006/relationships/hyperlink" Target="https://www.humanrights.go.kr/site/program/board/basicboard/view?boardid=616529&amp;boardtypeid=24&amp;menuid=001004002001" TargetMode="External"/><Relationship Id="rId18" Type="http://schemas.openxmlformats.org/officeDocument/2006/relationships/hyperlink" Target="https://www.courts.go.jp/saiban/qa/qa_syonen/index.html" TargetMode="External"/><Relationship Id="rId19" Type="http://schemas.openxmlformats.org/officeDocument/2006/relationships/hyperlink" Target="https://ojjdp.ojp.gov/model-programs-guide/literature-reviews/status-offenses" TargetMode="External"/><Relationship Id="rId20" Type="http://schemas.openxmlformats.org/officeDocument/2006/relationships/hyperlink" Target="https://www.nysenate.gov/legislation/laws/SOS/447-A" TargetMode="External"/><Relationship Id="rId21" Type="http://schemas.openxmlformats.org/officeDocument/2006/relationships/hyperlink" Target="https://pmc.ncbi.nlm.nih.gov/articles/PMC8427984/" TargetMode="External"/><Relationship Id="rId22" Type="http://schemas.openxmlformats.org/officeDocument/2006/relationships/hyperlink" Target="https://clik.nanet.go.kr/clikr-collection/policyinfo/203/1015/2025/CLIKC2835722101307569_attach_1.pdf" TargetMode="External"/><Relationship Id="rId23" Type="http://schemas.openxmlformats.org/officeDocument/2006/relationships/hyperlink" Target="https://www.kicj.re.kr/board.es?act=view&amp;bid=0001&amp;list_no=15971&amp;mid=a1010100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5주차 PPT 수정안</dc:title>
  <dc:subject>우범소년 송치 사례와 피해지원 비교 및 현장 논거 보강</dc:subject>
  <dc:creator/>
  <cp:keywords>5주차, 우범소년, PPT 수정안</cp:keywords>
  <dc:description>generated by python-docx</dc:description>
  <cp:lastModifiedBy/>
  <cp:revision>1</cp:revision>
  <dcterms:created xsi:type="dcterms:W3CDTF">2013-12-23T23:15:00Z</dcterms:created>
  <dcterms:modified xsi:type="dcterms:W3CDTF">2013-12-23T23:15:00Z</dcterms:modified>
  <cp:category/>
</cp:coreProperties>
</file>