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Pretendard" w:hAnsi="Pretendard" w:eastAsia="Pretendard" w:cs="Pretendard"/>
        </w:rPr>
        <w:t>제1장 통합 PPT</w:t>
        <w:br/>
        <w:t>자료·강의 대본</w:t>
      </w:r>
    </w:p>
    <w:p>
      <w:pPr>
        <w:spacing w:after="140"/>
      </w:pPr>
      <w:r>
        <w:rPr>
          <w:rFonts w:ascii="Pretendard" w:hAnsi="Pretendard" w:eastAsia="Pretendard" w:cs="Pretendard"/>
          <w:b/>
          <w:sz w:val="28"/>
        </w:rPr>
        <w:t>논제의 대상과 현행 우범소년 제도</w:t>
      </w:r>
    </w:p>
    <w:p>
      <w:pPr>
        <w:spacing w:after="140"/>
      </w:pPr>
      <w:r>
        <w:rPr>
          <w:rFonts w:ascii="Pretendard" w:hAnsi="Pretendard" w:eastAsia="Pretendard" w:cs="Pretendard"/>
          <w:b/>
          <w:sz w:val="22"/>
        </w:rPr>
        <w:t>성매매가 우려되는 가출 청소년을 우범소년으로 송치하여야 하는가?</w:t>
      </w:r>
    </w:p>
    <w:p>
      <w:pPr>
        <w:spacing w:after="140"/>
      </w:pPr>
      <w:r>
        <w:rPr>
          <w:rFonts w:ascii="Pretendard" w:hAnsi="Pretendard" w:eastAsia="Pretendard" w:cs="Pretendard"/>
          <w:b w:val="0"/>
          <w:sz w:val="18"/>
        </w:rPr>
        <w:t>11장 · 설명 약 24분 + 학생 발언 시간</w:t>
        <w:br/>
        <w:t>통합 보강안 v1 · 2026-09-23 KST</w:t>
      </w:r>
    </w:p>
    <w:p>
      <w:pPr>
        <w:spacing w:after="140"/>
      </w:pPr>
      <w:r>
        <w:rPr>
          <w:rFonts w:ascii="Pretendard" w:hAnsi="Pretendard" w:eastAsia="Pretendard" w:cs="Pretendard"/>
          <w:b w:val="0"/>
        </w:rPr>
        <w:t>제도 이해 → 위험의 구별 → 절차 → 현장의 어려움 → 실제 사례 → 논거와 판단의 순서로 구성했다. 각 페이지의 대본은 바로 읽어 설명할 수 있도록 작성했으며, 원자료의 사실과 강의에서 던지는 질문을 구별했다.</w:t>
      </w:r>
    </w:p>
    <w:tbl>
      <w:tblPr>
        <w:tblW w:type="auto" w:w="0"/>
        <w:jc w:val="center"/>
        <w:tblLayout w:type="fixed"/>
        <w:tblLook w:firstColumn="1" w:firstRow="1" w:lastColumn="0" w:lastRow="0" w:noHBand="0" w:noVBand="1" w:val="04A0"/>
        <w:tblBorders>
          <w:top w:val="single" w:sz="4" w:color="D0D4DC"/>
          <w:bottom w:val="single" w:sz="4" w:color="D0D4DC"/>
          <w:insideH w:val="single" w:sz="4" w:color="D0D4DC"/>
        </w:tblBorders>
      </w:tblPr>
      <w:tblGrid>
        <w:gridCol w:w="907"/>
        <w:gridCol w:w="3798"/>
        <w:gridCol w:w="4819"/>
      </w:tblGrid>
      <w:tr>
        <w:trPr>
          <w:cantSplit/>
          <w:tblHeader/>
        </w:trPr>
        <w:tc>
          <w:tcPr>
            <w:tcW w:type="dxa" w:w="907"/>
            <w:vAlign w:val="center"/>
            <w:tcMar>
              <w:top w:w="80" w:type="dxa"/>
              <w:bottom w:w="80" w:type="dxa"/>
              <w:left w:w="80" w:type="dxa"/>
              <w:right w:w="80" w:type="dxa"/>
            </w:tcMar>
            <w:shd w:fill="F2F4F8"/>
          </w:tcPr>
          <w:p>
            <w:pPr>
              <w:spacing w:after="20" w:line="269" w:lineRule="auto"/>
            </w:pPr>
            <w:r>
              <w:rPr>
                <w:rFonts w:ascii="Pretendard" w:hAnsi="Pretendard" w:eastAsia="Pretendard" w:cs="Pretendard"/>
                <w:b/>
                <w:sz w:val="18"/>
              </w:rPr>
              <w:t>PPT</w:t>
            </w:r>
          </w:p>
        </w:tc>
        <w:tc>
          <w:tcPr>
            <w:tcW w:type="dxa" w:w="3798"/>
            <w:vAlign w:val="center"/>
            <w:tcMar>
              <w:top w:w="80" w:type="dxa"/>
              <w:bottom w:w="80" w:type="dxa"/>
              <w:left w:w="80" w:type="dxa"/>
              <w:right w:w="80" w:type="dxa"/>
            </w:tcMar>
            <w:shd w:fill="F2F4F8"/>
          </w:tcPr>
          <w:p>
            <w:pPr>
              <w:spacing w:after="20" w:line="269" w:lineRule="auto"/>
            </w:pPr>
            <w:r>
              <w:rPr>
                <w:rFonts w:ascii="Pretendard" w:hAnsi="Pretendard" w:eastAsia="Pretendard" w:cs="Pretendard"/>
                <w:b/>
                <w:sz w:val="18"/>
              </w:rPr>
              <w:t>내용</w:t>
            </w:r>
          </w:p>
        </w:tc>
        <w:tc>
          <w:tcPr>
            <w:tcW w:type="dxa" w:w="4819"/>
            <w:vAlign w:val="center"/>
            <w:tcMar>
              <w:top w:w="80" w:type="dxa"/>
              <w:bottom w:w="80" w:type="dxa"/>
              <w:left w:w="80" w:type="dxa"/>
              <w:right w:w="80" w:type="dxa"/>
            </w:tcMar>
            <w:shd w:fill="F2F4F8"/>
          </w:tcPr>
          <w:p>
            <w:pPr>
              <w:spacing w:after="20" w:line="269" w:lineRule="auto"/>
            </w:pPr>
            <w:r>
              <w:rPr>
                <w:rFonts w:ascii="Pretendard" w:hAnsi="Pretendard" w:eastAsia="Pretendard" w:cs="Pretendard"/>
                <w:b/>
                <w:sz w:val="18"/>
              </w:rPr>
              <w:t>이후 논의에 남기는 질문</w:t>
            </w:r>
          </w:p>
        </w:tc>
      </w:tr>
      <w:tr>
        <w:trPr>
          <w:cantSplit/>
        </w:trPr>
        <w:tc>
          <w:tcPr>
            <w:tcW w:type="dxa" w:w="9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1–3</w:t>
            </w:r>
          </w:p>
        </w:tc>
        <w:tc>
          <w:tcPr>
            <w:tcW w:type="dxa" w:w="3798"/>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세 출발점·세 요건·법정 우범사유</w:t>
            </w:r>
          </w:p>
        </w:tc>
        <w:tc>
          <w:tcPr>
            <w:tcW w:type="dxa" w:w="4819"/>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가출 이유와 장래 우려를 무엇으로 판단하는가?</w:t>
            </w:r>
          </w:p>
        </w:tc>
      </w:tr>
      <w:tr>
        <w:trPr>
          <w:cantSplit/>
        </w:trPr>
        <w:tc>
          <w:tcPr>
            <w:tcW w:type="dxa" w:w="9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4–5</w:t>
            </w:r>
          </w:p>
        </w:tc>
        <w:tc>
          <w:tcPr>
            <w:tcW w:type="dxa" w:w="3798"/>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두 위험의 구별·송치와 통고</w:t>
            </w:r>
          </w:p>
        </w:tc>
        <w:tc>
          <w:tcPr>
            <w:tcW w:type="dxa" w:w="4819"/>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피해 보호의 필요가 어떻게 소년사법 판단으로 이어지는가?</w:t>
            </w:r>
          </w:p>
        </w:tc>
      </w:tr>
      <w:tr>
        <w:trPr>
          <w:cantSplit/>
        </w:trPr>
        <w:tc>
          <w:tcPr>
            <w:tcW w:type="dxa" w:w="9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6</w:t>
            </w:r>
          </w:p>
        </w:tc>
        <w:tc>
          <w:tcPr>
            <w:tcW w:type="dxa" w:w="3798"/>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반복 피해와 지원 연결의 어려움</w:t>
            </w:r>
          </w:p>
        </w:tc>
        <w:tc>
          <w:tcPr>
            <w:tcW w:type="dxa" w:w="4819"/>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개입을 지속하기 어렵게 만드는 조건은 무엇인가?</w:t>
            </w:r>
          </w:p>
        </w:tc>
      </w:tr>
      <w:tr>
        <w:trPr>
          <w:cantSplit/>
        </w:trPr>
        <w:tc>
          <w:tcPr>
            <w:tcW w:type="dxa" w:w="9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7–8</w:t>
            </w:r>
          </w:p>
        </w:tc>
        <w:tc>
          <w:tcPr>
            <w:tcW w:type="dxa" w:w="3798"/>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시설 위탁 사례·7호 처분 사례</w:t>
            </w:r>
          </w:p>
        </w:tc>
        <w:tc>
          <w:tcPr>
            <w:tcW w:type="dxa" w:w="4819"/>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송치의 근거와 처분 선택의 이유는 각각 무엇인가?</w:t>
            </w:r>
          </w:p>
        </w:tc>
      </w:tr>
      <w:tr>
        <w:trPr>
          <w:cantSplit/>
        </w:trPr>
        <w:tc>
          <w:tcPr>
            <w:tcW w:type="dxa" w:w="9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9</w:t>
            </w:r>
          </w:p>
        </w:tc>
        <w:tc>
          <w:tcPr>
            <w:tcW w:type="dxa" w:w="3798"/>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기관 협의로 달라진 송치 계획</w:t>
            </w:r>
          </w:p>
        </w:tc>
        <w:tc>
          <w:tcPr>
            <w:tcW w:type="dxa" w:w="4819"/>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피해지원 경로에서 누가 보호를 책임지는가?</w:t>
            </w:r>
          </w:p>
        </w:tc>
      </w:tr>
      <w:tr>
        <w:trPr>
          <w:cantSplit/>
        </w:trPr>
        <w:tc>
          <w:tcPr>
            <w:tcW w:type="dxa" w:w="9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10–11</w:t>
            </w:r>
          </w:p>
        </w:tc>
        <w:tc>
          <w:tcPr>
            <w:tcW w:type="dxa" w:w="3798"/>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현장 논거·법 적용과 제도 판단</w:t>
            </w:r>
          </w:p>
        </w:tc>
        <w:tc>
          <w:tcPr>
            <w:tcW w:type="dxa" w:w="4819"/>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보호의 이익·자유 제한·다른 지원 가능성을 어떻게 비교하는가?</w:t>
            </w:r>
          </w:p>
        </w:tc>
      </w:tr>
    </w:tbl>
    <w:p>
      <w:pPr>
        <w:pStyle w:val="Heading2"/>
      </w:pPr>
      <w:r>
        <w:rPr>
          <w:rFonts w:ascii="Pretendard" w:hAnsi="Pretendard" w:eastAsia="Pretendard" w:cs="Pretendard"/>
        </w:rPr>
        <w:t>강의에서 사용할 때</w:t>
      </w:r>
    </w:p>
    <w:p>
      <w:pPr>
        <w:spacing w:after="140"/>
      </w:pPr>
      <w:r>
        <w:rPr>
          <w:rFonts w:ascii="Pretendard" w:hAnsi="Pretendard" w:eastAsia="Pretendard" w:cs="Pretendard"/>
          <w:b w:val="0"/>
          <w:sz w:val="20"/>
        </w:rPr>
        <w:t>PPT 화면에는 법조문과 자료의 성격 등 이해에 필요한 정보만 남겼다. 원자료의 위치·링크와 상세 설명은 이 문서 및 PPT 발표자 노트에 있다. 각 대본 끝의 연결 문장은 다음 화면으로 넘어갈 때 사용한다.</w:t>
      </w:r>
    </w:p>
    <w:p>
      <w:pPr>
        <w:spacing w:after="140"/>
      </w:pPr>
      <w:r>
        <w:rPr>
          <w:rFonts w:ascii="Pretendard" w:hAnsi="Pretendard" w:eastAsia="Pretendard" w:cs="Pretendard"/>
          <w:b w:val="0"/>
          <w:sz w:val="20"/>
        </w:rPr>
        <w:t>실무자료와 토론회 사례는 법원의 상세 요건 판단이나 처분 효과까지 입증하지 않는다. 확인되지 않은 동기·진단·성과를 덧붙이지 않는다. 송치를 하지 않는 선택도 피해지원·주거·치료·가해자 수사 등 구체적인 대응과 함께 비교한다.</w:t>
      </w:r>
    </w:p>
    <w:p>
      <w:pPr>
        <w:spacing w:after="140"/>
      </w:pPr>
      <w:r>
        <w:rPr>
          <w:rFonts w:ascii="Pretendard" w:hAnsi="Pretendard" w:eastAsia="Pretendard" w:cs="Pretendard"/>
          <w:b w:val="0"/>
          <w:sz w:val="17"/>
        </w:rPr>
        <w:t>확인 기준: master 7c16d204f46ee972e05ec77681b28413a80c4c3f</w:t>
        <w:br/>
        <w:t>전체 8개 단원은 유지. 제1장의 삭제된 논제 안/밖 페이지는 복원하지 않았다. 최신 두 사례 보강본의 내용과 배치를 이어받았다.</w:t>
      </w:r>
    </w:p>
    <w:p>
      <w:r>
        <w:rPr>
          <w:rFonts w:ascii="Pretendard" w:hAnsi="Pretendard" w:eastAsia="Pretendard" w:cs="Pretendard"/>
        </w:rPr>
        <w:br w:type="page"/>
      </w:r>
    </w:p>
    <w:p>
      <w:pPr>
        <w:pStyle w:val="Heading1"/>
      </w:pPr>
      <w:r>
        <w:rPr>
          <w:rFonts w:ascii="Pretendard" w:hAnsi="Pretendard" w:eastAsia="Pretendard" w:cs="Pretendard"/>
        </w:rPr>
        <w:t>01  소년부 보호사건의 세 출발점</w:t>
      </w:r>
    </w:p>
    <w:p>
      <w:pPr>
        <w:spacing w:after="140"/>
      </w:pPr>
      <w:r>
        <w:rPr>
          <w:rFonts w:ascii="Pretendard" w:hAnsi="Pretendard" w:eastAsia="Pretendard" w:cs="Pretendard"/>
          <w:b w:val="0"/>
          <w:sz w:val="18"/>
        </w:rPr>
        <w:t>PPT 1  |  약 2분  |  근거 L1</w:t>
      </w:r>
    </w:p>
    <w:p>
      <w:pPr>
        <w:spacing w:after="140"/>
      </w:pPr>
      <w:r>
        <w:rPr>
          <w:rFonts w:ascii="Pretendard" w:hAnsi="Pretendard" w:eastAsia="Pretendard" w:cs="Pretendard"/>
          <w:b/>
          <w:sz w:val="21"/>
        </w:rPr>
        <w:t>이미 한 행위와 앞으로의 우려를 구분하고 ‘우범사유’를 쉬운 말로 소개한다.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오늘 논제는 성매매가 우려되는 가출 청소년을 우범소년으로 소년부에 송치해야 하는가입니다. 이 질문을 이해하려면 먼저 소년부 보호사건이 어떤 사실을 출발점으로 하는지 봐야 합니다. 첫째는 죄를 범한 소년, 둘째는 형벌 법령에 저촉되는 행위를 한 10세 이상 14세 미만 소년입니다. 두 범주는 이미 일어난 행위를 봅니다. 같은 종류의 행위를 했더라도 14세 미만에게는 형사책임을 묻지 않으므로 조문의 표현이 달라집니다.</w:t>
      </w:r>
    </w:p>
    <w:p>
      <w:pPr>
        <w:spacing w:after="140"/>
      </w:pPr>
      <w:r>
        <w:rPr>
          <w:rFonts w:ascii="Pretendard" w:hAnsi="Pretendard" w:eastAsia="Pretendard" w:cs="Pretendard"/>
          <w:b w:val="0"/>
          <w:sz w:val="22"/>
        </w:rPr>
        <w:t>셋째인 우범소년은 앞으로의 우려를 요건으로 삼습니다. 우범은 쉽게 말해 ‘앞으로 범죄를 저지를 우려가 있다’는 뜻입니다. 우범사유는 그런 우려를 갖게 하는 행동이나 상황이라는 말입니다. 다만 법을 적용할 때는 우리가 위험해 보인다고 생각하는 모든 사정을 마음대로 우범사유로 정할 수 없습니다. 법에 정해진 사유가 있어야 합니다.</w:t>
      </w:r>
    </w:p>
    <w:p>
      <w:pPr>
        <w:spacing w:after="140"/>
      </w:pPr>
      <w:r>
        <w:rPr>
          <w:rFonts w:ascii="Pretendard" w:hAnsi="Pretendard" w:eastAsia="Pretendard" w:cs="Pretendard"/>
          <w:b w:val="0"/>
          <w:sz w:val="22"/>
        </w:rPr>
        <w:t>세 범주는 모두 소년법상 보호사건의 대상이지만, 보호사건이 성립하는 요건은 서로 다릅니다. 오늘 우리가 따질 것은 가출 청소년에게 도움이 필요한가만이 아닙니다. 그 청소년을 ‘우범소년’이라는 법적 경로로 보내는 요건과 이유가 무엇인가입니다. 이제 그 요건을 세 부분으로 나누어 보겠습니다.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소년법 제4조 제1항의 세 범주와 제2조의 19세 미만 기준을 대조했다. 화면의 우범·우범사유 설명은 쉬운 말 풀이이며 법정요건의 대체 정의가 아니다.</w:t>
      </w:r>
    </w:p>
    <w:p>
      <w:pPr>
        <w:spacing w:after="140"/>
      </w:pPr>
      <w:r>
        <w:rPr>
          <w:rFonts w:ascii="Pretendard" w:hAnsi="Pretendard" w:eastAsia="Pretendard" w:cs="Pretendard"/>
          <w:b w:val="0"/>
          <w:sz w:val="19"/>
        </w:rPr>
        <w:t>설명 범위  ‘촉법소년은 범죄와 무관한 행위를 한 소년’이라고 설명하지 않는다. 형사책임 연령과 행위의 성격을 구별한다.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그러면 우범소년이라고 하려면 무엇을 함께 확인해야 할까요?</w:t>
      </w:r>
    </w:p>
    <w:p>
      <w:pPr>
        <w:spacing w:after="120"/>
      </w:pPr>
      <w:hyperlink r:id="rId11">
        <w:r>
          <w:rPr>
            <w:rFonts w:ascii="Pretendard" w:hAnsi="Pretendard" w:eastAsia="Pretendard" w:cs="Pretendard"/>
            <w:sz w:val="19"/>
            <w:u w:val="single"/>
          </w:rPr>
          <w:t>[L1] 국가법령정보센터, 소년법</w:t>
        </w:r>
      </w:hyperlink>
    </w:p>
    <w:p>
      <w:r>
        <w:rPr>
          <w:rFonts w:ascii="Pretendard" w:hAnsi="Pretendard" w:eastAsia="Pretendard" w:cs="Pretendard"/>
        </w:rPr>
        <w:br w:type="page"/>
      </w:r>
    </w:p>
    <w:p>
      <w:pPr>
        <w:pStyle w:val="Heading1"/>
      </w:pPr>
      <w:r>
        <w:rPr>
          <w:rFonts w:ascii="Pretendard" w:hAnsi="Pretendard" w:eastAsia="Pretendard" w:cs="Pretendard"/>
        </w:rPr>
        <w:t>02  우범소년의 세 요건</w:t>
      </w:r>
    </w:p>
    <w:p>
      <w:pPr>
        <w:spacing w:after="140"/>
      </w:pPr>
      <w:r>
        <w:rPr>
          <w:rFonts w:ascii="Pretendard" w:hAnsi="Pretendard" w:eastAsia="Pretendard" w:cs="Pretendard"/>
          <w:b w:val="0"/>
          <w:sz w:val="18"/>
        </w:rPr>
        <w:t>PPT 2  |  약 2분  |  근거 L1</w:t>
      </w:r>
    </w:p>
    <w:p>
      <w:pPr>
        <w:spacing w:after="140"/>
      </w:pPr>
      <w:r>
        <w:rPr>
          <w:rFonts w:ascii="Pretendard" w:hAnsi="Pretendard" w:eastAsia="Pretendard" w:cs="Pretendard"/>
          <w:b/>
          <w:sz w:val="21"/>
        </w:rPr>
        <w:t>연령·법정 우범사유·장래 범법 우려가 함께 필요함을 보여 준다.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우범소년의 요건은 세 가지를 함께 봅니다. 먼저 10세 이상 19세 미만이어야 합니다. 다음으로 법이 정한 가목·나목·다목 가운데 해당하는 사유가 있어야 합니다. 그리고 그 소년의 성격이나 환경을 보아 앞으로 형벌 법령에 저촉되는 행위를 할 우려가 있어야 합니다. 가출 사실 하나로 세 요건을 모두 충족했다고 말할 수 없는 구조입니다.</w:t>
      </w:r>
    </w:p>
    <w:p>
      <w:pPr>
        <w:spacing w:after="140"/>
      </w:pPr>
      <w:r>
        <w:rPr>
          <w:rFonts w:ascii="Pretendard" w:hAnsi="Pretendard" w:eastAsia="Pretendard" w:cs="Pretendard"/>
          <w:b w:val="0"/>
          <w:sz w:val="22"/>
        </w:rPr>
        <w:t>여기서 장래의 우려는 ‘누군가 이 청소년에게 나쁜 일을 할 것 같다’는 뜻과 다릅니다. ‘이 청소년이 앞으로 범죄에 해당하는 행동을 할까’를 판단하는 요건입니다. 피해를 입을 위험과 함께 나타날 수는 있지만, 둘을 같은 것으로 놓아서는 안 됩니다. 뒤에서 실제 송치 사례를 볼 때도 어떤 위험을 말하는지 확인하겠습니다.</w:t>
      </w:r>
    </w:p>
    <w:p>
      <w:pPr>
        <w:spacing w:after="140"/>
      </w:pPr>
      <w:r>
        <w:rPr>
          <w:rFonts w:ascii="Pretendard" w:hAnsi="Pretendard" w:eastAsia="Pretendard" w:cs="Pretendard"/>
          <w:b w:val="0"/>
          <w:sz w:val="22"/>
        </w:rPr>
        <w:t>누가 판단하느냐도 단계로 나누어야 합니다. 경찰서장이 송치할 때 먼저 이 요건에 해당하는지 판단합니다. 소년부에 온 뒤에는 판사가 조사와 심리를 통해 요건과 보호처분의 필요성을 판단합니다. 경찰이 판단할 부분이 전혀 없는 것도 아니고, 경찰의 송치만으로 보호처분이 확정되는 것도 아닙니다. 먼저 법정 우범사유의 내용을 구체적으로 보겠습니다.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제4조 제1항 제3호의 문장에는 법정 사유와 장래의 우려가 접속되어 있다. 제4조 제2항의 송치 단계와 제3조·제19조·제29조·제32조의 법원 판단 단계를 구별했다.</w:t>
      </w:r>
    </w:p>
    <w:p>
      <w:pPr>
        <w:spacing w:after="140"/>
      </w:pPr>
      <w:r>
        <w:rPr>
          <w:rFonts w:ascii="Pretendard" w:hAnsi="Pretendard" w:eastAsia="Pretendard" w:cs="Pretendard"/>
          <w:b w:val="0"/>
          <w:sz w:val="19"/>
        </w:rPr>
        <w:t>설명 범위  ‘판사만 장래 우려를 판단한다’ 또는 ‘송치됐으므로 우범소년 요건이 최종 확정됐다’고 설명하지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우리 논제의 가출은 이 가운데 두 번째 요건에 들어갑니다. 법은 가출을 어떻게 적고 있을까요?</w:t>
      </w:r>
    </w:p>
    <w:p>
      <w:pPr>
        <w:spacing w:after="120"/>
      </w:pPr>
      <w:hyperlink r:id="rId11">
        <w:r>
          <w:rPr>
            <w:rFonts w:ascii="Pretendard" w:hAnsi="Pretendard" w:eastAsia="Pretendard" w:cs="Pretendard"/>
            <w:sz w:val="19"/>
            <w:u w:val="single"/>
          </w:rPr>
          <w:t>[L1] 국가법령정보센터, 소년법</w:t>
        </w:r>
      </w:hyperlink>
    </w:p>
    <w:p>
      <w:r>
        <w:rPr>
          <w:rFonts w:ascii="Pretendard" w:hAnsi="Pretendard" w:eastAsia="Pretendard" w:cs="Pretendard"/>
        </w:rPr>
        <w:br w:type="page"/>
      </w:r>
    </w:p>
    <w:p>
      <w:pPr>
        <w:pStyle w:val="Heading1"/>
      </w:pPr>
      <w:r>
        <w:rPr>
          <w:rFonts w:ascii="Pretendard" w:hAnsi="Pretendard" w:eastAsia="Pretendard" w:cs="Pretendard"/>
        </w:rPr>
        <w:t>03  가출과 법정 우범사유</w:t>
      </w:r>
    </w:p>
    <w:p>
      <w:pPr>
        <w:spacing w:after="140"/>
      </w:pPr>
      <w:r>
        <w:rPr>
          <w:rFonts w:ascii="Pretendard" w:hAnsi="Pretendard" w:eastAsia="Pretendard" w:cs="Pretendard"/>
          <w:b w:val="0"/>
          <w:sz w:val="18"/>
        </w:rPr>
        <w:t>PPT 3  |  약 2분  |  근거 L1, S1, S2</w:t>
      </w:r>
    </w:p>
    <w:p>
      <w:pPr>
        <w:spacing w:after="140"/>
      </w:pPr>
      <w:r>
        <w:rPr>
          <w:rFonts w:ascii="Pretendard" w:hAnsi="Pretendard" w:eastAsia="Pretendard" w:cs="Pretendard"/>
          <w:b/>
          <w:sz w:val="21"/>
        </w:rPr>
        <w:t>가출의 법정 문구와 성벽의 뜻을 풀고, 가출 이유를 확인할 필요를 설명한다.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법정 우범사유는 화면의 세 가지입니다. 가목은 집단적으로 몰려다니며 주변에 불안감을 주는 성벽, 나목은 정당한 이유 없는 가출, 다목은 음주 소란이나 유해환경에 접하는 성벽을 말합니다. 여기서 성벽은 성적인 습성이라는 뜻으로 읽으면 안 됩니다. 이 문맥에서는 행동상의 버릇이나 성향을 뜻합니다. 법에 횟수 기준이 적혀 있는 것은 아닙니다.</w:t>
      </w:r>
    </w:p>
    <w:p>
      <w:pPr>
        <w:spacing w:after="140"/>
      </w:pPr>
      <w:r>
        <w:rPr>
          <w:rFonts w:ascii="Pretendard" w:hAnsi="Pretendard" w:eastAsia="Pretendard" w:cs="Pretendard"/>
          <w:b w:val="0"/>
          <w:sz w:val="22"/>
        </w:rPr>
        <w:t>가출 부분에는 분명히 ‘정당한 이유 없이’라는 말이 있습니다. 따라서 단순히 집에 있지 않다는 사실뿐 아니라 왜 나왔는지도 확인해야 합니다. 특히 뒤의 실제 자료에는 아버지의 폭력이나 부모의 다툼을 피한 사정이 등장합니다. 집으로 돌려보내는 것이 안전한지와 가출이 법정 사유에 해당하는지는 이런 배경을 빼고 설명하기 어렵습니다.</w:t>
      </w:r>
    </w:p>
    <w:p>
      <w:pPr>
        <w:spacing w:after="140"/>
      </w:pPr>
      <w:r>
        <w:rPr>
          <w:rFonts w:ascii="Pretendard" w:hAnsi="Pretendard" w:eastAsia="Pretendard" w:cs="Pretendard"/>
          <w:b w:val="0"/>
          <w:sz w:val="22"/>
        </w:rPr>
        <w:t>다만 공개된 두 사례 요약에는 법원이 그 가출 이유를 법적으로 어떻게 평가했는지 상세한 판단이 없습니다. 그래서 폭력이 있었으니 반드시 요건에서 제외된다고 결론 내리거나, 시설에 갔으니 정당한 이유가 없었다고 거꾸로 추정하지 않겠습니다. 우리가 분명히 할 수 있는 것은 가출의 경위와 장래 범법 우려를 각각 확인해야 한다는 점입니다.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제4조 제1항 제3호 가·나·다목 원문을 화면에 제시한다. S1·S2는 가정폭력 배경을 보여 주지만 ‘정당한 이유’의 기준을 확립한 판례는 아니다.</w:t>
      </w:r>
    </w:p>
    <w:p>
      <w:pPr>
        <w:spacing w:after="140"/>
      </w:pPr>
      <w:r>
        <w:rPr>
          <w:rFonts w:ascii="Pretendard" w:hAnsi="Pretendard" w:eastAsia="Pretendard" w:cs="Pretendard"/>
          <w:b w:val="0"/>
          <w:sz w:val="19"/>
        </w:rPr>
        <w:t>설명 범위  ‘정당한 이유 없이’에 법적 근거가 없다고 쓰지 않는다. 법에는 문구가 있고, 이 사례들에서 구체적 인정·배척 이유가 공개되지 않았다는 뜻이다.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이제 가출 뒤 위험해진 상황에서, 피해 위험과 장래 범법 우려를 어떻게 나누어 볼지 살펴보겠습니다.</w:t>
      </w:r>
    </w:p>
    <w:p>
      <w:pPr>
        <w:spacing w:after="120"/>
      </w:pPr>
      <w:hyperlink r:id="rId11">
        <w:r>
          <w:rPr>
            <w:rFonts w:ascii="Pretendard" w:hAnsi="Pretendard" w:eastAsia="Pretendard" w:cs="Pretendard"/>
            <w:sz w:val="19"/>
            <w:u w:val="single"/>
          </w:rPr>
          <w:t>[L1] 국가법령정보센터, 소년법</w:t>
        </w:r>
      </w:hyperlink>
    </w:p>
    <w:p>
      <w:pPr>
        <w:spacing w:after="120"/>
      </w:pPr>
      <w:hyperlink r:id="rId12">
        <w:r>
          <w:rPr>
            <w:rFonts w:ascii="Pretendard" w:hAnsi="Pretendard" w:eastAsia="Pretendard" w:cs="Pretendard"/>
            <w:sz w:val="19"/>
            <w:u w:val="single"/>
          </w:rPr>
          <w:t>[S1] 법원행정처, 『소년 통고 실무(2024년 개정판)』</w:t>
        </w:r>
      </w:hyperlink>
    </w:p>
    <w:p>
      <w:pPr>
        <w:spacing w:after="120"/>
      </w:pPr>
      <w:hyperlink r:id="rId13">
        <w:r>
          <w:rPr>
            <w:rFonts w:ascii="Pretendard" w:hAnsi="Pretendard" w:eastAsia="Pretendard" w:cs="Pretendard"/>
            <w:sz w:val="19"/>
            <w:u w:val="single"/>
          </w:rPr>
          <w:t>[S2] 『우범소년 규정 폐지 필요성 토론회』 자료집(2021.3.9.)</w:t>
        </w:r>
      </w:hyperlink>
    </w:p>
    <w:p>
      <w:r>
        <w:rPr>
          <w:rFonts w:ascii="Pretendard" w:hAnsi="Pretendard" w:eastAsia="Pretendard" w:cs="Pretendard"/>
        </w:rPr>
        <w:br w:type="page"/>
      </w:r>
    </w:p>
    <w:p>
      <w:pPr>
        <w:pStyle w:val="Heading1"/>
      </w:pPr>
      <w:r>
        <w:rPr>
          <w:rFonts w:ascii="Pretendard" w:hAnsi="Pretendard" w:eastAsia="Pretendard" w:cs="Pretendard"/>
        </w:rPr>
        <w:t>04  성착취 피해 위험과 장래 범법 우려</w:t>
      </w:r>
    </w:p>
    <w:p>
      <w:pPr>
        <w:spacing w:after="140"/>
      </w:pPr>
      <w:r>
        <w:rPr>
          <w:rFonts w:ascii="Pretendard" w:hAnsi="Pretendard" w:eastAsia="Pretendard" w:cs="Pretendard"/>
          <w:b w:val="0"/>
          <w:sz w:val="18"/>
        </w:rPr>
        <w:t>PPT 4  |  약 2분  |  근거 L1, S2</w:t>
      </w:r>
    </w:p>
    <w:p>
      <w:pPr>
        <w:spacing w:after="140"/>
      </w:pPr>
      <w:r>
        <w:rPr>
          <w:rFonts w:ascii="Pretendard" w:hAnsi="Pretendard" w:eastAsia="Pretendard" w:cs="Pretendard"/>
          <w:b/>
          <w:sz w:val="21"/>
        </w:rPr>
        <w:t>피해 가능성과 청소년의 장래 행위를 구분하여 사례를 읽을 기준을 만든다.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왼쪽 질문은 ‘이 청소년이 성착취를 당할 위험이 있는가’입니다. 성인이 숙식이나 돈을 빌미로 접근하거나, 이미 피해를 입은 청소년이 다시 피해를 입을 가능성 등을 생각할 수 있습니다. 이때 확인할 것은 가해자와의 접촉을 끊을 수 있는지, 안전한 거처와 생계, 상담과 치료가 필요한지입니다. 이것은 피해를 막고 회복을 돕기 위한 판단입니다.</w:t>
      </w:r>
    </w:p>
    <w:p>
      <w:pPr>
        <w:spacing w:after="140"/>
      </w:pPr>
      <w:r>
        <w:rPr>
          <w:rFonts w:ascii="Pretendard" w:hAnsi="Pretendard" w:eastAsia="Pretendard" w:cs="Pretendard"/>
          <w:b w:val="0"/>
          <w:sz w:val="22"/>
        </w:rPr>
        <w:t>오른쪽 질문은 다릅니다. ‘이 청소년이 앞으로 범죄에 해당하는 행동을 할 우려가 있는가’입니다. 이는 소년법상 우범소년 요건에 관한 질문입니다. 어떤 행위가 우려되는지, 그 판단을 뒷받침하는 구체적 사정이 무엇인지가 필요합니다. 피해를 입을 것 같다는 설명만을 그대로 오른쪽의 근거로 옮길 수는 없습니다.</w:t>
      </w:r>
    </w:p>
    <w:p>
      <w:pPr>
        <w:spacing w:after="140"/>
      </w:pPr>
      <w:r>
        <w:rPr>
          <w:rFonts w:ascii="Pretendard" w:hAnsi="Pretendard" w:eastAsia="Pretendard" w:cs="Pretendard"/>
          <w:b w:val="0"/>
          <w:sz w:val="22"/>
        </w:rPr>
        <w:t>뒤에 볼 자료에는 ‘성범죄 연루 우려’라는 표현이 나옵니다. 일상적으로는 넓게 쓰일 수 있는 말이지만, 강의에서는 누구의 어떤 위험인지 풀어서 읽어야 합니다. 피해를 당할 위험을 말한 것인지, 청소년 자신의 장래 행동을 말한 것인지 확인하는 겁니다. 두 가지 지위가 언제나 양립할 수 없다는 이야기가 아니라, 두 판단에 필요한 근거가 다르다는 뜻입니다.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오른쪽은 소년법 제4조 제1항 제3호의 문장에 근거한다. 왼쪽의 보호 필요 항목은 피해지원 관점의 설명이며, 모든 사건에 동일하게 필요한 조치 목록이라는 뜻은 아니다.</w:t>
      </w:r>
    </w:p>
    <w:p>
      <w:pPr>
        <w:spacing w:after="140"/>
      </w:pPr>
      <w:r>
        <w:rPr>
          <w:rFonts w:ascii="Pretendard" w:hAnsi="Pretendard" w:eastAsia="Pretendard" w:cs="Pretendard"/>
          <w:b w:val="0"/>
          <w:sz w:val="19"/>
        </w:rPr>
        <w:t>설명 범위  ‘피해자이면 어떤 경우에도 우범소년일 수 없다’는 일반 명제로 확대하지 않는다. ‘성범죄 연루’만으로 성범죄 가해를 인정하지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이 구별을 실제 절차에서 누가 확인하고, 소년부에는 어떤 경로로 사건이 들어가는지 보겠습니다.</w:t>
      </w:r>
    </w:p>
    <w:p>
      <w:pPr>
        <w:spacing w:after="120"/>
      </w:pPr>
      <w:hyperlink r:id="rId11">
        <w:r>
          <w:rPr>
            <w:rFonts w:ascii="Pretendard" w:hAnsi="Pretendard" w:eastAsia="Pretendard" w:cs="Pretendard"/>
            <w:sz w:val="19"/>
            <w:u w:val="single"/>
          </w:rPr>
          <w:t>[L1] 국가법령정보센터, 소년법</w:t>
        </w:r>
      </w:hyperlink>
    </w:p>
    <w:p>
      <w:pPr>
        <w:spacing w:after="120"/>
      </w:pPr>
      <w:hyperlink r:id="rId13">
        <w:r>
          <w:rPr>
            <w:rFonts w:ascii="Pretendard" w:hAnsi="Pretendard" w:eastAsia="Pretendard" w:cs="Pretendard"/>
            <w:sz w:val="19"/>
            <w:u w:val="single"/>
          </w:rPr>
          <w:t>[S2] 『우범소년 규정 폐지 필요성 토론회』 자료집(2021.3.9.)</w:t>
        </w:r>
      </w:hyperlink>
    </w:p>
    <w:p>
      <w:r>
        <w:rPr>
          <w:rFonts w:ascii="Pretendard" w:hAnsi="Pretendard" w:eastAsia="Pretendard" w:cs="Pretendard"/>
        </w:rPr>
        <w:br w:type="page"/>
      </w:r>
    </w:p>
    <w:p>
      <w:pPr>
        <w:pStyle w:val="Heading1"/>
      </w:pPr>
      <w:r>
        <w:rPr>
          <w:rFonts w:ascii="Pretendard" w:hAnsi="Pretendard" w:eastAsia="Pretendard" w:cs="Pretendard"/>
        </w:rPr>
        <w:t>05  우범소년 사건의 송치·통고 경로</w:t>
      </w:r>
    </w:p>
    <w:p>
      <w:pPr>
        <w:spacing w:after="140"/>
      </w:pPr>
      <w:r>
        <w:rPr>
          <w:rFonts w:ascii="Pretendard" w:hAnsi="Pretendard" w:eastAsia="Pretendard" w:cs="Pretendard"/>
          <w:b w:val="0"/>
          <w:sz w:val="18"/>
        </w:rPr>
        <w:t>PPT 5  |  약 2분  |  근거 L1, L2</w:t>
      </w:r>
    </w:p>
    <w:p>
      <w:pPr>
        <w:spacing w:after="140"/>
      </w:pPr>
      <w:r>
        <w:rPr>
          <w:rFonts w:ascii="Pretendard" w:hAnsi="Pretendard" w:eastAsia="Pretendard" w:cs="Pretendard"/>
          <w:b/>
          <w:sz w:val="21"/>
        </w:rPr>
        <w:t>경찰의 송치와 보호자·기관장의 통고를 구별하고 법원 판단을 연결한다.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우범소년 사건의 소년부 진입 경로는 여기서 두 가지를 보겠습니다. 경찰서장은 촉법소년 또는 우범소년에 해당하는 소년이 있으면 직접 관할 소년부에 송치해야 합니다. 보호자나 학교·사회복리시설·보호관찰소의 장은 제4조 제1항의 소년을 발견하면 소년부에 통고할 수 있습니다. 둘 다 소년부로 이어지지만, 주체와 조문의 표현이 다릅니다.</w:t>
      </w:r>
    </w:p>
    <w:p>
      <w:pPr>
        <w:spacing w:after="140"/>
      </w:pPr>
      <w:r>
        <w:rPr>
          <w:rFonts w:ascii="Pretendard" w:hAnsi="Pretendard" w:eastAsia="Pretendard" w:cs="Pretendard"/>
          <w:b w:val="0"/>
          <w:sz w:val="22"/>
        </w:rPr>
        <w:t>송치 의무는 먼저 우범소년 요건에 해당한다는 판단을 전제로 합니다. ‘성착취가 걱정된다’는 말만으로 이 전제를 생략할 수 없습니다. 학교장 통고 역시 학교가 최종 처분을 정하는 절차가 아닙니다. 사건이 들어오면 법원이 사실과 환경을 조사하고 심리 및 처분 필요성을 판단합니다. 심리를 시작하지 않거나 보호처분을 하지 않는 결정도 제도 안에 있습니다.</w:t>
      </w:r>
    </w:p>
    <w:p>
      <w:pPr>
        <w:spacing w:after="140"/>
      </w:pPr>
      <w:r>
        <w:rPr>
          <w:rFonts w:ascii="Pretendard" w:hAnsi="Pretendard" w:eastAsia="Pretendard" w:cs="Pretendard"/>
          <w:b w:val="0"/>
          <w:sz w:val="22"/>
        </w:rPr>
        <w:t>또 소년부에 사건을 보내는 일과 특정 시설에 위탁하는 일은 구별해야 합니다. 절차 중의 임시위탁과 최종 보호처분도 서로 다릅니다. 뒤의 사례에서 분류심사원과 6호·7호 처분이 연이어 나오는 이유를 이 순서로 이해하면 됩니다. 이제 현장에서 왜 이 경로를 보호 수단으로 찾는지, 구체적인 어려움을 보겠습니다.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제4조 제2항의 ‘송치하여야 한다’와 제3항의 ‘통고할 수 있다’를 구별한다. 법원 판단은 제3조·제19조·제29조·제32조를 함께 확인했다.</w:t>
      </w:r>
    </w:p>
    <w:p>
      <w:pPr>
        <w:spacing w:after="140"/>
      </w:pPr>
      <w:r>
        <w:rPr>
          <w:rFonts w:ascii="Pretendard" w:hAnsi="Pretendard" w:eastAsia="Pretendard" w:cs="Pretendard"/>
          <w:b w:val="0"/>
          <w:sz w:val="19"/>
        </w:rPr>
        <w:t>설명 범위  경찰의 피해 신고 접수부터 곧바로 보호처분이 결정되는 단일 절차로 그리지 않는다. 임시위탁은 최종 7호 처분과 동일하지 않다.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법정요건은 이렇습니다. 그런데 현장에서는 왜 피해청소년에 대해서도 송치가 거론될까요?</w:t>
      </w:r>
    </w:p>
    <w:p>
      <w:pPr>
        <w:spacing w:after="120"/>
      </w:pPr>
      <w:hyperlink r:id="rId11">
        <w:r>
          <w:rPr>
            <w:rFonts w:ascii="Pretendard" w:hAnsi="Pretendard" w:eastAsia="Pretendard" w:cs="Pretendard"/>
            <w:sz w:val="19"/>
            <w:u w:val="single"/>
          </w:rPr>
          <w:t>[L1] 국가법령정보센터, 소년법</w:t>
        </w:r>
      </w:hyperlink>
    </w:p>
    <w:p>
      <w:pPr>
        <w:spacing w:after="120"/>
      </w:pPr>
      <w:hyperlink r:id="rId14">
        <w:r>
          <w:rPr>
            <w:rFonts w:ascii="Pretendard" w:hAnsi="Pretendard" w:eastAsia="Pretendard" w:cs="Pretendard"/>
            <w:sz w:val="19"/>
            <w:u w:val="single"/>
          </w:rPr>
          <w:t>[L2] 국가법령정보센터, 소년법 제32조</w:t>
        </w:r>
      </w:hyperlink>
    </w:p>
    <w:p>
      <w:r>
        <w:rPr>
          <w:rFonts w:ascii="Pretendard" w:hAnsi="Pretendard" w:eastAsia="Pretendard" w:cs="Pretendard"/>
        </w:rPr>
        <w:br w:type="page"/>
      </w:r>
    </w:p>
    <w:p>
      <w:pPr>
        <w:pStyle w:val="Heading1"/>
      </w:pPr>
      <w:r>
        <w:rPr>
          <w:rFonts w:ascii="Pretendard" w:hAnsi="Pretendard" w:eastAsia="Pretendard" w:cs="Pretendard"/>
        </w:rPr>
        <w:t>06  반복 피해와 지원 연결의 어려움</w:t>
      </w:r>
    </w:p>
    <w:p>
      <w:pPr>
        <w:spacing w:after="140"/>
      </w:pPr>
      <w:r>
        <w:rPr>
          <w:rFonts w:ascii="Pretendard" w:hAnsi="Pretendard" w:eastAsia="Pretendard" w:cs="Pretendard"/>
          <w:b w:val="0"/>
          <w:sz w:val="18"/>
        </w:rPr>
        <w:t>PPT 6  |  약 2분 30초  |  근거 S3, S5</w:t>
      </w:r>
    </w:p>
    <w:p>
      <w:pPr>
        <w:spacing w:after="140"/>
      </w:pPr>
      <w:r>
        <w:rPr>
          <w:rFonts w:ascii="Pretendard" w:hAnsi="Pretendard" w:eastAsia="Pretendard" w:cs="Pretendard"/>
          <w:b/>
          <w:sz w:val="21"/>
        </w:rPr>
        <w:t>실제 면접자료로 개입의 필요성과 지원 지속의 어려움을 환기한다.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2025년 한국여성정책연구원 연구는 경찰관과 피해지원 종사자 각각 10명을 면접했습니다. 경찰 면접에서는 같은 청소년이 다시 피해를 입어 경찰을 찾는 상황과, 가출 등 다른 사유를 통해서라도 개입하려는 고민이 나타납니다. 이 대목은 위험을 아는데 일시적인 조치만으로는 걱정이 끝나지 않는다는 현장의 인식을 보여 줍니다.</w:t>
      </w:r>
    </w:p>
    <w:p>
      <w:pPr>
        <w:spacing w:after="140"/>
      </w:pPr>
      <w:r>
        <w:rPr>
          <w:rFonts w:ascii="Pretendard" w:hAnsi="Pretendard" w:eastAsia="Pretendard" w:cs="Pretendard"/>
          <w:b w:val="0"/>
          <w:sz w:val="22"/>
        </w:rPr>
        <w:t>지원 연결도 자동으로 이루어지지는 않습니다. 같은 연구에는 피해 사실의 통보가 늦어 지원 시점을 놓치거나, 청소년 또는 보호자가 상담과 교육을 받아들이지 않아 관계를 이어 가기 어려운 사정이 나옵니다. 이런 문제를 청소년이 말을 안 듣기 때문이라고만 읽으면 부족합니다. 지원이 얼마나 빨리 시작됐는지, 안전한 생활 조건과 신뢰가 만들어졌는지도 함께 질문해야 합니다.</w:t>
      </w:r>
    </w:p>
    <w:p>
      <w:pPr>
        <w:spacing w:after="140"/>
      </w:pPr>
      <w:r>
        <w:rPr>
          <w:rFonts w:ascii="Pretendard" w:hAnsi="Pretendard" w:eastAsia="Pretendard" w:cs="Pretendard"/>
          <w:b w:val="0"/>
          <w:sz w:val="22"/>
        </w:rPr>
        <w:t>여기에서 소년사법의 개입을 지지하는 문제의식이 나옵니다. 당장의 접촉과 이탈을 막아 보호를 지속할 수 있지 않느냐는 것입니다. 동시에 그 수단이 실제 피해를 줄이는지, 피해자에게 어떤 부담을 주는지 따져야 합니다. 면접에서 필요하다고 말한 것과 효과가 입증된 것은 다릅니다. 다음 사례에서는 실제로 어떤 사정 때문에 시설 위탁까지 이어졌는지 보겠습니다.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S3 인쇄면 190–191쪽은 반복 피해와 우범소년 개입 논의, 206–208쪽은 통보 및 지원 연계의 어려움을 확인할 위치다. 질적 면접이므로 전국 발생률이나 인과 효과를 제시하지 않는다.</w:t>
      </w:r>
    </w:p>
    <w:p>
      <w:pPr>
        <w:spacing w:after="140"/>
      </w:pPr>
      <w:r>
        <w:rPr>
          <w:rFonts w:ascii="Pretendard" w:hAnsi="Pretendard" w:eastAsia="Pretendard" w:cs="Pretendard"/>
          <w:b w:val="0"/>
          <w:sz w:val="19"/>
        </w:rPr>
        <w:t>설명 범위  ‘피해지원은 전부 자발적이므로 아무 조치도 못 한다’고 일반화하지 않는다. 이 자료에서 확인한 것은 특정 지원 과정의 어려움이다.</w:t>
      </w:r>
    </w:p>
    <w:p>
      <w:pPr>
        <w:spacing w:after="140"/>
      </w:pPr>
      <w:r>
        <w:rPr>
          <w:rFonts w:ascii="Pretendard" w:hAnsi="Pretendard" w:eastAsia="Pretendard" w:cs="Pretendard"/>
          <w:b w:val="0"/>
          <w:sz w:val="19"/>
        </w:rPr>
        <w:t>시간이 있으면: 2024년 거제 사건 보도에는 가출 집단 내 성매매 강요·수익 착취 수사 과정에서 피해자가 가해자를 두둔하거나 진술에 소극적이었던 사정이 나온다. 겉으로 도움을 청하지 않는 모습만으로 피해나 보호 필요가 작다고 볼 수 없다는 설명에 쓴다. 이 보도는 우범소년 송치의 효과를 보여 주는 자료가 아니다.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첫 사례에는 이미 쉼터와 아동보호전문기관이 등장합니다. 그런데도 어떤 경로로 시설 위탁까지 갔을까요?</w:t>
      </w:r>
    </w:p>
    <w:p>
      <w:pPr>
        <w:spacing w:after="120"/>
      </w:pPr>
      <w:hyperlink r:id="rId15">
        <w:r>
          <w:rPr>
            <w:rFonts w:ascii="Pretendard" w:hAnsi="Pretendard" w:eastAsia="Pretendard" w:cs="Pretendard"/>
            <w:sz w:val="19"/>
            <w:u w:val="single"/>
          </w:rPr>
          <w:t>[S3] 박상민·김효정·정다은·이은심, 『성착취 피해 아동·청소년의 법적 지위 변화에 따른 법제도 운영 현황과 과제』, 한국여성정책연구원(2025)</w:t>
        </w:r>
      </w:hyperlink>
    </w:p>
    <w:p>
      <w:pPr>
        <w:spacing w:after="120"/>
      </w:pPr>
      <w:hyperlink r:id="rId16">
        <w:r>
          <w:rPr>
            <w:rFonts w:ascii="Pretendard" w:hAnsi="Pretendard" w:eastAsia="Pretendard" w:cs="Pretendard"/>
            <w:sz w:val="19"/>
            <w:u w:val="single"/>
          </w:rPr>
          <w:t>[S5] 연합뉴스, 거제 가출 청소년 성착취 사건 보도(2024.7.24.)</w:t>
        </w:r>
      </w:hyperlink>
    </w:p>
    <w:p>
      <w:r>
        <w:rPr>
          <w:rFonts w:ascii="Pretendard" w:hAnsi="Pretendard" w:eastAsia="Pretendard" w:cs="Pretendard"/>
        </w:rPr>
        <w:br w:type="page"/>
      </w:r>
    </w:p>
    <w:p>
      <w:pPr>
        <w:pStyle w:val="Heading1"/>
      </w:pPr>
      <w:r>
        <w:rPr>
          <w:rFonts w:ascii="Pretendard" w:hAnsi="Pretendard" w:eastAsia="Pretendard" w:cs="Pretendard"/>
        </w:rPr>
        <w:t>07  가정폭력·장기가출 뒤 시설 위탁으로 이어진 사례</w:t>
      </w:r>
    </w:p>
    <w:p>
      <w:pPr>
        <w:spacing w:after="140"/>
      </w:pPr>
      <w:r>
        <w:rPr>
          <w:rFonts w:ascii="Pretendard" w:hAnsi="Pretendard" w:eastAsia="Pretendard" w:cs="Pretendard"/>
          <w:b w:val="0"/>
          <w:sz w:val="18"/>
        </w:rPr>
        <w:t>PPT 7  |  약 2분 30초  |  근거 S1, L2</w:t>
      </w:r>
    </w:p>
    <w:p>
      <w:pPr>
        <w:spacing w:after="140"/>
      </w:pPr>
      <w:r>
        <w:rPr>
          <w:rFonts w:ascii="Pretendard" w:hAnsi="Pretendard" w:eastAsia="Pretendard" w:cs="Pretendard"/>
          <w:b/>
          <w:sz w:val="21"/>
        </w:rPr>
        <w:t>기존 지원, 연락 단절, 법원 개입, 설명된 처분 이유를 순서대로 보여 준다.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이 사례는 법원행정처 실무자료에 실린 학교장 통고 사건입니다. 청소년은 음주 신고 뒤 귀가를 거부해 쉼터에 들어갔습니다. 임시퇴소 뒤 학교와 연락이 끊겼고, 아버지와의 갈등 속에서 가출이 길어졌습니다. 아버지의 폭력 때문에 아동보호전문기관의 사례관리도 진행 중이었습니다. 단순히 ‘집을 나간 아이’라는 말로는 이 배경이 설명되지 않습니다.</w:t>
      </w:r>
    </w:p>
    <w:p>
      <w:pPr>
        <w:spacing w:after="140"/>
      </w:pPr>
      <w:r>
        <w:rPr>
          <w:rFonts w:ascii="Pretendard" w:hAnsi="Pretendard" w:eastAsia="Pretendard" w:cs="Pretendard"/>
          <w:b w:val="0"/>
          <w:sz w:val="22"/>
        </w:rPr>
        <w:t>이후 아버지뿐 아니라 소년사건조사관의 전화와 문자에도 응답하지 않았습니다. 자료에는 동행영장이 발부되고 소년분류심사원에 임시위탁된 과정이 나옵니다. 처분 이유로 설명된 것은 조건만남 등을 통해 가출 생활을 유지할 가능성이 높다는 점입니다. 결과는 소년보호시설 감호위탁과 장기보호관찰입니다. 현행 처분 명칭과 대조하면 6호와 5호에 해당합니다.</w:t>
      </w:r>
    </w:p>
    <w:p>
      <w:pPr>
        <w:spacing w:after="140"/>
      </w:pPr>
      <w:r>
        <w:rPr>
          <w:rFonts w:ascii="Pretendard" w:hAnsi="Pretendard" w:eastAsia="Pretendard" w:cs="Pretendard"/>
          <w:b w:val="0"/>
          <w:sz w:val="22"/>
        </w:rPr>
        <w:t>이 사례는 위험한 생활을 중단시키기 위해 신병을 확보하고 거처를 정하는 개입이 실제 사용된 모습을 보여 줍니다. 그러나 자료만으로 앞선 지원이 왜 충분하지 못했는지, 위탁 뒤 피해가 줄었는지까지 알 수는 없습니다. 무엇이 부족했을지 상상으로 채우기보다, 어떤 주거·생계·보호의 필요에 어떤 경로가 응답했는지 비교해 보겠습니다. ‘정당한 이유 없는 가출’에 대한 상세한 법원 판단도 이 요약에는 없습니다.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S1 인쇄면 33쪽의 ‘비행사실’, ‘특이사항’, ‘처분내용’을 함께 읽는다. 화면의 5호·6호 번호는 원자료의 처분 명칭을 현행 제32조와 대조하여 표기했다.</w:t>
      </w:r>
    </w:p>
    <w:p>
      <w:pPr>
        <w:spacing w:after="140"/>
      </w:pPr>
      <w:r>
        <w:rPr>
          <w:rFonts w:ascii="Pretendard" w:hAnsi="Pretendard" w:eastAsia="Pretendard" w:cs="Pretendard"/>
          <w:b w:val="0"/>
          <w:sz w:val="19"/>
        </w:rPr>
        <w:t>설명 범위  기존 기관이 등장한다는 사실을 곧바로 복지지원 실패의 증거로 쓰지 않는다. 조건만남 ‘정황’을 확정된 성범죄 가해나 확정된 피해 사실로 바꾸지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다음 사례는 비슷하게 가정폭력과 가출이 나오지만, 치료 필요성이 거론되며 7호 처분으로 이어졌습니다.</w:t>
      </w:r>
    </w:p>
    <w:p>
      <w:pPr>
        <w:spacing w:after="120"/>
      </w:pPr>
      <w:hyperlink r:id="rId14">
        <w:r>
          <w:rPr>
            <w:rFonts w:ascii="Pretendard" w:hAnsi="Pretendard" w:eastAsia="Pretendard" w:cs="Pretendard"/>
            <w:sz w:val="19"/>
            <w:u w:val="single"/>
          </w:rPr>
          <w:t>[L2] 국가법령정보센터, 소년법 제32조</w:t>
        </w:r>
      </w:hyperlink>
    </w:p>
    <w:p>
      <w:pPr>
        <w:spacing w:after="120"/>
      </w:pPr>
      <w:hyperlink r:id="rId12">
        <w:r>
          <w:rPr>
            <w:rFonts w:ascii="Pretendard" w:hAnsi="Pretendard" w:eastAsia="Pretendard" w:cs="Pretendard"/>
            <w:sz w:val="19"/>
            <w:u w:val="single"/>
          </w:rPr>
          <w:t>[S1] 법원행정처, 『소년 통고 실무(2024년 개정판)』</w:t>
        </w:r>
      </w:hyperlink>
    </w:p>
    <w:p>
      <w:r>
        <w:rPr>
          <w:rFonts w:ascii="Pretendard" w:hAnsi="Pretendard" w:eastAsia="Pretendard" w:cs="Pretendard"/>
        </w:rPr>
        <w:br w:type="page"/>
      </w:r>
    </w:p>
    <w:p>
      <w:pPr>
        <w:pStyle w:val="Heading1"/>
      </w:pPr>
      <w:r>
        <w:rPr>
          <w:rFonts w:ascii="Pretendard" w:hAnsi="Pretendard" w:eastAsia="Pretendard" w:cs="Pretendard"/>
        </w:rPr>
        <w:t>08  성범죄 연루 우려가 제시된 송치 사례</w:t>
      </w:r>
    </w:p>
    <w:p>
      <w:pPr>
        <w:spacing w:after="140"/>
      </w:pPr>
      <w:r>
        <w:rPr>
          <w:rFonts w:ascii="Pretendard" w:hAnsi="Pretendard" w:eastAsia="Pretendard" w:cs="Pretendard"/>
          <w:b w:val="0"/>
          <w:sz w:val="18"/>
        </w:rPr>
        <w:t>PPT 8  |  약 2분 30초  |  근거 S2, L2</w:t>
      </w:r>
    </w:p>
    <w:p>
      <w:pPr>
        <w:spacing w:after="140"/>
      </w:pPr>
      <w:r>
        <w:rPr>
          <w:rFonts w:ascii="Pretendard" w:hAnsi="Pretendard" w:eastAsia="Pretendard" w:cs="Pretendard"/>
          <w:b/>
          <w:sz w:val="21"/>
        </w:rPr>
        <w:t>송치의 사정과 7호 선택의 사정을 분리해, 7호 처분이 내려진 이유를 설명한다.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이것은 2021년 토론회에서 강정은 변호사가 자신이 수행한 사건으로 보고한 사례입니다. B는 부모의 다툼을 피해 어릴 때부터 가출했고, 가정폭력 위험으로 아동보호전문기관과 구청의 사례관리를 받고 있었습니다. 아버지의 신고 뒤 경찰서장이 소년부로 송치했습니다. 자료에는 가출, 부모 동의 없는 소액결제, 성인 남성과의 접촉, 그리고 ‘성범죄 연루 우려’라는 표현이 제시됩니다.</w:t>
      </w:r>
    </w:p>
    <w:p>
      <w:pPr>
        <w:spacing w:after="140"/>
      </w:pPr>
      <w:r>
        <w:rPr>
          <w:rFonts w:ascii="Pretendard" w:hAnsi="Pretendard" w:eastAsia="Pretendard" w:cs="Pretendard"/>
          <w:b w:val="0"/>
          <w:sz w:val="22"/>
        </w:rPr>
        <w:t>왜 7호 처분이었느냐는 질문에는 보고에 있는 만큼 답할 수 있습니다. 부모가 B를 보호하기 어렵다는 점, 부모가 시설처분을 원한 점, B에게 치료가 필요하다는 점 등이 고려되었다고 설명되어 있습니다. 7호는 병원·요양소 또는 의료재활소년원에 위탁하는 처분입니다. 숫자가 더 높으니 단순히 더 나쁜 행동을 했다는 의미로 읽으면 안 됩니다.</w:t>
      </w:r>
    </w:p>
    <w:p>
      <w:pPr>
        <w:spacing w:after="140"/>
      </w:pPr>
      <w:r>
        <w:rPr>
          <w:rFonts w:ascii="Pretendard" w:hAnsi="Pretendard" w:eastAsia="Pretendard" w:cs="Pretendard"/>
          <w:b w:val="0"/>
          <w:sz w:val="22"/>
        </w:rPr>
        <w:t>여기서 송치 이유와 치료 위탁의 이유를 따로 봐야 합니다. 치료가 필요하거나 부모가 시설을 원한다는 사실이 우범소년의 법정요건을 대신하지는 않습니다. 또한 공개된 보고에는 진단명이나 의료진 의견, 다른 치료 경로 대신 이 처분을 선택한 상세 판단이 없습니다. 그래서 ‘치료 필요성이 고려됐다고 보고되어 있다’까지 설명하겠습니다. 이어서 비슷한 보호 문제가 기관 협의를 통해 다른 경로로 다뤄진 사례를 보겠습니다.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S2 강정은 발제 18쪽. 발제자의 직접 수행 사건 보고이며 판결문 전문이 아니다. 원문의 ‘치료감호’ 표현을 현행 7호의 정식 명칭으로 사용하지 않았다.</w:t>
      </w:r>
    </w:p>
    <w:p>
      <w:pPr>
        <w:spacing w:after="140"/>
      </w:pPr>
      <w:r>
        <w:rPr>
          <w:rFonts w:ascii="Pretendard" w:hAnsi="Pretendard" w:eastAsia="Pretendard" w:cs="Pretendard"/>
          <w:b w:val="0"/>
          <w:sz w:val="19"/>
        </w:rPr>
        <w:t>설명 범위  진단명·시설명·치료 효과를 추정하지 않는다. 부모의 요청과 법정요건 충족을 같은 것으로 제시하지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치료가 필요한 피해청소년을 만났을 때 우범소년 송치가 유일한 접근이었을까요? 다음은 실제 협의가 이루어진 사례입니다.</w:t>
      </w:r>
    </w:p>
    <w:p>
      <w:pPr>
        <w:spacing w:after="120"/>
      </w:pPr>
      <w:hyperlink r:id="rId14">
        <w:r>
          <w:rPr>
            <w:rFonts w:ascii="Pretendard" w:hAnsi="Pretendard" w:eastAsia="Pretendard" w:cs="Pretendard"/>
            <w:sz w:val="19"/>
            <w:u w:val="single"/>
          </w:rPr>
          <w:t>[L2] 국가법령정보센터, 소년법 제32조</w:t>
        </w:r>
      </w:hyperlink>
    </w:p>
    <w:p>
      <w:pPr>
        <w:spacing w:after="120"/>
      </w:pPr>
      <w:hyperlink r:id="rId13">
        <w:r>
          <w:rPr>
            <w:rFonts w:ascii="Pretendard" w:hAnsi="Pretendard" w:eastAsia="Pretendard" w:cs="Pretendard"/>
            <w:sz w:val="19"/>
            <w:u w:val="single"/>
          </w:rPr>
          <w:t>[S2] 『우범소년 규정 폐지 필요성 토론회』 자료집(2021.3.9.)</w:t>
        </w:r>
      </w:hyperlink>
    </w:p>
    <w:p>
      <w:r>
        <w:rPr>
          <w:rFonts w:ascii="Pretendard" w:hAnsi="Pretendard" w:eastAsia="Pretendard" w:cs="Pretendard"/>
        </w:rPr>
        <w:br w:type="page"/>
      </w:r>
    </w:p>
    <w:p>
      <w:pPr>
        <w:pStyle w:val="Heading1"/>
      </w:pPr>
      <w:r>
        <w:rPr>
          <w:rFonts w:ascii="Pretendard" w:hAnsi="Pretendard" w:eastAsia="Pretendard" w:cs="Pretendard"/>
        </w:rPr>
        <w:t>09  기관 협의로 달라진 송치 계획</w:t>
      </w:r>
    </w:p>
    <w:p>
      <w:pPr>
        <w:spacing w:after="140"/>
      </w:pPr>
      <w:r>
        <w:rPr>
          <w:rFonts w:ascii="Pretendard" w:hAnsi="Pretendard" w:eastAsia="Pretendard" w:cs="Pretendard"/>
          <w:b w:val="0"/>
          <w:sz w:val="18"/>
        </w:rPr>
        <w:t>PPT 9  |  약 2분  |  근거 S4</w:t>
      </w:r>
    </w:p>
    <w:p>
      <w:pPr>
        <w:spacing w:after="140"/>
      </w:pPr>
      <w:r>
        <w:rPr>
          <w:rFonts w:ascii="Pretendard" w:hAnsi="Pretendard" w:eastAsia="Pretendard" w:cs="Pretendard"/>
          <w:b/>
          <w:sz w:val="21"/>
        </w:rPr>
        <w:t>송치와 무대응의 양자택일을 벗어나 실제 지원기관 개입 경로를 제시한다.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평화의샘이 2021년에 공개한 사례입니다. 지적장애가 있는 성착취 피해청소년에 대해 경찰이 치료를 이유로 우범소년 송치를 계획했습니다. 지원기관은 피해자로서의 지위와 개정법의 취지를 설명하고, 앞으로의 보호에 관해 경찰과 여러 차례 협의했다고 보고합니다. 그 뒤 송치 계획은 중단되었고, 가해자 수사가 요청되었습니다.</w:t>
      </w:r>
    </w:p>
    <w:p>
      <w:pPr>
        <w:spacing w:after="140"/>
      </w:pPr>
      <w:r>
        <w:rPr>
          <w:rFonts w:ascii="Pretendard" w:hAnsi="Pretendard" w:eastAsia="Pretendard" w:cs="Pretendard"/>
          <w:b w:val="0"/>
          <w:sz w:val="22"/>
        </w:rPr>
        <w:t>이 사례가 보여 주는 것은 우범소년으로 보내지 않으면 아무 일도 하지 않는다는 그림이 실제 선택지를 모두 담지 못한다는 점입니다. 지원기관과의 협의, 피해 보호의 논의, 가해자에 대한 수사도 가능한 대응입니다. 다만 지원기관이 개입했다는 사실만으로 필요한 치료나 안전이 충분히 확보됐다고 말할 수는 없습니다. 그 이후의 구체적 경과는 이 글에 제시되지 않습니다.</w:t>
      </w:r>
    </w:p>
    <w:p>
      <w:pPr>
        <w:spacing w:after="140"/>
      </w:pPr>
      <w:r>
        <w:rPr>
          <w:rFonts w:ascii="Pretendard" w:hAnsi="Pretendard" w:eastAsia="Pretendard" w:cs="Pretendard"/>
          <w:b w:val="0"/>
          <w:sz w:val="22"/>
        </w:rPr>
        <w:t>앞선 두 사례와 이 사례의 결과를 그대로 효과 비교로 쓰지는 않겠습니다. 대상과 조건이 다르고 추적 결과도 없기 때문입니다. 대신 실제로 선택된 경로가 어떻게 달랐는지 보겠습니다. 어떤 위험을 해결하려 했는가, 누가 판단에 참여했는가, 이후 무엇을 확인해야 하는가입니다. 이 질문을 가지고 토론회에서 제시된 서로 다른 주장을 읽어 보겠습니다.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S4는 지원기관 자신의 활동 보고이다. 경찰의 송치 계획, 반복 협의, 계획 중단과 가해자 수사 요청을 확인할 수 있다. 사법적 판단이나 효과 평가 자료와는 성격이 다르다.</w:t>
      </w:r>
    </w:p>
    <w:p>
      <w:pPr>
        <w:spacing w:after="140"/>
      </w:pPr>
      <w:r>
        <w:rPr>
          <w:rFonts w:ascii="Pretendard" w:hAnsi="Pretendard" w:eastAsia="Pretendard" w:cs="Pretendard"/>
          <w:b w:val="0"/>
          <w:sz w:val="19"/>
        </w:rPr>
        <w:t>설명 범위  ‘지원기관이 장기 보호에 성공했다’ 또는 ‘치료 필요가 없었다’고 바꾸지 않는다. 다른 사건의 시설 위탁 결과와 직접 비교해 우열을 결론 내리지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지금까지의 자료는 어떤 주장을 뒷받침하고, 그 주장에 답하려면 무엇이 더 필요할까요?</w:t>
      </w:r>
    </w:p>
    <w:p>
      <w:pPr>
        <w:spacing w:after="120"/>
      </w:pPr>
      <w:hyperlink r:id="rId17">
        <w:r>
          <w:rPr>
            <w:rFonts w:ascii="Pretendard" w:hAnsi="Pretendard" w:eastAsia="Pretendard" w:cs="Pretendard"/>
            <w:sz w:val="19"/>
            <w:u w:val="single"/>
          </w:rPr>
          <w:t>[S4] 평화의샘, 「아청법 개정 1년, 그리고」(2021.12.20.)</w:t>
        </w:r>
      </w:hyperlink>
    </w:p>
    <w:p>
      <w:r>
        <w:rPr>
          <w:rFonts w:ascii="Pretendard" w:hAnsi="Pretendard" w:eastAsia="Pretendard" w:cs="Pretendard"/>
        </w:rPr>
        <w:br w:type="page"/>
      </w:r>
    </w:p>
    <w:p>
      <w:pPr>
        <w:pStyle w:val="Heading1"/>
      </w:pPr>
      <w:r>
        <w:rPr>
          <w:rFonts w:ascii="Pretendard" w:hAnsi="Pretendard" w:eastAsia="Pretendard" w:cs="Pretendard"/>
        </w:rPr>
        <w:t>10  보호를 위한 개입과 소년사법의 부담</w:t>
      </w:r>
    </w:p>
    <w:p>
      <w:pPr>
        <w:spacing w:after="140"/>
      </w:pPr>
      <w:r>
        <w:rPr>
          <w:rFonts w:ascii="Pretendard" w:hAnsi="Pretendard" w:eastAsia="Pretendard" w:cs="Pretendard"/>
          <w:b w:val="0"/>
          <w:sz w:val="18"/>
        </w:rPr>
        <w:t>PPT 10  |  약 2분 30초  |  근거 S2, S3</w:t>
      </w:r>
    </w:p>
    <w:p>
      <w:pPr>
        <w:spacing w:after="140"/>
      </w:pPr>
      <w:r>
        <w:rPr>
          <w:rFonts w:ascii="Pretendard" w:hAnsi="Pretendard" w:eastAsia="Pretendard" w:cs="Pretendard"/>
          <w:b/>
          <w:sz w:val="21"/>
        </w:rPr>
        <w:t>토론자의 주장·근거·추가 확인 질문을 나란히 놓아 이후 단원 논거로 연결한다.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2021년 토론회에서 당시 경찰청 아동청소년과장 고평기는 반복되는 성폭력 피해 등을 막기 위해 우범소년 송치를 활용한 현장 사례를 설명했습니다. 이 주장을 쉽게 풀면, 위험을 알고도 보호가 끊기는 상황에서는 청소년을 위험한 환경에서 떼어 내고 개입을 지속할 수단이 필요하다는 것입니다. 앞서 본 반복 피해와 연락 단절은 이런 주장이 나오는 맥락을 이해하게 합니다.</w:t>
      </w:r>
    </w:p>
    <w:p>
      <w:pPr>
        <w:spacing w:after="140"/>
      </w:pPr>
      <w:r>
        <w:rPr>
          <w:rFonts w:ascii="Pretendard" w:hAnsi="Pretendard" w:eastAsia="Pretendard" w:cs="Pretendard"/>
          <w:b w:val="0"/>
          <w:sz w:val="22"/>
        </w:rPr>
        <w:t>반면 이승현 연구자는 가정의 학대나 방임처럼 청소년 바깥에 있는 문제를 소년사법으로 넘기면, 문제의 원인을 바꾸기보다 청소년을 관리·수용하는 방향으로 갈 수 있다고 비판했습니다. 학교와 보호자가 책임을 다른 기관에 넘기는 문제, 자유 제한과 낙인의 부담도 지적했습니다. 이 비판을 단순히 ‘보호하지 말자’는 주장으로 읽어서는 안 됩니다. 보호를 누가 어떤 방식으로 제공할 것인가에 관한 주장입니다.</w:t>
      </w:r>
    </w:p>
    <w:p>
      <w:pPr>
        <w:spacing w:after="140"/>
      </w:pPr>
      <w:r>
        <w:rPr>
          <w:rFonts w:ascii="Pretendard" w:hAnsi="Pretendard" w:eastAsia="Pretendard" w:cs="Pretendard"/>
          <w:b w:val="0"/>
          <w:sz w:val="22"/>
        </w:rPr>
        <w:t>양쪽 모두 보호라는 말을 쓰지만, 판단해야 할 것은 더 구체적입니다. 송치가 어떤 피해를 얼마나 줄이는지, 자유 제한에 비례하는 이익이 있는지, 지원 경로가 같은 문제에 어떻게 대응할 수 있는지입니다. 토론회 사례는 이러한 주장을 제기할 근거가 되지만, 개입의 효과가 입증됐다는 뜻은 아닙니다. 이 질문들을 뒤 단원의 제도·자원·효과 자료로 이어서 검토하겠습니다.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S2 고평기 토론 75쪽과 이승현 토론 83–85쪽을 대조했다. 양현규의 67–69쪽 토론에는 대체 경로 정비와 요건·처분·송치 방식 조정 논의가 있어 마지막 페이지의 정책 선택 설명에 활용한다.</w:t>
      </w:r>
    </w:p>
    <w:p>
      <w:pPr>
        <w:spacing w:after="140"/>
      </w:pPr>
      <w:r>
        <w:rPr>
          <w:rFonts w:ascii="Pretendard" w:hAnsi="Pretendard" w:eastAsia="Pretendard" w:cs="Pretendard"/>
          <w:b w:val="0"/>
          <w:sz w:val="19"/>
        </w:rPr>
        <w:t>설명 범위  2021년 특정 토론자의 발언을 2026년 기관 전체의 확정된 정책으로 제시하지 않는다. ‘폐지 필요성’이라는 행사명이 참가자 전원의 동일한 결론을 뜻하지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이 논의를 정리하려면 지금 법을 적용하는 질문과 법 자체를 바꾸는 질문을 나눠야 합니다.</w:t>
      </w:r>
    </w:p>
    <w:p>
      <w:pPr>
        <w:spacing w:after="120"/>
      </w:pPr>
      <w:hyperlink r:id="rId13">
        <w:r>
          <w:rPr>
            <w:rFonts w:ascii="Pretendard" w:hAnsi="Pretendard" w:eastAsia="Pretendard" w:cs="Pretendard"/>
            <w:sz w:val="19"/>
            <w:u w:val="single"/>
          </w:rPr>
          <w:t>[S2] 『우범소년 규정 폐지 필요성 토론회』 자료집(2021.3.9.)</w:t>
        </w:r>
      </w:hyperlink>
    </w:p>
    <w:p>
      <w:pPr>
        <w:spacing w:after="120"/>
      </w:pPr>
      <w:hyperlink r:id="rId15">
        <w:r>
          <w:rPr>
            <w:rFonts w:ascii="Pretendard" w:hAnsi="Pretendard" w:eastAsia="Pretendard" w:cs="Pretendard"/>
            <w:sz w:val="19"/>
            <w:u w:val="single"/>
          </w:rPr>
          <w:t>[S3] 박상민·김효정·정다은·이은심, 『성착취 피해 아동·청소년의 법적 지위 변화에 따른 법제도 운영 현황과 과제』, 한국여성정책연구원(2025)</w:t>
        </w:r>
      </w:hyperlink>
    </w:p>
    <w:p>
      <w:r>
        <w:rPr>
          <w:rFonts w:ascii="Pretendard" w:hAnsi="Pretendard" w:eastAsia="Pretendard" w:cs="Pretendard"/>
        </w:rPr>
        <w:br w:type="page"/>
      </w:r>
    </w:p>
    <w:p>
      <w:pPr>
        <w:pStyle w:val="Heading1"/>
      </w:pPr>
      <w:r>
        <w:rPr>
          <w:rFonts w:ascii="Pretendard" w:hAnsi="Pretendard" w:eastAsia="Pretendard" w:cs="Pretendard"/>
        </w:rPr>
        <w:t>11  현행법 적용과 정책·제도 판단</w:t>
      </w:r>
    </w:p>
    <w:p>
      <w:pPr>
        <w:spacing w:after="140"/>
      </w:pPr>
      <w:r>
        <w:rPr>
          <w:rFonts w:ascii="Pretendard" w:hAnsi="Pretendard" w:eastAsia="Pretendard" w:cs="Pretendard"/>
          <w:b w:val="0"/>
          <w:sz w:val="18"/>
        </w:rPr>
        <w:t>PPT 11  |  약 2분  |  근거 L1, S2, S6</w:t>
      </w:r>
    </w:p>
    <w:p>
      <w:pPr>
        <w:spacing w:after="140"/>
      </w:pPr>
      <w:r>
        <w:rPr>
          <w:rFonts w:ascii="Pretendard" w:hAnsi="Pretendard" w:eastAsia="Pretendard" w:cs="Pretendard"/>
          <w:b/>
          <w:sz w:val="21"/>
        </w:rPr>
        <w:t>법정요건 판단과 제도 선택을 구별하고 제2장 피해청소년 지위 변화로 넘긴다.</w:t>
      </w:r>
    </w:p>
    <w:p>
      <w:pPr>
        <w:pStyle w:val="Heading2"/>
      </w:pPr>
      <w:r>
        <w:rPr>
          <w:rFonts w:ascii="Pretendard" w:hAnsi="Pretendard" w:eastAsia="Pretendard" w:cs="Pretendard"/>
        </w:rPr>
        <w:t>강의 대본</w:t>
      </w:r>
    </w:p>
    <w:p>
      <w:pPr>
        <w:spacing w:after="140"/>
      </w:pPr>
      <w:r>
        <w:rPr>
          <w:rFonts w:ascii="Pretendard" w:hAnsi="Pretendard" w:eastAsia="Pretendard" w:cs="Pretendard"/>
          <w:b w:val="0"/>
          <w:sz w:val="22"/>
        </w:rPr>
        <w:t>첫 번째 질문은 현행법 적용입니다. 이 청소년에게 법에 정한 우범사유가 있는가, 장래 범법 우려를 뒷받침하는 사정이 있는가를 판단합니다. 그 요건이 성립한다면 경찰서장에게 제4조 제2항의 직접 송치 의무가 적용됩니다. 피해 위험이 크다는 이유만으로 요건을 건너뛰거나, 반대로 제도에 비판적이라는 이유만으로 현행 규정을 없는 것으로 취급할 수는 없습니다.</w:t>
      </w:r>
    </w:p>
    <w:p>
      <w:pPr>
        <w:spacing w:after="140"/>
      </w:pPr>
      <w:r>
        <w:rPr>
          <w:rFonts w:ascii="Pretendard" w:hAnsi="Pretendard" w:eastAsia="Pretendard" w:cs="Pretendard"/>
          <w:b w:val="0"/>
          <w:sz w:val="22"/>
        </w:rPr>
        <w:t>두 번째 질문은 정책과 제도입니다. 이 경로를 유지할 것인지, 범위를 좁힐 것인지, 지원 경로로 대체하거나 함께 보완할 것인지입니다. 2021년 토론회에서도 즉시 존치·폐지라는 결론뿐 아니라 대체 보호체계, 요건과 처분의 조정, 의무 송치 방식의 변경 등이 논의됐습니다. 제도를 바꾸자고 할 때에는 지금 그 경로가 맡는 보호 기능을 누가 이어받을지도 설명해야 합니다.</w:t>
      </w:r>
    </w:p>
    <w:p>
      <w:pPr>
        <w:spacing w:after="140"/>
      </w:pPr>
      <w:r>
        <w:rPr>
          <w:rFonts w:ascii="Pretendard" w:hAnsi="Pretendard" w:eastAsia="Pretendard" w:cs="Pretendard"/>
          <w:b w:val="0"/>
          <w:sz w:val="22"/>
        </w:rPr>
        <w:t>이 문제는 과거에만 제기된 것도 아닙니다. 2026년 9월 경찰청 간담회 보도에서도 지원기관이 피해청소년의 우범소년 송치 문제를 제기했고, 경찰 측은 현장 실태와 대안을 검토하겠다는 취지로 답했습니다. 이것은 이미 제도가 바뀌었다는 뜻은 아닙니다. 다음 장에서는 2020년 개정으로 성매매 피해 아동·청소년의 법적 지위가 어떻게 달라졌는지 보겠습니다. 그 변화와 우범소년 경로가 어디에서 연결되거나 충돌하는지 살펴볼 차례입니다.</w:t>
      </w:r>
    </w:p>
    <w:p>
      <w:pPr>
        <w:pStyle w:val="Heading2"/>
      </w:pPr>
      <w:r>
        <w:rPr>
          <w:rFonts w:ascii="Pretendard" w:hAnsi="Pretendard" w:eastAsia="Pretendard" w:cs="Pretendard"/>
        </w:rPr>
        <w:t>자료에서 확인할 부분</w:t>
      </w:r>
    </w:p>
    <w:p>
      <w:pPr>
        <w:spacing w:after="140"/>
      </w:pPr>
      <w:r>
        <w:rPr>
          <w:rFonts w:ascii="Pretendard" w:hAnsi="Pretendard" w:eastAsia="Pretendard" w:cs="Pretendard"/>
          <w:b w:val="0"/>
          <w:sz w:val="19"/>
        </w:rPr>
        <w:t>현재 적용은 L1, 정책 선택의 토론은 S2, 최근 공론화는 S6에 각각 근거한다. 세 자료의 시점과 증거 성격을 분리했다.</w:t>
      </w:r>
    </w:p>
    <w:p>
      <w:pPr>
        <w:spacing w:after="140"/>
      </w:pPr>
      <w:r>
        <w:rPr>
          <w:rFonts w:ascii="Pretendard" w:hAnsi="Pretendard" w:eastAsia="Pretendard" w:cs="Pretendard"/>
          <w:b w:val="0"/>
          <w:sz w:val="19"/>
        </w:rPr>
        <w:t>설명 범위  2026년 간담회 발언을 법 개정 또는 송치 일괄 중단의 확정 발표로 서술하지 않는다. 다음 장의 법적 지위 변화 내용을 여기서 전부 설명하지 않는다.</w:t>
      </w:r>
    </w:p>
    <w:p>
      <w:pPr>
        <w:pStyle w:val="Heading2"/>
      </w:pPr>
      <w:r>
        <w:rPr>
          <w:rFonts w:ascii="Pretendard" w:hAnsi="Pretendard" w:eastAsia="Pretendard" w:cs="Pretendard"/>
        </w:rPr>
        <w:t>다음 화면으로</w:t>
      </w:r>
    </w:p>
    <w:p>
      <w:pPr>
        <w:spacing w:after="140"/>
      </w:pPr>
      <w:r>
        <w:rPr>
          <w:rFonts w:ascii="Pretendard" w:hAnsi="Pretendard" w:eastAsia="Pretendard" w:cs="Pretendard"/>
          <w:b/>
          <w:sz w:val="20"/>
        </w:rPr>
        <w:t>제2장: 성매매 피해청소년의 법적 지위는 2020년 개정으로 어떻게 달라졌는가?</w:t>
      </w:r>
    </w:p>
    <w:p>
      <w:pPr>
        <w:spacing w:after="120"/>
      </w:pPr>
      <w:hyperlink r:id="rId11">
        <w:r>
          <w:rPr>
            <w:rFonts w:ascii="Pretendard" w:hAnsi="Pretendard" w:eastAsia="Pretendard" w:cs="Pretendard"/>
            <w:sz w:val="19"/>
            <w:u w:val="single"/>
          </w:rPr>
          <w:t>[L1] 국가법령정보센터, 소년법</w:t>
        </w:r>
      </w:hyperlink>
    </w:p>
    <w:p>
      <w:pPr>
        <w:spacing w:after="120"/>
      </w:pPr>
      <w:hyperlink r:id="rId13">
        <w:r>
          <w:rPr>
            <w:rFonts w:ascii="Pretendard" w:hAnsi="Pretendard" w:eastAsia="Pretendard" w:cs="Pretendard"/>
            <w:sz w:val="19"/>
            <w:u w:val="single"/>
          </w:rPr>
          <w:t>[S2] 『우범소년 규정 폐지 필요성 토론회』 자료집(2021.3.9.)</w:t>
        </w:r>
      </w:hyperlink>
    </w:p>
    <w:p>
      <w:pPr>
        <w:spacing w:after="120"/>
      </w:pPr>
      <w:hyperlink r:id="rId18">
        <w:r>
          <w:rPr>
            <w:rFonts w:ascii="Pretendard" w:hAnsi="Pretendard" w:eastAsia="Pretendard" w:cs="Pretendard"/>
            <w:sz w:val="19"/>
            <w:u w:val="single"/>
          </w:rPr>
          <w:t>[S6] 연합뉴스, 경찰청 성착취 피해청소년 보호 관련 간담회 보도(2026.9.17.)</w:t>
        </w:r>
      </w:hyperlink>
    </w:p>
    <w:p>
      <w:r>
        <w:rPr>
          <w:rFonts w:ascii="Pretendard" w:hAnsi="Pretendard" w:eastAsia="Pretendard" w:cs="Pretendard"/>
        </w:rPr>
        <w:br w:type="page"/>
      </w:r>
    </w:p>
    <w:p>
      <w:pPr>
        <w:pStyle w:val="Heading1"/>
      </w:pPr>
      <w:r>
        <w:rPr>
          <w:rFonts w:ascii="Pretendard" w:hAnsi="Pretendard" w:eastAsia="Pretendard" w:cs="Pretendard"/>
        </w:rPr>
        <w:t>자료 목록과 확인 위치 1</w:t>
      </w:r>
    </w:p>
    <w:p>
      <w:pPr>
        <w:pStyle w:val="Heading2"/>
      </w:pPr>
      <w:r>
        <w:rPr>
          <w:rFonts w:ascii="Pretendard" w:hAnsi="Pretendard" w:eastAsia="Pretendard" w:cs="Pretendard"/>
        </w:rPr>
        <w:t>[L1] 국가법령정보센터, 소년법</w:t>
      </w:r>
    </w:p>
    <w:p>
      <w:pPr>
        <w:spacing w:after="140"/>
      </w:pPr>
      <w:r>
        <w:rPr>
          <w:rFonts w:ascii="Pretendard" w:hAnsi="Pretendard" w:eastAsia="Pretendard" w:cs="Pretendard"/>
          <w:b w:val="0"/>
          <w:sz w:val="20"/>
        </w:rPr>
        <w:t>제2조·제3조·제4조·제19조·제29조·제32조. 확인본: 시행 2021.4.21., 법률 제17505호.</w:t>
      </w:r>
    </w:p>
    <w:p>
      <w:pPr>
        <w:spacing w:after="140"/>
      </w:pPr>
      <w:r>
        <w:rPr>
          <w:rFonts w:ascii="Pretendard" w:hAnsi="Pretendard" w:eastAsia="Pretendard" w:cs="Pretendard"/>
          <w:b w:val="0"/>
          <w:sz w:val="20"/>
        </w:rPr>
        <w:t>활용  연령, 우범소년 요건, 송치·통고, 소년부 심리와 처분의 구분. 부록에는 제4조 전문을 수록한다.</w:t>
      </w:r>
    </w:p>
    <w:p>
      <w:pPr>
        <w:spacing w:after="120"/>
      </w:pPr>
      <w:hyperlink r:id="rId11">
        <w:r>
          <w:rPr>
            <w:rFonts w:ascii="Pretendard" w:hAnsi="Pretendard" w:eastAsia="Pretendard" w:cs="Pretendard"/>
            <w:sz w:val="19"/>
            <w:u w:val="single"/>
          </w:rPr>
          <w:t>원자료 확인</w:t>
        </w:r>
      </w:hyperlink>
    </w:p>
    <w:p>
      <w:pPr>
        <w:pStyle w:val="Heading2"/>
      </w:pPr>
      <w:r>
        <w:rPr>
          <w:rFonts w:ascii="Pretendard" w:hAnsi="Pretendard" w:eastAsia="Pretendard" w:cs="Pretendard"/>
        </w:rPr>
        <w:t>[L2] 국가법령정보센터, 소년법 제32조</w:t>
      </w:r>
    </w:p>
    <w:p>
      <w:pPr>
        <w:spacing w:after="140"/>
      </w:pPr>
      <w:r>
        <w:rPr>
          <w:rFonts w:ascii="Pretendard" w:hAnsi="Pretendard" w:eastAsia="Pretendard" w:cs="Pretendard"/>
          <w:b w:val="0"/>
          <w:sz w:val="20"/>
        </w:rPr>
        <w:t>제1항 제5호·제6호·제7호 및 제2항.</w:t>
      </w:r>
    </w:p>
    <w:p>
      <w:pPr>
        <w:spacing w:after="140"/>
      </w:pPr>
      <w:r>
        <w:rPr>
          <w:rFonts w:ascii="Pretendard" w:hAnsi="Pretendard" w:eastAsia="Pretendard" w:cs="Pretendard"/>
          <w:b w:val="0"/>
          <w:sz w:val="20"/>
        </w:rPr>
        <w:t>활용  두 사례의 보호처분 명칭 대조. 7호는 병원·요양소 또는 의료재활소년원 위탁이다.</w:t>
      </w:r>
    </w:p>
    <w:p>
      <w:pPr>
        <w:spacing w:after="120"/>
      </w:pPr>
      <w:hyperlink r:id="rId14">
        <w:r>
          <w:rPr>
            <w:rFonts w:ascii="Pretendard" w:hAnsi="Pretendard" w:eastAsia="Pretendard" w:cs="Pretendard"/>
            <w:sz w:val="19"/>
            <w:u w:val="single"/>
          </w:rPr>
          <w:t>원자료 확인</w:t>
        </w:r>
      </w:hyperlink>
    </w:p>
    <w:p>
      <w:pPr>
        <w:pStyle w:val="Heading2"/>
      </w:pPr>
      <w:r>
        <w:rPr>
          <w:rFonts w:ascii="Pretendard" w:hAnsi="Pretendard" w:eastAsia="Pretendard" w:cs="Pretendard"/>
        </w:rPr>
        <w:t>[S1] 법원행정처, 『소년 통고 실무(2024년 개정판)』</w:t>
      </w:r>
    </w:p>
    <w:p>
      <w:pPr>
        <w:spacing w:after="140"/>
      </w:pPr>
      <w:r>
        <w:rPr>
          <w:rFonts w:ascii="Pretendard" w:hAnsi="Pretendard" w:eastAsia="Pretendard" w:cs="Pretendard"/>
          <w:b w:val="0"/>
          <w:sz w:val="20"/>
        </w:rPr>
        <w:t>인쇄면 33쪽, PDF 42번째 면, 학교현장 통고 사례 7 「반복된 거짓말, 장기무단가출」. 게시일 2024.12.20.</w:t>
      </w:r>
    </w:p>
    <w:p>
      <w:pPr>
        <w:spacing w:after="140"/>
      </w:pPr>
      <w:r>
        <w:rPr>
          <w:rFonts w:ascii="Pretendard" w:hAnsi="Pretendard" w:eastAsia="Pretendard" w:cs="Pretendard"/>
          <w:b w:val="0"/>
          <w:sz w:val="20"/>
        </w:rPr>
        <w:t>활용  가정폭력·쉼터·장기가출, 동행영장과 임시위탁, 시설 위탁의 설명된 이유. 사건번호와 결정문 전문은 제시되지 않는다.</w:t>
      </w:r>
    </w:p>
    <w:p>
      <w:pPr>
        <w:spacing w:after="120"/>
      </w:pPr>
      <w:hyperlink r:id="rId12">
        <w:r>
          <w:rPr>
            <w:rFonts w:ascii="Pretendard" w:hAnsi="Pretendard" w:eastAsia="Pretendard" w:cs="Pretendard"/>
            <w:sz w:val="19"/>
            <w:u w:val="single"/>
          </w:rPr>
          <w:t>원자료 확인</w:t>
        </w:r>
      </w:hyperlink>
    </w:p>
    <w:p>
      <w:pPr>
        <w:pStyle w:val="Heading2"/>
      </w:pPr>
      <w:r>
        <w:rPr>
          <w:rFonts w:ascii="Pretendard" w:hAnsi="Pretendard" w:eastAsia="Pretendard" w:cs="Pretendard"/>
        </w:rPr>
        <w:t>[S2] 『우범소년 규정 폐지 필요성 토론회』 자료집(2021.3.9.)</w:t>
      </w:r>
    </w:p>
    <w:p>
      <w:pPr>
        <w:spacing w:after="140"/>
      </w:pPr>
      <w:r>
        <w:rPr>
          <w:rFonts w:ascii="Pretendard" w:hAnsi="Pretendard" w:eastAsia="Pretendard" w:cs="Pretendard"/>
          <w:b w:val="0"/>
          <w:sz w:val="20"/>
        </w:rPr>
        <w:t>강정은 발제 18쪽(B 사건); 양현규 토론 67–69쪽; 고평기 토론 75쪽; 이승현 토론 83–85쪽. PDF는 인쇄면 두 쪽이 한 면에 배치됨.</w:t>
      </w:r>
    </w:p>
    <w:p>
      <w:pPr>
        <w:spacing w:after="140"/>
      </w:pPr>
      <w:r>
        <w:rPr>
          <w:rFonts w:ascii="Pretendard" w:hAnsi="Pretendard" w:eastAsia="Pretendard" w:cs="Pretendard"/>
          <w:b w:val="0"/>
          <w:sz w:val="20"/>
        </w:rPr>
        <w:t>활용  직접 수행한 B 사건의 보고와 서로 다른 토론자의 주장. 토론회 제목을 모든 참석자의 합의로 설명하지 않는다.</w:t>
      </w:r>
    </w:p>
    <w:p>
      <w:pPr>
        <w:spacing w:after="120"/>
      </w:pPr>
      <w:hyperlink r:id="rId13">
        <w:r>
          <w:rPr>
            <w:rFonts w:ascii="Pretendard" w:hAnsi="Pretendard" w:eastAsia="Pretendard" w:cs="Pretendard"/>
            <w:sz w:val="19"/>
            <w:u w:val="single"/>
          </w:rPr>
          <w:t>원자료 확인</w:t>
        </w:r>
      </w:hyperlink>
    </w:p>
    <w:p>
      <w:pPr>
        <w:spacing w:after="140"/>
      </w:pPr>
      <w:r>
        <w:rPr>
          <w:rFonts w:ascii="Pretendard" w:hAnsi="Pretendard" w:eastAsia="Pretendard" w:cs="Pretendard"/>
          <w:b w:val="0"/>
          <w:sz w:val="17"/>
        </w:rPr>
        <w:t>국회도서관 행사·자료 확인: https://ampos.nanet.go.kr/materialSeminarDetail.do?control_no=PAMP10000000066470</w:t>
      </w:r>
    </w:p>
    <w:p>
      <w:pPr>
        <w:pStyle w:val="Heading2"/>
      </w:pPr>
      <w:r>
        <w:rPr>
          <w:rFonts w:ascii="Pretendard" w:hAnsi="Pretendard" w:eastAsia="Pretendard" w:cs="Pretendard"/>
        </w:rPr>
        <w:t>[S3] 박상민·김효정·정다은·이은심, 『성착취 피해 아동·청소년의 법적 지위 변화에 따른 법제도 운영 현황과 과제』, 한국여성정책연구원(2025)</w:t>
      </w:r>
    </w:p>
    <w:p>
      <w:pPr>
        <w:spacing w:after="140"/>
      </w:pPr>
      <w:r>
        <w:rPr>
          <w:rFonts w:ascii="Pretendard" w:hAnsi="Pretendard" w:eastAsia="Pretendard" w:cs="Pretendard"/>
          <w:b w:val="0"/>
          <w:sz w:val="20"/>
        </w:rPr>
        <w:t>경찰관 10명·피해지원 종사자 10명 면접. 인쇄면 190–191쪽(반복 피해와 우범소년 개입), 206–208쪽(통보·지원 연계의 어려움). PDF 해당 면 237–238, 253–255.</w:t>
      </w:r>
    </w:p>
    <w:p>
      <w:pPr>
        <w:spacing w:after="140"/>
      </w:pPr>
      <w:r>
        <w:rPr>
          <w:rFonts w:ascii="Pretendard" w:hAnsi="Pretendard" w:eastAsia="Pretendard" w:cs="Pretendard"/>
          <w:b w:val="0"/>
          <w:sz w:val="20"/>
        </w:rPr>
        <w:t>활용  지원 연결의 어려움과 강제 개입 요구가 생기는 맥락. 전국 빈도나 송치의 효과를 추정하는 통계가 아니다.</w:t>
      </w:r>
    </w:p>
    <w:p>
      <w:pPr>
        <w:spacing w:after="120"/>
      </w:pPr>
      <w:hyperlink r:id="rId15">
        <w:r>
          <w:rPr>
            <w:rFonts w:ascii="Pretendard" w:hAnsi="Pretendard" w:eastAsia="Pretendard" w:cs="Pretendard"/>
            <w:sz w:val="19"/>
            <w:u w:val="single"/>
          </w:rPr>
          <w:t>원자료 확인</w:t>
        </w:r>
      </w:hyperlink>
    </w:p>
    <w:p>
      <w:r>
        <w:rPr>
          <w:rFonts w:ascii="Pretendard" w:hAnsi="Pretendard" w:eastAsia="Pretendard" w:cs="Pretendard"/>
        </w:rPr>
        <w:br w:type="page"/>
      </w:r>
    </w:p>
    <w:p>
      <w:pPr>
        <w:pStyle w:val="Heading1"/>
      </w:pPr>
      <w:r>
        <w:rPr>
          <w:rFonts w:ascii="Pretendard" w:hAnsi="Pretendard" w:eastAsia="Pretendard" w:cs="Pretendard"/>
        </w:rPr>
        <w:t>자료 목록과 확인 위치 2</w:t>
      </w:r>
    </w:p>
    <w:p>
      <w:pPr>
        <w:pStyle w:val="Heading2"/>
      </w:pPr>
      <w:r>
        <w:rPr>
          <w:rFonts w:ascii="Pretendard" w:hAnsi="Pretendard" w:eastAsia="Pretendard" w:cs="Pretendard"/>
        </w:rPr>
        <w:t>[S4] 평화의샘, 「아청법 개정 1년, 그리고」(2021.12.20.)</w:t>
      </w:r>
    </w:p>
    <w:p>
      <w:pPr>
        <w:spacing w:after="140"/>
      </w:pPr>
      <w:r>
        <w:rPr>
          <w:rFonts w:ascii="Pretendard" w:hAnsi="Pretendard" w:eastAsia="Pretendard" w:cs="Pretendard"/>
          <w:b w:val="0"/>
          <w:sz w:val="20"/>
        </w:rPr>
        <w:t>지적장애가 있는 성착취 피해청소년에 관한 지원기관의 사례 보고.</w:t>
      </w:r>
    </w:p>
    <w:p>
      <w:pPr>
        <w:spacing w:after="140"/>
      </w:pPr>
      <w:r>
        <w:rPr>
          <w:rFonts w:ascii="Pretendard" w:hAnsi="Pretendard" w:eastAsia="Pretendard" w:cs="Pretendard"/>
          <w:b w:val="0"/>
          <w:sz w:val="20"/>
        </w:rPr>
        <w:t>활용  치료를 이유로 계획된 우범소년 송치가 지원기관과 경찰의 협의 뒤 중단된 경위. 이후 치료·안전의 성과는 확인되지 않는다.</w:t>
      </w:r>
    </w:p>
    <w:p>
      <w:pPr>
        <w:spacing w:after="120"/>
      </w:pPr>
      <w:hyperlink r:id="rId17">
        <w:r>
          <w:rPr>
            <w:rFonts w:ascii="Pretendard" w:hAnsi="Pretendard" w:eastAsia="Pretendard" w:cs="Pretendard"/>
            <w:sz w:val="19"/>
            <w:u w:val="single"/>
          </w:rPr>
          <w:t>원자료 확인</w:t>
        </w:r>
      </w:hyperlink>
    </w:p>
    <w:p>
      <w:pPr>
        <w:pStyle w:val="Heading2"/>
      </w:pPr>
      <w:r>
        <w:rPr>
          <w:rFonts w:ascii="Pretendard" w:hAnsi="Pretendard" w:eastAsia="Pretendard" w:cs="Pretendard"/>
        </w:rPr>
        <w:t>[S5] 연합뉴스, 거제 가출 청소년 성착취 사건 보도(2024.7.24.)</w:t>
      </w:r>
    </w:p>
    <w:p>
      <w:pPr>
        <w:spacing w:after="140"/>
      </w:pPr>
      <w:r>
        <w:rPr>
          <w:rFonts w:ascii="Pretendard" w:hAnsi="Pretendard" w:eastAsia="Pretendard" w:cs="Pretendard"/>
          <w:b w:val="0"/>
          <w:sz w:val="20"/>
        </w:rPr>
        <w:t>가출 집단의 성매매 강요·수익 착취 등에 대한 수사 보도. 대본의 선택 설명용.</w:t>
      </w:r>
    </w:p>
    <w:p>
      <w:pPr>
        <w:spacing w:after="140"/>
      </w:pPr>
      <w:r>
        <w:rPr>
          <w:rFonts w:ascii="Pretendard" w:hAnsi="Pretendard" w:eastAsia="Pretendard" w:cs="Pretendard"/>
          <w:b w:val="0"/>
          <w:sz w:val="20"/>
        </w:rPr>
        <w:t>활용  피해자가 가해자를 두둔하거나 진술에 소극적인 상황도 있다는 구체적 맥락. 다른 두 사례와 별개 사건이다.</w:t>
      </w:r>
    </w:p>
    <w:p>
      <w:pPr>
        <w:spacing w:after="120"/>
      </w:pPr>
      <w:hyperlink r:id="rId16">
        <w:r>
          <w:rPr>
            <w:rFonts w:ascii="Pretendard" w:hAnsi="Pretendard" w:eastAsia="Pretendard" w:cs="Pretendard"/>
            <w:sz w:val="19"/>
            <w:u w:val="single"/>
          </w:rPr>
          <w:t>원자료 확인</w:t>
        </w:r>
      </w:hyperlink>
    </w:p>
    <w:p>
      <w:pPr>
        <w:pStyle w:val="Heading2"/>
      </w:pPr>
      <w:r>
        <w:rPr>
          <w:rFonts w:ascii="Pretendard" w:hAnsi="Pretendard" w:eastAsia="Pretendard" w:cs="Pretendard"/>
        </w:rPr>
        <w:t>[S6] 연합뉴스, 경찰청 성착취 피해청소년 보호 관련 간담회 보도(2026.9.17.)</w:t>
      </w:r>
    </w:p>
    <w:p>
      <w:pPr>
        <w:spacing w:after="140"/>
      </w:pPr>
      <w:r>
        <w:rPr>
          <w:rFonts w:ascii="Pretendard" w:hAnsi="Pretendard" w:eastAsia="Pretendard" w:cs="Pretendard"/>
          <w:b w:val="0"/>
          <w:sz w:val="20"/>
        </w:rPr>
        <w:t>지원기관의 우범소년 송치 비판과 경찰 측 검토 발언.</w:t>
      </w:r>
    </w:p>
    <w:p>
      <w:pPr>
        <w:spacing w:after="140"/>
      </w:pPr>
      <w:r>
        <w:rPr>
          <w:rFonts w:ascii="Pretendard" w:hAnsi="Pretendard" w:eastAsia="Pretendard" w:cs="Pretendard"/>
          <w:b w:val="0"/>
          <w:sz w:val="20"/>
        </w:rPr>
        <w:t>활용  쟁점이 현재에도 논의된다는 환기. 법 개정이나 송치 중단 방침이 확정됐다는 근거로 쓰지 않는다.</w:t>
      </w:r>
    </w:p>
    <w:p>
      <w:pPr>
        <w:spacing w:after="120"/>
      </w:pPr>
      <w:hyperlink r:id="rId18">
        <w:r>
          <w:rPr>
            <w:rFonts w:ascii="Pretendard" w:hAnsi="Pretendard" w:eastAsia="Pretendard" w:cs="Pretendard"/>
            <w:sz w:val="19"/>
            <w:u w:val="single"/>
          </w:rPr>
          <w:t>원자료 확인</w:t>
        </w:r>
      </w:hyperlink>
    </w:p>
    <w:p>
      <w:pPr>
        <w:pStyle w:val="Heading2"/>
      </w:pPr>
      <w:r>
        <w:rPr>
          <w:rFonts w:ascii="Pretendard" w:hAnsi="Pretendard" w:eastAsia="Pretendard" w:cs="Pretendard"/>
        </w:rPr>
        <w:t>[S7] 이승현, 「소년법에서의 우범소년 규정에 관한 비판적 고찰」(2021)</w:t>
      </w:r>
    </w:p>
    <w:p>
      <w:pPr>
        <w:spacing w:after="140"/>
      </w:pPr>
      <w:r>
        <w:rPr>
          <w:rFonts w:ascii="Pretendard" w:hAnsi="Pretendard" w:eastAsia="Pretendard" w:cs="Pretendard"/>
          <w:b w:val="0"/>
          <w:sz w:val="20"/>
        </w:rPr>
        <w:t>『소년보호연구』 34(1), 283–306. 이번 제작에서는 KCI 초록을 확인했으며 상세 논거는 토론회 원문에 근거했다.</w:t>
      </w:r>
    </w:p>
    <w:p>
      <w:pPr>
        <w:spacing w:after="140"/>
      </w:pPr>
      <w:r>
        <w:rPr>
          <w:rFonts w:ascii="Pretendard" w:hAnsi="Pretendard" w:eastAsia="Pretendard" w:cs="Pretendard"/>
          <w:b w:val="0"/>
          <w:sz w:val="20"/>
        </w:rPr>
        <w:t>활용  제6장 제도개선 논의를 위한 추가 읽기. 초록만으로 본문에 없는 구체적 결과를 인용하지 않는다.</w:t>
      </w:r>
    </w:p>
    <w:p>
      <w:pPr>
        <w:spacing w:after="120"/>
      </w:pPr>
      <w:hyperlink r:id="rId19">
        <w:r>
          <w:rPr>
            <w:rFonts w:ascii="Pretendard" w:hAnsi="Pretendard" w:eastAsia="Pretendard" w:cs="Pretendard"/>
            <w:sz w:val="19"/>
            <w:u w:val="single"/>
          </w:rPr>
          <w:t>원자료 확인</w:t>
        </w:r>
      </w:hyperlink>
    </w:p>
    <w:p>
      <w:pPr>
        <w:pStyle w:val="Heading2"/>
      </w:pPr>
      <w:r>
        <w:rPr>
          <w:rFonts w:ascii="Pretendard" w:hAnsi="Pretendard" w:eastAsia="Pretendard" w:cs="Pretendard"/>
        </w:rPr>
        <w:t>뒤 단원으로 넘길 자료와 질문</w:t>
      </w:r>
    </w:p>
    <w:tbl>
      <w:tblPr>
        <w:tblW w:type="auto" w:w="0"/>
        <w:jc w:val="center"/>
        <w:tblLayout w:type="fixed"/>
        <w:tblLook w:firstColumn="1" w:firstRow="1" w:lastColumn="0" w:lastRow="0" w:noHBand="0" w:noVBand="1" w:val="04A0"/>
        <w:tblBorders>
          <w:top w:val="single" w:sz="4" w:color="D0D4DC"/>
          <w:bottom w:val="single" w:sz="4" w:color="D0D4DC"/>
          <w:insideH w:val="single" w:sz="4" w:color="D0D4DC"/>
        </w:tblBorders>
      </w:tblPr>
      <w:tblGrid>
        <w:gridCol w:w="1417"/>
        <w:gridCol w:w="8107"/>
      </w:tblGrid>
      <w:tr>
        <w:trPr>
          <w:cantSplit/>
          <w:tblHeader/>
        </w:trPr>
        <w:tc>
          <w:tcPr>
            <w:tcW w:type="dxa" w:w="1417"/>
            <w:vAlign w:val="center"/>
            <w:tcMar>
              <w:top w:w="80" w:type="dxa"/>
              <w:bottom w:w="80" w:type="dxa"/>
              <w:left w:w="80" w:type="dxa"/>
              <w:right w:w="80" w:type="dxa"/>
            </w:tcMar>
            <w:shd w:fill="F2F4F8"/>
          </w:tcPr>
          <w:p>
            <w:pPr>
              <w:spacing w:after="20" w:line="269" w:lineRule="auto"/>
            </w:pPr>
            <w:r>
              <w:rPr>
                <w:rFonts w:ascii="Pretendard" w:hAnsi="Pretendard" w:eastAsia="Pretendard" w:cs="Pretendard"/>
                <w:b/>
                <w:sz w:val="18"/>
              </w:rPr>
              <w:t>단원</w:t>
            </w:r>
          </w:p>
        </w:tc>
        <w:tc>
          <w:tcPr>
            <w:tcW w:type="dxa" w:w="8107"/>
            <w:vAlign w:val="center"/>
            <w:tcMar>
              <w:top w:w="80" w:type="dxa"/>
              <w:bottom w:w="80" w:type="dxa"/>
              <w:left w:w="80" w:type="dxa"/>
              <w:right w:w="80" w:type="dxa"/>
            </w:tcMar>
            <w:shd w:fill="F2F4F8"/>
          </w:tcPr>
          <w:p>
            <w:pPr>
              <w:spacing w:after="20" w:line="269" w:lineRule="auto"/>
            </w:pPr>
            <w:r>
              <w:rPr>
                <w:rFonts w:ascii="Pretendard" w:hAnsi="Pretendard" w:eastAsia="Pretendard" w:cs="Pretendard"/>
                <w:b/>
                <w:sz w:val="18"/>
              </w:rPr>
              <w:t>제1장 자료의 재사용 범위</w:t>
            </w:r>
          </w:p>
        </w:tc>
      </w:tr>
      <w:tr>
        <w:trPr>
          <w:cantSplit/>
        </w:trPr>
        <w:tc>
          <w:tcPr>
            <w:tcW w:type="dxa" w:w="141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제2장</w:t>
            </w:r>
          </w:p>
        </w:tc>
        <w:tc>
          <w:tcPr>
            <w:tcW w:type="dxa" w:w="81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피해청소년의 법적 지위 변화와 우범소년 경로의 관계를 법 개정 내용으로 설명한다.</w:t>
            </w:r>
          </w:p>
        </w:tc>
      </w:tr>
      <w:tr>
        <w:trPr>
          <w:cantSplit/>
        </w:trPr>
        <w:tc>
          <w:tcPr>
            <w:tcW w:type="dxa" w:w="141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제3·4장</w:t>
            </w:r>
          </w:p>
        </w:tc>
        <w:tc>
          <w:tcPr>
            <w:tcW w:type="dxa" w:w="81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피해 규모 원표와 현장 맥락, 송치·처분의 실제 분포를 제시한다. 사례를 대표 통계로 바꾸지 않는다.</w:t>
            </w:r>
          </w:p>
        </w:tc>
      </w:tr>
      <w:tr>
        <w:trPr>
          <w:cantSplit/>
        </w:trPr>
        <w:tc>
          <w:tcPr>
            <w:tcW w:type="dxa" w:w="141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제5·6장</w:t>
            </w:r>
          </w:p>
        </w:tc>
        <w:tc>
          <w:tcPr>
            <w:tcW w:type="dxa" w:w="81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숙소·치료·생활관리·자유 제한을 비교하고, 연결 시점·인력·주거·기관 책임을 구체화한다.</w:t>
            </w:r>
          </w:p>
        </w:tc>
      </w:tr>
      <w:tr>
        <w:trPr>
          <w:cantSplit/>
        </w:trPr>
        <w:tc>
          <w:tcPr>
            <w:tcW w:type="dxa" w:w="141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제7·8장</w:t>
            </w:r>
          </w:p>
        </w:tc>
        <w:tc>
          <w:tcPr>
            <w:tcW w:type="dxa" w:w="8107"/>
            <w:vAlign w:val="center"/>
            <w:tcMar>
              <w:top w:w="80" w:type="dxa"/>
              <w:bottom w:w="80" w:type="dxa"/>
              <w:left w:w="80" w:type="dxa"/>
              <w:right w:w="80" w:type="dxa"/>
            </w:tcMar>
          </w:tcPr>
          <w:p>
            <w:pPr>
              <w:spacing w:after="20" w:line="269" w:lineRule="auto"/>
            </w:pPr>
            <w:r>
              <w:rPr>
                <w:rFonts w:ascii="Pretendard" w:hAnsi="Pretendard" w:eastAsia="Pretendard" w:cs="Pretendard"/>
                <w:b w:val="0"/>
                <w:sz w:val="18"/>
              </w:rPr>
              <w:t>효과 연구의 대상과 결과를 확인한 뒤 논거를 평가한다. 사례의 처리 결과를 효과 증거로 대체하지 않는다.</w:t>
            </w:r>
          </w:p>
        </w:tc>
      </w:tr>
    </w:tbl>
    <w:p>
      <w:r>
        <w:rPr>
          <w:rFonts w:ascii="Pretendard" w:hAnsi="Pretendard" w:eastAsia="Pretendard" w:cs="Pretendard"/>
        </w:rPr>
        <w:br w:type="page"/>
      </w:r>
    </w:p>
    <w:p>
      <w:pPr>
        <w:pStyle w:val="Heading1"/>
      </w:pPr>
      <w:r>
        <w:rPr>
          <w:rFonts w:ascii="Pretendard" w:hAnsi="Pretendard" w:eastAsia="Pretendard" w:cs="Pretendard"/>
        </w:rPr>
        <w:t>법조문 확인 · 소년법 제4조</w:t>
      </w:r>
    </w:p>
    <w:p>
      <w:pPr>
        <w:spacing w:after="140"/>
      </w:pPr>
      <w:r>
        <w:rPr>
          <w:rFonts w:ascii="Pretendard" w:hAnsi="Pretendard" w:eastAsia="Pretendard" w:cs="Pretendard"/>
          <w:b/>
          <w:sz w:val="24"/>
        </w:rPr>
        <w:t>제4조(보호의 대상과 송치 및 통고)</w:t>
      </w:r>
    </w:p>
    <w:p>
      <w:pPr>
        <w:spacing w:after="140"/>
      </w:pPr>
      <w:r>
        <w:rPr>
          <w:rFonts w:ascii="Pretendard" w:hAnsi="Pretendard" w:eastAsia="Pretendard" w:cs="Pretendard"/>
          <w:b w:val="0"/>
          <w:sz w:val="21"/>
        </w:rPr>
        <w:t>① 다음 각 호의 어느 하나에 해당하는 소년은 소년부의 보호사건으로 심리한다.</w:t>
      </w:r>
    </w:p>
    <w:p>
      <w:pPr>
        <w:spacing w:after="140"/>
      </w:pPr>
      <w:r>
        <w:rPr>
          <w:rFonts w:ascii="Pretendard" w:hAnsi="Pretendard" w:eastAsia="Pretendard" w:cs="Pretendard"/>
          <w:b w:val="0"/>
          <w:sz w:val="21"/>
        </w:rPr>
        <w:t>1. 죄를 범한 소년</w:t>
      </w:r>
    </w:p>
    <w:p>
      <w:pPr>
        <w:spacing w:after="140"/>
      </w:pPr>
      <w:r>
        <w:rPr>
          <w:rFonts w:ascii="Pretendard" w:hAnsi="Pretendard" w:eastAsia="Pretendard" w:cs="Pretendard"/>
          <w:b w:val="0"/>
          <w:sz w:val="21"/>
        </w:rPr>
        <w:t>2. 형벌 법령에 저촉되는 행위를 한 10세 이상 14세 미만인 소년</w:t>
      </w:r>
    </w:p>
    <w:p>
      <w:pPr>
        <w:spacing w:after="140"/>
      </w:pPr>
      <w:r>
        <w:rPr>
          <w:rFonts w:ascii="Pretendard" w:hAnsi="Pretendard" w:eastAsia="Pretendard" w:cs="Pretendard"/>
          <w:b w:val="0"/>
          <w:sz w:val="21"/>
        </w:rPr>
        <w:t>3. 다음 각 목에 해당하는 사유가 있고 그의 성격이나 환경에 비추어 앞으로 형벌 법령에 저촉되는 행위를 할 우려가 있는 10세 이상인 소년</w:t>
      </w:r>
    </w:p>
    <w:p>
      <w:pPr>
        <w:spacing w:after="140"/>
      </w:pPr>
      <w:r>
        <w:rPr>
          <w:rFonts w:ascii="Pretendard" w:hAnsi="Pretendard" w:eastAsia="Pretendard" w:cs="Pretendard"/>
          <w:b w:val="0"/>
          <w:sz w:val="21"/>
        </w:rPr>
        <w:t>가. 집단적으로 몰려다니며 주위 사람들에게 불안감을 조성하는 성벽(性癖)이 있는 것</w:t>
      </w:r>
    </w:p>
    <w:p>
      <w:pPr>
        <w:spacing w:after="140"/>
      </w:pPr>
      <w:r>
        <w:rPr>
          <w:rFonts w:ascii="Pretendard" w:hAnsi="Pretendard" w:eastAsia="Pretendard" w:cs="Pretendard"/>
          <w:b w:val="0"/>
          <w:sz w:val="21"/>
        </w:rPr>
        <w:t>나. 정당한 이유 없이 가출하는 것</w:t>
      </w:r>
    </w:p>
    <w:p>
      <w:pPr>
        <w:spacing w:after="140"/>
      </w:pPr>
      <w:r>
        <w:rPr>
          <w:rFonts w:ascii="Pretendard" w:hAnsi="Pretendard" w:eastAsia="Pretendard" w:cs="Pretendard"/>
          <w:b w:val="0"/>
          <w:sz w:val="21"/>
        </w:rPr>
        <w:t>다. 술을 마시고 소란을 피우거나 유해환경에 접하는 성벽이 있는 것</w:t>
      </w:r>
    </w:p>
    <w:p>
      <w:pPr>
        <w:spacing w:after="140"/>
      </w:pPr>
      <w:r>
        <w:rPr>
          <w:rFonts w:ascii="Pretendard" w:hAnsi="Pretendard" w:eastAsia="Pretendard" w:cs="Pretendard"/>
          <w:b w:val="0"/>
          <w:sz w:val="21"/>
        </w:rPr>
        <w:t>② 제1항제2호 및 제3호에 해당하는 소년이 있을 때에는 경찰서장은 직접 관할 소년부에 송치(送致)하여야 한다.</w:t>
      </w:r>
    </w:p>
    <w:p>
      <w:pPr>
        <w:spacing w:after="140"/>
      </w:pPr>
      <w:r>
        <w:rPr>
          <w:rFonts w:ascii="Pretendard" w:hAnsi="Pretendard" w:eastAsia="Pretendard" w:cs="Pretendard"/>
          <w:b w:val="0"/>
          <w:sz w:val="21"/>
        </w:rPr>
        <w:t>③ 제1항 각 호의 어느 하나에 해당하는 소년을 발견한 보호자 또는 학교ㆍ사회복리시설ㆍ보호관찰소(보호관찰지소를 포함한다. 이하 같다)의 장은 이를 관할 소년부에 통고할 수 있다.</w:t>
      </w:r>
    </w:p>
    <w:p>
      <w:pPr>
        <w:spacing w:after="140"/>
      </w:pPr>
      <w:r>
        <w:rPr>
          <w:rFonts w:ascii="Pretendard" w:hAnsi="Pretendard" w:eastAsia="Pretendard" w:cs="Pretendard"/>
          <w:b w:val="0"/>
          <w:sz w:val="21"/>
        </w:rPr>
        <w:t>[전문개정 2007. 12. 21.]</w:t>
      </w:r>
    </w:p>
    <w:p>
      <w:pPr>
        <w:spacing w:after="120"/>
      </w:pPr>
      <w:hyperlink r:id="rId20">
        <w:r>
          <w:rPr>
            <w:rFonts w:ascii="Pretendard" w:hAnsi="Pretendard" w:eastAsia="Pretendard" w:cs="Pretendard"/>
            <w:sz w:val="19"/>
            <w:u w:val="single"/>
          </w:rPr>
          <w:t>국가법령정보센터 · 제4조 원문</w:t>
        </w:r>
      </w:hyperlink>
    </w:p>
    <w:p>
      <w:pPr>
        <w:pStyle w:val="Heading2"/>
      </w:pPr>
      <w:r>
        <w:rPr>
          <w:rFonts w:ascii="Pretendard" w:hAnsi="Pretendard" w:eastAsia="Pretendard" w:cs="Pretendard"/>
        </w:rPr>
        <w:t>두 사례의 처분 명칭을 읽는 기준</w:t>
      </w:r>
    </w:p>
    <w:p>
      <w:pPr>
        <w:spacing w:after="140"/>
      </w:pPr>
      <w:r>
        <w:rPr>
          <w:rFonts w:ascii="Pretendard" w:hAnsi="Pretendard" w:eastAsia="Pretendard" w:cs="Pretendard"/>
          <w:b w:val="0"/>
          <w:sz w:val="20"/>
        </w:rPr>
        <w:t>제32조 제1항 제5호는 장기 보호관찰, 제6호는 아동복지시설이나 그 밖의 소년보호시설에 감호 위탁, 제7호는 병원·요양소 또는 의료재활소년원 위탁이다. 이 설명은 각 호를 간추린 것이며, 아래 원문에서 정확한 법정 명칭과 병합 가능 처분을 확인할 수 있다.</w:t>
      </w:r>
    </w:p>
    <w:p>
      <w:pPr>
        <w:spacing w:after="120"/>
      </w:pPr>
      <w:hyperlink r:id="rId14">
        <w:r>
          <w:rPr>
            <w:rFonts w:ascii="Pretendard" w:hAnsi="Pretendard" w:eastAsia="Pretendard" w:cs="Pretendard"/>
            <w:sz w:val="19"/>
            <w:u w:val="single"/>
          </w:rPr>
          <w:t>국가법령정보센터 · 제32조 원문</w:t>
        </w:r>
      </w:hyperlink>
    </w:p>
    <w:p>
      <w:pPr>
        <w:spacing w:after="140"/>
      </w:pPr>
      <w:r>
        <w:rPr>
          <w:rFonts w:ascii="Pretendard" w:hAnsi="Pretendard" w:eastAsia="Pretendard" w:cs="Pretendard"/>
          <w:b w:val="0"/>
          <w:sz w:val="20"/>
        </w:rPr>
        <w:t>형사처벌과 보호처분을 혼동하지 않는다. 분류심사원 임시위탁은 조사·심리 과정의 조치이며 최종 처분 번호와 구분한다. 7호를 ‘치료감호’라는 정식 처분명으로 표시하지 않는다.</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retendard" w:hAnsi="Pretendard" w:eastAsia="Pretendard" w:cs="Pretendard"/>
        <w:sz w:val="16"/>
      </w:rPr>
      <w:t xml:space="preserve">제1장 통합 보강안 · 강의 대본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Pretendard" w:hAnsi="Pretendard" w:eastAsia="Pretendard" w:cs="Pretendard"/>
        <w:sz w:val="16"/>
      </w:rPr>
      <w:t>경찰대학  |  범죄·공공안전세미나Ⅱ 5주차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Pretendard" w:hAnsi="Pretendard" w:eastAsia="Pretendard" w:cs="Pretendard"/>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retendard" w:hAnsi="Pretendard" w:eastAsia="Pretendard" w:cs="Pretendard"/>
    </w:rPr>
  </w:style>
  <w:style w:type="character" w:customStyle="1" w:styleId="HeaderChar">
    <w:name w:val="Header Char"/>
    <w:basedOn w:val="DefaultParagraphFont"/>
    <w:link w:val="Header"/>
    <w:uiPriority w:val="99"/>
    <w:rsid w:val="00E618BF"/>
    <w:rPr>
      <w:rFonts w:ascii="Pretendard" w:hAnsi="Pretendard" w:eastAsia="Pretendard" w:cs="Pretendard"/>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retendard" w:hAnsi="Pretendard" w:eastAsia="Pretendard" w:cs="Pretendard"/>
    </w:rPr>
  </w:style>
  <w:style w:type="character" w:customStyle="1" w:styleId="FooterChar">
    <w:name w:val="Footer Char"/>
    <w:basedOn w:val="DefaultParagraphFont"/>
    <w:link w:val="Footer"/>
    <w:uiPriority w:val="99"/>
    <w:rsid w:val="00E618BF"/>
    <w:rPr>
      <w:rFonts w:ascii="Pretendard" w:hAnsi="Pretendard" w:eastAsia="Pretendard" w:cs="Pretendard"/>
    </w:rPr>
  </w:style>
  <w:style w:type="paragraph" w:styleId="Heading1">
    <w:name w:val="heading 1"/>
    <w:basedOn w:val="Normal"/>
    <w:next w:val="Normal"/>
    <w:link w:val="Heading1Char"/>
    <w:uiPriority w:val="9"/>
    <w:qFormat/>
    <w:rsid w:val="00FC693F"/>
    <w:pPr>
      <w:keepNext/>
      <w:keepLines/>
      <w:spacing w:before="480" w:after="200" w:line="283" w:lineRule="auto"/>
      <w:outlineLvl w:val="0"/>
    </w:pPr>
    <w:rPr>
      <w:rFonts w:ascii="Pretendard" w:hAnsi="Pretendard" w:eastAsia="Pretendard" w:cs="Pretendar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line="283" w:lineRule="auto"/>
      <w:outlineLvl w:val="1"/>
    </w:pPr>
    <w:rPr>
      <w:rFonts w:ascii="Pretendard" w:hAnsi="Pretendard" w:eastAsia="Pretendard" w:cs="Pretendard"/>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40" w:line="283" w:lineRule="auto"/>
      <w:outlineLvl w:val="2"/>
    </w:pPr>
    <w:rPr>
      <w:rFonts w:ascii="Pretendard" w:hAnsi="Pretendard" w:eastAsia="Pretendard" w:cs="Pretendard"/>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Pretendard" w:hAnsi="Pretendard" w:eastAsia="Pretendard" w:cs="Pretendar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Pretendard" w:hAnsi="Pretendard" w:eastAsia="Pretendard" w:cs="Pretendar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Pretendard" w:hAnsi="Pretendard" w:eastAsia="Pretendard" w:cs="Pretendar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Pretendard" w:hAnsi="Pretendard" w:eastAsia="Pretendard" w:cs="Pretendar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Pretendard" w:hAnsi="Pretendard" w:eastAsia="Pretendard" w:cs="Pretendar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Pretendard" w:hAnsi="Pretendard" w:eastAsia="Pretendard" w:cs="Pretendard"/>
      <w:i/>
      <w:iCs/>
      <w:color w:val="404040" w:themeColor="text1" w:themeTint="BF"/>
      <w:sz w:val="20"/>
      <w:szCs w:val="20"/>
    </w:rPr>
  </w:style>
  <w:style w:type="character" w:default="1" w:styleId="DefaultParagraphFont">
    <w:name w:val="Default Paragraph Font"/>
    <w:uiPriority w:val="1"/>
    <w:semiHidden/>
    <w:unhideWhenUsed/>
    <w:rPr>
      <w:rFonts w:ascii="Pretendard" w:hAnsi="Pretendard" w:eastAsia="Pretendard" w:cs="Pretendard"/>
    </w:rPr>
  </w:style>
  <w:style w:type="table" w:default="1" w:styleId="TableNormal">
    <w:name w:val="Normal Table"/>
    <w:uiPriority w:val="99"/>
    <w:semiHidden/>
    <w:unhideWhenUsed/>
    <w:rPr>
      <w:rFonts w:ascii="Pretendard" w:hAnsi="Pretendard" w:eastAsia="Pretendard" w:cs="Pretendar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Pretendard" w:hAnsi="Pretendard" w:eastAsia="Pretendard" w:cs="Pretendard"/>
    </w:rPr>
  </w:style>
  <w:style w:type="character" w:customStyle="1" w:styleId="Heading1Char">
    <w:name w:val="Heading 1 Char"/>
    <w:basedOn w:val="DefaultParagraphFont"/>
    <w:link w:val="Heading1"/>
    <w:uiPriority w:val="9"/>
    <w:rsid w:val="00FC693F"/>
    <w:rPr>
      <w:rFonts w:ascii="Pretendard" w:hAnsi="Pretendard" w:eastAsia="Pretendard" w:cs="Pretendar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Pretendard" w:hAnsi="Pretendard" w:eastAsia="Pretendard" w:cs="Pretendard"/>
      <w:b/>
      <w:bCs/>
      <w:color w:val="4F81BD" w:themeColor="accent1"/>
      <w:sz w:val="26"/>
      <w:szCs w:val="26"/>
    </w:rPr>
  </w:style>
  <w:style w:type="character" w:customStyle="1" w:styleId="Heading3Char">
    <w:name w:val="Heading 3 Char"/>
    <w:basedOn w:val="DefaultParagraphFont"/>
    <w:link w:val="Heading3"/>
    <w:uiPriority w:val="9"/>
    <w:rsid w:val="00FC693F"/>
    <w:rPr>
      <w:rFonts w:ascii="Pretendard" w:hAnsi="Pretendard" w:eastAsia="Pretendard" w:cs="Pretendar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Pretendard" w:hAnsi="Pretendard" w:eastAsia="Pretendard" w:cs="Pretendard"/>
      <w:b/>
      <w:color w:val="000000"/>
      <w:spacing w:val="5"/>
      <w:kern w:val="28"/>
      <w:sz w:val="48"/>
      <w:szCs w:val="52"/>
    </w:rPr>
  </w:style>
  <w:style w:type="character" w:customStyle="1" w:styleId="TitleChar">
    <w:name w:val="Title Char"/>
    <w:basedOn w:val="DefaultParagraphFont"/>
    <w:link w:val="Title"/>
    <w:uiPriority w:val="10"/>
    <w:rsid w:val="00FC693F"/>
    <w:rPr>
      <w:rFonts w:ascii="Pretendard" w:hAnsi="Pretendard" w:eastAsia="Pretendard" w:cs="Pretendar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40"/>
    </w:pPr>
    <w:rPr>
      <w:rFonts w:ascii="Pretendard" w:hAnsi="Pretendard" w:eastAsia="Pretendard" w:cs="Pretendard"/>
      <w:i/>
      <w:iCs/>
      <w:color w:val="000000"/>
      <w:spacing w:val="15"/>
      <w:sz w:val="24"/>
      <w:szCs w:val="24"/>
    </w:rPr>
  </w:style>
  <w:style w:type="character" w:customStyle="1" w:styleId="SubtitleChar">
    <w:name w:val="Subtitle Char"/>
    <w:basedOn w:val="DefaultParagraphFont"/>
    <w:link w:val="Subtitle"/>
    <w:uiPriority w:val="11"/>
    <w:rsid w:val="00FC693F"/>
    <w:rPr>
      <w:rFonts w:ascii="Pretendard" w:hAnsi="Pretendard" w:eastAsia="Pretendard" w:cs="Pretendar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retendard" w:hAnsi="Pretendard" w:eastAsia="Pretendard" w:cs="Pretendard"/>
    </w:rPr>
  </w:style>
  <w:style w:type="paragraph" w:styleId="BodyText">
    <w:name w:val="Body Text"/>
    <w:basedOn w:val="Normal"/>
    <w:link w:val="BodyTextChar"/>
    <w:uiPriority w:val="99"/>
    <w:unhideWhenUsed/>
    <w:rsid w:val="00AA1D8D"/>
    <w:pPr>
      <w:spacing w:after="120"/>
    </w:pPr>
    <w:rPr>
      <w:rFonts w:ascii="Pretendard" w:hAnsi="Pretendard" w:eastAsia="Pretendard" w:cs="Pretendard"/>
    </w:rPr>
  </w:style>
  <w:style w:type="character" w:customStyle="1" w:styleId="BodyTextChar">
    <w:name w:val="Body Text Char"/>
    <w:basedOn w:val="DefaultParagraphFont"/>
    <w:link w:val="BodyText"/>
    <w:uiPriority w:val="99"/>
    <w:rsid w:val="00AA1D8D"/>
    <w:rPr>
      <w:rFonts w:ascii="Pretendard" w:hAnsi="Pretendard" w:eastAsia="Pretendard" w:cs="Pretendard"/>
    </w:rPr>
  </w:style>
  <w:style w:type="paragraph" w:styleId="BodyText2">
    <w:name w:val="Body Text 2"/>
    <w:basedOn w:val="Normal"/>
    <w:link w:val="BodyText2Char"/>
    <w:uiPriority w:val="99"/>
    <w:unhideWhenUsed/>
    <w:rsid w:val="00AA1D8D"/>
    <w:pPr>
      <w:spacing w:after="120" w:line="480" w:lineRule="auto"/>
    </w:pPr>
    <w:rPr>
      <w:rFonts w:ascii="Pretendard" w:hAnsi="Pretendard" w:eastAsia="Pretendard" w:cs="Pretendard"/>
    </w:rPr>
  </w:style>
  <w:style w:type="character" w:customStyle="1" w:styleId="BodyText2Char">
    <w:name w:val="Body Text 2 Char"/>
    <w:basedOn w:val="DefaultParagraphFont"/>
    <w:link w:val="BodyText2"/>
    <w:uiPriority w:val="99"/>
    <w:rsid w:val="00AA1D8D"/>
    <w:rPr>
      <w:rFonts w:ascii="Pretendard" w:hAnsi="Pretendard" w:eastAsia="Pretendard" w:cs="Pretendard"/>
    </w:rPr>
  </w:style>
  <w:style w:type="paragraph" w:styleId="BodyText3">
    <w:name w:val="Body Text 3"/>
    <w:basedOn w:val="Normal"/>
    <w:link w:val="BodyText3Char"/>
    <w:uiPriority w:val="99"/>
    <w:unhideWhenUsed/>
    <w:rsid w:val="00AA1D8D"/>
    <w:pPr>
      <w:spacing w:after="120"/>
    </w:pPr>
    <w:rPr>
      <w:rFonts w:ascii="Pretendard" w:hAnsi="Pretendard" w:eastAsia="Pretendard" w:cs="Pretendard"/>
      <w:sz w:val="16"/>
      <w:szCs w:val="16"/>
    </w:rPr>
  </w:style>
  <w:style w:type="character" w:customStyle="1" w:styleId="BodyText3Char">
    <w:name w:val="Body Text 3 Char"/>
    <w:basedOn w:val="DefaultParagraphFont"/>
    <w:link w:val="BodyText3"/>
    <w:uiPriority w:val="99"/>
    <w:rsid w:val="00AA1D8D"/>
    <w:rPr>
      <w:rFonts w:ascii="Pretendard" w:hAnsi="Pretendard" w:eastAsia="Pretendard" w:cs="Pretendard"/>
      <w:sz w:val="16"/>
      <w:szCs w:val="16"/>
    </w:rPr>
  </w:style>
  <w:style w:type="paragraph" w:styleId="List">
    <w:name w:val="List"/>
    <w:basedOn w:val="Normal"/>
    <w:uiPriority w:val="99"/>
    <w:unhideWhenUsed/>
    <w:rsid w:val="00AA1D8D"/>
    <w:pPr>
      <w:ind w:left="360" w:hanging="360"/>
      <w:contextualSpacing/>
    </w:pPr>
    <w:rPr>
      <w:rFonts w:ascii="Pretendard" w:hAnsi="Pretendard" w:eastAsia="Pretendard" w:cs="Pretendard"/>
    </w:rPr>
  </w:style>
  <w:style w:type="paragraph" w:styleId="List2">
    <w:name w:val="List 2"/>
    <w:basedOn w:val="Normal"/>
    <w:uiPriority w:val="99"/>
    <w:unhideWhenUsed/>
    <w:rsid w:val="00326F90"/>
    <w:pPr>
      <w:ind w:left="720" w:hanging="360"/>
      <w:contextualSpacing/>
    </w:pPr>
    <w:rPr>
      <w:rFonts w:ascii="Pretendard" w:hAnsi="Pretendard" w:eastAsia="Pretendard" w:cs="Pretendard"/>
    </w:rPr>
  </w:style>
  <w:style w:type="paragraph" w:styleId="List3">
    <w:name w:val="List 3"/>
    <w:basedOn w:val="Normal"/>
    <w:uiPriority w:val="99"/>
    <w:unhideWhenUsed/>
    <w:rsid w:val="00326F90"/>
    <w:pPr>
      <w:ind w:left="1080" w:hanging="360"/>
      <w:contextualSpacing/>
    </w:pPr>
    <w:rPr>
      <w:rFonts w:ascii="Pretendard" w:hAnsi="Pretendard" w:eastAsia="Pretendard" w:cs="Pretendard"/>
    </w:rPr>
  </w:style>
  <w:style w:type="paragraph" w:styleId="ListBullet">
    <w:name w:val="List Bullet"/>
    <w:basedOn w:val="Normal"/>
    <w:uiPriority w:val="99"/>
    <w:unhideWhenUsed/>
    <w:rsid w:val="00326F90"/>
    <w:pPr>
      <w:numPr>
        <w:numId w:val="1"/>
      </w:numPr>
      <w:contextualSpacing/>
    </w:pPr>
    <w:rPr>
      <w:rFonts w:ascii="Pretendard" w:hAnsi="Pretendard" w:eastAsia="Pretendard" w:cs="Pretendard"/>
    </w:rPr>
  </w:style>
  <w:style w:type="paragraph" w:styleId="ListBullet2">
    <w:name w:val="List Bullet 2"/>
    <w:basedOn w:val="Normal"/>
    <w:uiPriority w:val="99"/>
    <w:unhideWhenUsed/>
    <w:rsid w:val="00326F90"/>
    <w:pPr>
      <w:numPr>
        <w:numId w:val="2"/>
      </w:numPr>
      <w:contextualSpacing/>
    </w:pPr>
    <w:rPr>
      <w:rFonts w:ascii="Pretendard" w:hAnsi="Pretendard" w:eastAsia="Pretendard" w:cs="Pretendard"/>
    </w:rPr>
  </w:style>
  <w:style w:type="paragraph" w:styleId="ListBullet3">
    <w:name w:val="List Bullet 3"/>
    <w:basedOn w:val="Normal"/>
    <w:uiPriority w:val="99"/>
    <w:unhideWhenUsed/>
    <w:rsid w:val="00326F90"/>
    <w:pPr>
      <w:numPr>
        <w:numId w:val="3"/>
      </w:numPr>
      <w:contextualSpacing/>
    </w:pPr>
    <w:rPr>
      <w:rFonts w:ascii="Pretendard" w:hAnsi="Pretendard" w:eastAsia="Pretendard" w:cs="Pretendard"/>
    </w:rPr>
  </w:style>
  <w:style w:type="paragraph" w:styleId="ListNumber">
    <w:name w:val="List Number"/>
    <w:basedOn w:val="Normal"/>
    <w:uiPriority w:val="99"/>
    <w:unhideWhenUsed/>
    <w:rsid w:val="00326F90"/>
    <w:pPr>
      <w:numPr>
        <w:numId w:val="5"/>
      </w:numPr>
      <w:contextualSpacing/>
    </w:pPr>
    <w:rPr>
      <w:rFonts w:ascii="Pretendard" w:hAnsi="Pretendard" w:eastAsia="Pretendard" w:cs="Pretendard"/>
    </w:rPr>
  </w:style>
  <w:style w:type="paragraph" w:styleId="ListNumber2">
    <w:name w:val="List Number 2"/>
    <w:basedOn w:val="Normal"/>
    <w:uiPriority w:val="99"/>
    <w:unhideWhenUsed/>
    <w:rsid w:val="0029639D"/>
    <w:pPr>
      <w:numPr>
        <w:numId w:val="6"/>
      </w:numPr>
      <w:contextualSpacing/>
    </w:pPr>
    <w:rPr>
      <w:rFonts w:ascii="Pretendard" w:hAnsi="Pretendard" w:eastAsia="Pretendard" w:cs="Pretendard"/>
    </w:rPr>
  </w:style>
  <w:style w:type="paragraph" w:styleId="ListNumber3">
    <w:name w:val="List Number 3"/>
    <w:basedOn w:val="Normal"/>
    <w:uiPriority w:val="99"/>
    <w:unhideWhenUsed/>
    <w:rsid w:val="0029639D"/>
    <w:pPr>
      <w:numPr>
        <w:numId w:val="7"/>
      </w:numPr>
      <w:contextualSpacing/>
    </w:pPr>
    <w:rPr>
      <w:rFonts w:ascii="Pretendard" w:hAnsi="Pretendard" w:eastAsia="Pretendard" w:cs="Pretendard"/>
    </w:rPr>
  </w:style>
  <w:style w:type="paragraph" w:styleId="ListContinue">
    <w:name w:val="List Continue"/>
    <w:basedOn w:val="Normal"/>
    <w:uiPriority w:val="99"/>
    <w:unhideWhenUsed/>
    <w:rsid w:val="0029639D"/>
    <w:pPr>
      <w:spacing w:after="120"/>
      <w:ind w:left="360"/>
      <w:contextualSpacing/>
    </w:pPr>
    <w:rPr>
      <w:rFonts w:ascii="Pretendard" w:hAnsi="Pretendard" w:eastAsia="Pretendard" w:cs="Pretendard"/>
    </w:rPr>
  </w:style>
  <w:style w:type="paragraph" w:styleId="ListContinue2">
    <w:name w:val="List Continue 2"/>
    <w:basedOn w:val="Normal"/>
    <w:uiPriority w:val="99"/>
    <w:unhideWhenUsed/>
    <w:rsid w:val="0029639D"/>
    <w:pPr>
      <w:spacing w:after="120"/>
      <w:ind w:left="720"/>
      <w:contextualSpacing/>
    </w:pPr>
    <w:rPr>
      <w:rFonts w:ascii="Pretendard" w:hAnsi="Pretendard" w:eastAsia="Pretendard" w:cs="Pretendard"/>
    </w:rPr>
  </w:style>
  <w:style w:type="paragraph" w:styleId="ListContinue3">
    <w:name w:val="List Continue 3"/>
    <w:basedOn w:val="Normal"/>
    <w:uiPriority w:val="99"/>
    <w:unhideWhenUsed/>
    <w:rsid w:val="0029639D"/>
    <w:pPr>
      <w:spacing w:after="120"/>
      <w:ind w:left="1080"/>
      <w:contextualSpacing/>
    </w:pPr>
    <w:rPr>
      <w:rFonts w:ascii="Pretendard" w:hAnsi="Pretendard" w:eastAsia="Pretendard" w:cs="Pretendar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retendard" w:hAnsi="Pretendard" w:eastAsia="Pretendard" w:cs="Pretendard"/>
      <w:sz w:val="20"/>
      <w:szCs w:val="20"/>
    </w:rPr>
  </w:style>
  <w:style w:type="character" w:customStyle="1" w:styleId="MacroTextChar">
    <w:name w:val="Macro Text Char"/>
    <w:basedOn w:val="DefaultParagraphFont"/>
    <w:link w:val="MacroText"/>
    <w:uiPriority w:val="99"/>
    <w:rsid w:val="0029639D"/>
    <w:rPr>
      <w:rFonts w:ascii="Pretendard" w:hAnsi="Pretendard" w:eastAsia="Pretendard" w:cs="Pretendard"/>
      <w:sz w:val="20"/>
      <w:szCs w:val="20"/>
    </w:rPr>
  </w:style>
  <w:style w:type="paragraph" w:styleId="Quote">
    <w:name w:val="Quote"/>
    <w:basedOn w:val="Normal"/>
    <w:next w:val="Normal"/>
    <w:link w:val="QuoteChar"/>
    <w:uiPriority w:val="29"/>
    <w:qFormat/>
    <w:rsid w:val="00FC693F"/>
    <w:rPr>
      <w:rFonts w:ascii="Pretendard" w:hAnsi="Pretendard" w:eastAsia="Pretendard" w:cs="Pretendard"/>
      <w:i/>
      <w:iCs/>
      <w:color w:val="000000" w:themeColor="text1"/>
    </w:rPr>
  </w:style>
  <w:style w:type="character" w:customStyle="1" w:styleId="QuoteChar">
    <w:name w:val="Quote Char"/>
    <w:basedOn w:val="DefaultParagraphFont"/>
    <w:link w:val="Quote"/>
    <w:uiPriority w:val="29"/>
    <w:rsid w:val="00FC693F"/>
    <w:rPr>
      <w:rFonts w:ascii="Pretendard" w:hAnsi="Pretendard" w:eastAsia="Pretendard" w:cs="Pretendard"/>
      <w:i/>
      <w:iCs/>
      <w:color w:val="000000" w:themeColor="text1"/>
    </w:rPr>
  </w:style>
  <w:style w:type="character" w:customStyle="1" w:styleId="Heading4Char">
    <w:name w:val="Heading 4 Char"/>
    <w:basedOn w:val="DefaultParagraphFont"/>
    <w:link w:val="Heading4"/>
    <w:uiPriority w:val="9"/>
    <w:semiHidden/>
    <w:rsid w:val="00FC693F"/>
    <w:rPr>
      <w:rFonts w:ascii="Pretendard" w:hAnsi="Pretendard" w:eastAsia="Pretendard" w:cs="Pretendard"/>
      <w:b/>
      <w:bCs/>
      <w:i/>
      <w:iCs/>
      <w:color w:val="4F81BD" w:themeColor="accent1"/>
    </w:rPr>
  </w:style>
  <w:style w:type="character" w:customStyle="1" w:styleId="Heading5Char">
    <w:name w:val="Heading 5 Char"/>
    <w:basedOn w:val="DefaultParagraphFont"/>
    <w:link w:val="Heading5"/>
    <w:uiPriority w:val="9"/>
    <w:semiHidden/>
    <w:rsid w:val="00FC693F"/>
    <w:rPr>
      <w:rFonts w:ascii="Pretendard" w:hAnsi="Pretendard" w:eastAsia="Pretendard" w:cs="Pretendard"/>
      <w:color w:val="243F60" w:themeColor="accent1" w:themeShade="7F"/>
    </w:rPr>
  </w:style>
  <w:style w:type="character" w:customStyle="1" w:styleId="Heading6Char">
    <w:name w:val="Heading 6 Char"/>
    <w:basedOn w:val="DefaultParagraphFont"/>
    <w:link w:val="Heading6"/>
    <w:uiPriority w:val="9"/>
    <w:semiHidden/>
    <w:rsid w:val="00FC693F"/>
    <w:rPr>
      <w:rFonts w:ascii="Pretendard" w:hAnsi="Pretendard" w:eastAsia="Pretendard" w:cs="Pretendard"/>
      <w:i/>
      <w:iCs/>
      <w:color w:val="243F60" w:themeColor="accent1" w:themeShade="7F"/>
    </w:rPr>
  </w:style>
  <w:style w:type="character" w:customStyle="1" w:styleId="Heading7Char">
    <w:name w:val="Heading 7 Char"/>
    <w:basedOn w:val="DefaultParagraphFont"/>
    <w:link w:val="Heading7"/>
    <w:uiPriority w:val="9"/>
    <w:semiHidden/>
    <w:rsid w:val="00FC693F"/>
    <w:rPr>
      <w:rFonts w:ascii="Pretendard" w:hAnsi="Pretendard" w:eastAsia="Pretendard" w:cs="Pretendard"/>
      <w:i/>
      <w:iCs/>
      <w:color w:val="404040" w:themeColor="text1" w:themeTint="BF"/>
    </w:rPr>
  </w:style>
  <w:style w:type="character" w:customStyle="1" w:styleId="Heading8Char">
    <w:name w:val="Heading 8 Char"/>
    <w:basedOn w:val="DefaultParagraphFont"/>
    <w:link w:val="Heading8"/>
    <w:uiPriority w:val="9"/>
    <w:semiHidden/>
    <w:rsid w:val="00FC693F"/>
    <w:rPr>
      <w:rFonts w:ascii="Pretendard" w:hAnsi="Pretendard" w:eastAsia="Pretendard" w:cs="Pretendard"/>
      <w:color w:val="4F81BD" w:themeColor="accent1"/>
      <w:sz w:val="20"/>
      <w:szCs w:val="20"/>
    </w:rPr>
  </w:style>
  <w:style w:type="character" w:customStyle="1" w:styleId="Heading9Char">
    <w:name w:val="Heading 9 Char"/>
    <w:basedOn w:val="DefaultParagraphFont"/>
    <w:link w:val="Heading9"/>
    <w:uiPriority w:val="9"/>
    <w:semiHidden/>
    <w:rsid w:val="00FC693F"/>
    <w:rPr>
      <w:rFonts w:ascii="Pretendard" w:hAnsi="Pretendard" w:eastAsia="Pretendard" w:cs="Pretendar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40"/>
    </w:pPr>
    <w:rPr>
      <w:rFonts w:ascii="Pretendard" w:hAnsi="Pretendard" w:eastAsia="Pretendard" w:cs="Pretendard"/>
      <w:b/>
      <w:bCs/>
      <w:color w:val="000000"/>
      <w:sz w:val="18"/>
      <w:szCs w:val="18"/>
    </w:rPr>
  </w:style>
  <w:style w:type="character" w:styleId="Strong">
    <w:name w:val="Strong"/>
    <w:basedOn w:val="DefaultParagraphFont"/>
    <w:uiPriority w:val="22"/>
    <w:qFormat/>
    <w:rsid w:val="00FC693F"/>
    <w:rPr>
      <w:rFonts w:ascii="Pretendard" w:hAnsi="Pretendard" w:eastAsia="Pretendard" w:cs="Pretendard"/>
      <w:b/>
      <w:bCs/>
    </w:rPr>
  </w:style>
  <w:style w:type="character" w:styleId="Emphasis">
    <w:name w:val="Emphasis"/>
    <w:basedOn w:val="DefaultParagraphFont"/>
    <w:uiPriority w:val="20"/>
    <w:qFormat/>
    <w:rsid w:val="00FC693F"/>
    <w:rPr>
      <w:rFonts w:ascii="Pretendard" w:hAnsi="Pretendard" w:eastAsia="Pretendard" w:cs="Pretendar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retendard" w:hAnsi="Pretendard" w:eastAsia="Pretendard" w:cs="Pretendard"/>
      <w:b/>
      <w:bCs/>
      <w:i/>
      <w:iCs/>
      <w:color w:val="4F81BD" w:themeColor="accent1"/>
    </w:rPr>
  </w:style>
  <w:style w:type="character" w:customStyle="1" w:styleId="IntenseQuoteChar">
    <w:name w:val="Intense Quote Char"/>
    <w:basedOn w:val="DefaultParagraphFont"/>
    <w:link w:val="IntenseQuote"/>
    <w:uiPriority w:val="30"/>
    <w:rsid w:val="00FC693F"/>
    <w:rPr>
      <w:rFonts w:ascii="Pretendard" w:hAnsi="Pretendard" w:eastAsia="Pretendard" w:cs="Pretendard"/>
      <w:b/>
      <w:bCs/>
      <w:i/>
      <w:iCs/>
      <w:color w:val="4F81BD" w:themeColor="accent1"/>
    </w:rPr>
  </w:style>
  <w:style w:type="character" w:styleId="SubtleEmphasis">
    <w:name w:val="Subtle Emphasis"/>
    <w:basedOn w:val="DefaultParagraphFont"/>
    <w:uiPriority w:val="19"/>
    <w:qFormat/>
    <w:rsid w:val="00FC693F"/>
    <w:rPr>
      <w:rFonts w:ascii="Pretendard" w:hAnsi="Pretendard" w:eastAsia="Pretendard" w:cs="Pretendard"/>
      <w:i/>
      <w:iCs/>
      <w:color w:val="808080" w:themeColor="text1" w:themeTint="7F"/>
    </w:rPr>
  </w:style>
  <w:style w:type="character" w:styleId="IntenseEmphasis">
    <w:name w:val="Intense Emphasis"/>
    <w:basedOn w:val="DefaultParagraphFont"/>
    <w:uiPriority w:val="21"/>
    <w:qFormat/>
    <w:rsid w:val="00FC693F"/>
    <w:rPr>
      <w:rFonts w:ascii="Pretendard" w:hAnsi="Pretendard" w:eastAsia="Pretendard" w:cs="Pretendard"/>
      <w:b/>
      <w:bCs/>
      <w:i/>
      <w:iCs/>
      <w:color w:val="4F81BD" w:themeColor="accent1"/>
    </w:rPr>
  </w:style>
  <w:style w:type="character" w:styleId="SubtleReference">
    <w:name w:val="Subtle Reference"/>
    <w:basedOn w:val="DefaultParagraphFont"/>
    <w:uiPriority w:val="31"/>
    <w:qFormat/>
    <w:rsid w:val="00FC693F"/>
    <w:rPr>
      <w:rFonts w:ascii="Pretendard" w:hAnsi="Pretendard" w:eastAsia="Pretendard" w:cs="Pretendard"/>
      <w:smallCaps/>
      <w:color w:val="C0504D" w:themeColor="accent2"/>
      <w:u w:val="single"/>
    </w:rPr>
  </w:style>
  <w:style w:type="character" w:styleId="IntenseReference">
    <w:name w:val="Intense Reference"/>
    <w:basedOn w:val="DefaultParagraphFont"/>
    <w:uiPriority w:val="32"/>
    <w:qFormat/>
    <w:rsid w:val="00FC693F"/>
    <w:rPr>
      <w:rFonts w:ascii="Pretendard" w:hAnsi="Pretendard" w:eastAsia="Pretendard" w:cs="Pretendard"/>
      <w:b/>
      <w:bCs/>
      <w:smallCaps/>
      <w:color w:val="C0504D" w:themeColor="accent2"/>
      <w:spacing w:val="5"/>
      <w:u w:val="single"/>
    </w:rPr>
  </w:style>
  <w:style w:type="character" w:styleId="BookTitle">
    <w:name w:val="Book Title"/>
    <w:basedOn w:val="DefaultParagraphFont"/>
    <w:uiPriority w:val="33"/>
    <w:qFormat/>
    <w:rsid w:val="00FC693F"/>
    <w:rPr>
      <w:rFonts w:ascii="Pretendard" w:hAnsi="Pretendard" w:eastAsia="Pretendard" w:cs="Pretendard"/>
      <w:b/>
      <w:bCs/>
      <w:smallCaps/>
      <w:spacing w:val="5"/>
    </w:rPr>
  </w:style>
  <w:style w:type="paragraph" w:styleId="TOCHeading">
    <w:name w:val="TOC Heading"/>
    <w:basedOn w:val="Heading1"/>
    <w:next w:val="Normal"/>
    <w:uiPriority w:val="39"/>
    <w:semiHidden/>
    <w:unhideWhenUsed/>
    <w:qFormat/>
    <w:rsid w:val="00FC693F"/>
    <w:pPr>
      <w:outlineLvl w:val="9"/>
    </w:pPr>
    <w:rPr>
      <w:rFonts w:ascii="Pretendard" w:hAnsi="Pretendard" w:eastAsia="Pretendard" w:cs="Pretendard"/>
    </w:rPr>
  </w:style>
  <w:style w:type="table" w:styleId="TableGrid">
    <w:name w:val="Table Grid"/>
    <w:basedOn w:val="TableNormal"/>
    <w:uiPriority w:val="59"/>
    <w:rsid w:val="00FC693F"/>
    <w:pPr>
      <w:spacing w:after="0" w:line="240" w:lineRule="auto"/>
    </w:pPr>
    <w:rPr>
      <w:rFonts w:ascii="Pretendard" w:hAnsi="Pretendard" w:eastAsia="Pretendard" w:cs="Pretendar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Pretendard" w:hAnsi="Pretendard" w:eastAsia="Pretendard" w:cs="Pretendard"/>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Pretendard" w:hAnsi="Pretendard" w:eastAsia="Pretendard" w:cs="Pretendard"/>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Pretendard" w:hAnsi="Pretendard" w:eastAsia="Pretendard" w:cs="Pretendard"/>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Pretendard" w:hAnsi="Pretendard" w:eastAsia="Pretendard" w:cs="Pretendard"/>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Pretendard" w:hAnsi="Pretendard" w:eastAsia="Pretendard" w:cs="Pretendard"/>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Pretendard" w:hAnsi="Pretendard" w:eastAsia="Pretendard" w:cs="Pretendard"/>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Pretendard" w:hAnsi="Pretendard" w:eastAsia="Pretendard" w:cs="Pretendard"/>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Pretendard" w:hAnsi="Pretendard" w:eastAsia="Pretendard" w:cs="Pretendard"/>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Pretendard" w:hAnsi="Pretendard" w:eastAsia="Pretendard" w:cs="Pretendard"/>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Pretendard" w:hAnsi="Pretendard" w:eastAsia="Pretendard" w:cs="Pretendar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Pretendard" w:hAnsi="Pretendard" w:eastAsia="Pretendard" w:cs="Pretendar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Pretendard" w:hAnsi="Pretendard" w:eastAsia="Pretendard" w:cs="Pretendar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Pretendard" w:hAnsi="Pretendard" w:eastAsia="Pretendard" w:cs="Pretendard"/>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Pretendard" w:hAnsi="Pretendard" w:eastAsia="Pretendard" w:cs="Pretendar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go.kr/lsInfoP.do?lsId=001662" TargetMode="External"/><Relationship Id="rId12" Type="http://schemas.openxmlformats.org/officeDocument/2006/relationships/hyperlink" Target="https://www.scourt.go.kr/portal/news/NewsViewAction.work?gubun=713&amp;seqnum=43" TargetMode="External"/><Relationship Id="rId13" Type="http://schemas.openxmlformats.org/officeDocument/2006/relationships/hyperlink" Target="https://duroo.org/data/?bmode=view&amp;idx=128595217" TargetMode="External"/><Relationship Id="rId14" Type="http://schemas.openxmlformats.org/officeDocument/2006/relationships/hyperlink" Target="https://law.go.kr/lsLinkCommonInfo.do?chrClsCd=010202&amp;lsJoLnkSeq=1014134273" TargetMode="External"/><Relationship Id="rId15" Type="http://schemas.openxmlformats.org/officeDocument/2006/relationships/hyperlink" Target="https://www.kwdi.re.kr/publications/reportView.do?idx=133642&amp;p=3" TargetMode="External"/><Relationship Id="rId16" Type="http://schemas.openxmlformats.org/officeDocument/2006/relationships/hyperlink" Target="https://www.yna.co.kr/view/AKR20240724110300052" TargetMode="External"/><Relationship Id="rId17" Type="http://schemas.openxmlformats.org/officeDocument/2006/relationships/hyperlink" Target="https://peacewell.org/&#50500;&#52397;&#48277;-&#44060;&#51221;-1&#45380;-&#44536;&#47532;&#44256;/" TargetMode="External"/><Relationship Id="rId18" Type="http://schemas.openxmlformats.org/officeDocument/2006/relationships/hyperlink" Target="https://www.yna.co.kr/view/AKR20260917093951004" TargetMode="External"/><Relationship Id="rId19" Type="http://schemas.openxmlformats.org/officeDocument/2006/relationships/hyperlink" Target="https://www.kci.go.kr/kciportal/landing/article.kci?arti_id=ART002738576" TargetMode="External"/><Relationship Id="rId20" Type="http://schemas.openxmlformats.org/officeDocument/2006/relationships/hyperlink" Target="https://www.law.go.kr/lsLawLinkInfo.do?chrClsCd=010202&amp;lsJoLnkSeq=900434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