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jc w:val="center"/>
      </w:pPr>
      <w:r>
        <w:rPr>
          <w:rFonts w:ascii="Arial" w:cs="Arial" w:eastAsia="Arial" w:hAnsi="Arial"/>
          <w:b/>
          <w:bCs/>
          <w:color w:val="D97706"/>
          <w:sz w:val="22"/>
          <w:szCs w:val="22"/>
        </w:rPr>
        <w:t xml:space="preserve">TELLUSTECH VINA</w:t>
      </w:r>
    </w:p>
    <w:p>
      <w:pPr>
        <w:spacing w:after="80"/>
      </w:pPr>
    </w:p>
    <w:p>
      <w:pPr>
        <w:spacing w:after="80"/>
        <w:jc w:val="center"/>
      </w:pPr>
      <w:r>
        <w:rPr>
          <w:rFonts w:ascii="Arial" w:cs="Arial" w:eastAsia="Arial" w:hAnsi="Arial"/>
          <w:b/>
          <w:bCs/>
          <w:color w:val="1B4965"/>
          <w:sz w:val="42"/>
          <w:szCs w:val="42"/>
        </w:rPr>
        <w:t xml:space="preserve">HỆ THỐNG ERP TELLUSTECH</w:t>
      </w:r>
    </w:p>
    <w:p>
      <w:pPr>
        <w:spacing w:after="60"/>
        <w:jc w:val="center"/>
      </w:pPr>
      <w:r>
        <w:rPr>
          <w:rFonts w:ascii="Arial" w:cs="Arial" w:eastAsia="Arial" w:hAnsi="Arial"/>
          <w:b/>
          <w:bCs/>
          <w:color w:val="1B4965"/>
          <w:sz w:val="30"/>
          <w:szCs w:val="30"/>
        </w:rPr>
        <w:t xml:space="preserve">TÀI LIỆU KẾ HOẠCH v2.3 (최종본)</w:t>
      </w:r>
    </w:p>
    <w:p>
      <w:pPr>
        <w:spacing w:after="120"/>
      </w:pPr>
    </w:p>
    <w:p>
      <w:pPr>
        <w:jc w:val="center"/>
      </w:pPr>
      <w:r>
        <w:rPr>
          <w:rFonts w:ascii="Arial" w:cs="Arial" w:eastAsia="Arial" w:hAnsi="Arial"/>
          <w:color w:val="666666"/>
          <w:sz w:val="19"/>
          <w:szCs w:val="19"/>
        </w:rPr>
        <w:t xml:space="preserve">Cho thuê · Sửa chữa · Hiệu chuẩn · Kho · Doanh thu/Mua hàng · Nhân sự</w:t>
      </w:r>
    </w:p>
    <w:p>
      <w:pPr>
        <w:spacing w:after="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jc w:val="right"/>
            </w:pPr>
            <w:r>
              <w:rPr>
                <w:rFonts w:ascii="Arial" w:cs="Arial" w:eastAsia="Arial" w:hAnsi="Arial"/>
                <w:color w:val="999999"/>
                <w:sz w:val="17"/>
                <w:szCs w:val="17"/>
              </w:rPr>
              <w:t xml:space="preserve">Thay đổi</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D97706"/>
                <w:sz w:val="17"/>
                <w:szCs w:val="17"/>
              </w:rPr>
              <w:t xml:space="preserve">v2.3 Bản cuối — Mở rộng QL KH + AI dịch + AI đánh giá + QL xuất phát</w:t>
            </w:r>
          </w:p>
        </w:tc>
      </w:tr>
      <w:t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jc w:val="right"/>
            </w:pPr>
            <w:r>
              <w:rPr>
                <w:rFonts w:ascii="Arial" w:cs="Arial" w:eastAsia="Arial" w:hAnsi="Arial"/>
                <w:color w:val="999999"/>
                <w:sz w:val="17"/>
                <w:szCs w:val="17"/>
              </w:rPr>
              <w:t xml:space="preserve">Ngày</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color w:val="333333"/>
                <w:sz w:val="17"/>
                <w:szCs w:val="17"/>
              </w:rPr>
              <w:t xml:space="preserve">Ngày 16/04/2026</w:t>
            </w:r>
          </w:p>
        </w:tc>
      </w:tr>
    </w:tbl>
    <w:p>
      <w:pPr>
        <w:sectPr>
          <w:pgSz w:w="11906" w:h="16838" w:orient="portrait"/>
          <w:pgMar w:top="1100" w:right="1100" w:bottom="1100" w:left="1100" w:header="708" w:footer="708" w:gutter="0"/>
          <w:pgNumType/>
          <w:docGrid w:linePitch="360"/>
        </w:sectPr>
      </w:pPr>
    </w:p>
    <w:p>
      <w:pPr>
        <w:pStyle w:val="Heading1"/>
        <w:spacing w:after="120" w:before="360"/>
      </w:pPr>
      <w:r>
        <w:rPr>
          <w:rFonts w:ascii="Arial" w:cs="Arial" w:eastAsia="Arial" w:hAnsi="Arial"/>
          <w:b/>
          <w:bCs/>
          <w:color w:val="1B4965"/>
        </w:rPr>
        <w:t xml:space="preserve">MỤC LỤC</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B4965"/>
        </w:rPr>
        <w:t xml:space="preserve">1. TỔNG QUAN DỰ ÁN</w:t>
      </w:r>
    </w:p>
    <w:p>
      <w:pPr>
        <w:spacing w:after="100"/>
      </w:pPr>
      <w:r>
        <w:rPr>
          <w:rFonts w:ascii="Arial" w:cs="Arial" w:eastAsia="Arial" w:hAnsi="Arial"/>
          <w:b w:val="false"/>
          <w:bCs w:val="false"/>
          <w:i w:val="false"/>
          <w:iCs w:val="false"/>
          <w:color w:val="333333"/>
          <w:sz w:val="19"/>
          <w:szCs w:val="19"/>
        </w:rPr>
        <w:t xml:space="preserve">Tellustech Vina: 5 chi nhánh (BN/HN/HCM/NT/DN), 3 bộ phận (Cho thuê/Sửa chữa/Hiệu chuẩn). ECOUNT ERP không còn sử dụng, hệ thống này là ERP chính. MISA kết nối bán tự động qua Excel.</w:t>
      </w:r>
    </w:p>
    <w:p>
      <w:pPr>
        <w:pStyle w:val="Heading2"/>
        <w:spacing w:after="120" w:before="280"/>
      </w:pPr>
      <w:r>
        <w:rPr>
          <w:rFonts w:ascii="Arial" w:cs="Arial" w:eastAsia="Arial" w:hAnsi="Arial"/>
          <w:b/>
          <w:bCs/>
          <w:color w:val="1B4965"/>
        </w:rPr>
        <w:t xml:space="preserve">1.1 Cấu trúc trang (9 module)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906"/>
      </w:tblGrid>
      <w:tr>
        <w:tc>
          <w:tcPr>
            <w:tcW w:type="dxa" w:w="20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Module</w:t>
            </w:r>
          </w:p>
        </w:tc>
        <w:tc>
          <w:tcPr>
            <w:tcW w:type="dxa" w:w="48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Chức năng</w:t>
            </w:r>
          </w:p>
        </w:tc>
        <w:tc>
          <w:tcPr>
            <w:tcW w:type="dxa" w:w="2906"/>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Dữ liệu chính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1. Đăng ký cơ bản</w:t>
            </w:r>
          </w:p>
        </w:tc>
        <w:tc>
          <w:tcPr>
            <w:tcW w:type="dxa" w:w="4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NV/CN/KH(mở rộng:CRM+Marketing)/SP/DA/Kho</w:t>
            </w:r>
          </w:p>
        </w:tc>
        <w:tc>
          <w:tcPr>
            <w:tcW w:type="dxa" w:w="2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Mã KH, Mã NV</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2. Cho thuê (IT+TM)</w:t>
            </w:r>
          </w:p>
        </w:tc>
        <w:tc>
          <w:tcPr>
            <w:tcW w:type="dxa" w:w="4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IT(máy in: phí cơ bản+vượt), TM(đo lường: mua/bán)</w:t>
            </w:r>
          </w:p>
        </w:tc>
        <w:tc>
          <w:tcPr>
            <w:tcW w:type="dxa" w:w="2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S/N + Tên KH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3. Quản lý kho</w:t>
            </w:r>
          </w:p>
        </w:tc>
        <w:tc>
          <w:tcPr>
            <w:tcW w:type="dxa" w:w="4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Kho theo CN, Khấu hao, Quét mã vạch</w:t>
            </w:r>
          </w:p>
        </w:tc>
        <w:tc>
          <w:tcPr>
            <w:tcW w:type="dxa" w:w="2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Mã SP + Kho</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4. Hiệu chuẩn</w:t>
            </w:r>
          </w:p>
        </w:tc>
        <w:tc>
          <w:tcPr>
            <w:tcW w:type="dxa" w:w="4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Thực hiện, PDF CC, Nhắc nhở năm</w:t>
            </w:r>
          </w:p>
        </w:tc>
        <w:tc>
          <w:tcPr>
            <w:tcW w:type="dxa" w:w="2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S/N + Số CC</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5. Quản lý A/S</w:t>
            </w:r>
          </w:p>
        </w:tc>
        <w:tc>
          <w:tcPr>
            <w:tcW w:type="dxa" w:w="4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Tiếp nhận~Hoàn thành, Xuất phát(KC/đồng hồ OCR/ảnh), Chặn nợ</w:t>
            </w:r>
          </w:p>
        </w:tc>
        <w:tc>
          <w:tcPr>
            <w:tcW w:type="dxa" w:w="2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S/N + Số phiếu</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6. Doanh thu</w:t>
            </w:r>
          </w:p>
        </w:tc>
        <w:tc>
          <w:tcPr>
            <w:tcW w:type="dxa" w:w="4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SC/HC/Thuê/BT/Bán</w:t>
            </w:r>
          </w:p>
        </w:tc>
        <w:tc>
          <w:tcPr>
            <w:tcW w:type="dxa" w:w="2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Số phiếu</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7. Mua hàng</w:t>
            </w:r>
          </w:p>
        </w:tc>
        <w:tc>
          <w:tcPr>
            <w:tcW w:type="dxa" w:w="4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SC/HC/Thuê/BT/Mua</w:t>
            </w:r>
          </w:p>
        </w:tc>
        <w:tc>
          <w:tcPr>
            <w:tcW w:type="dxa" w:w="2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Số phiếu</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8. Nhân sự</w:t>
            </w:r>
          </w:p>
        </w:tc>
        <w:tc>
          <w:tcPr>
            <w:tcW w:type="dxa" w:w="4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ĐG theo sự kiện, ĐG bằng AI, Phép, Lương, Thưởng</w:t>
            </w:r>
          </w:p>
        </w:tc>
        <w:tc>
          <w:tcPr>
            <w:tcW w:type="dxa" w:w="2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Mã NV</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9. Hợp đồng IT</w:t>
            </w:r>
          </w:p>
        </w:tc>
        <w:tc>
          <w:tcPr>
            <w:tcW w:type="dxa" w:w="4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TT HĐ, Phí/Số trang/Vượt, PDF</w:t>
            </w:r>
          </w:p>
        </w:tc>
        <w:tc>
          <w:tcPr>
            <w:tcW w:type="dxa" w:w="2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Số HĐ + S/N</w:t>
            </w:r>
          </w:p>
        </w:tc>
      </w:tr>
    </w:tbl>
    <w:p>
      <w:pPr>
        <w:spacing w:after="100"/>
      </w:pPr>
    </w:p>
    <w:p>
      <w:pPr>
        <w:pStyle w:val="Heading2"/>
        <w:spacing w:after="120" w:before="280"/>
      </w:pPr>
      <w:r>
        <w:rPr>
          <w:rFonts w:ascii="Arial" w:cs="Arial" w:eastAsia="Arial" w:hAnsi="Arial"/>
          <w:b/>
          <w:bCs/>
          <w:color w:val="1B4965"/>
        </w:rPr>
        <w:t xml:space="preserve">1.2 Đăng ký cơ bản &gt; Mở rộng Quản lý KH</w:t>
      </w:r>
    </w:p>
    <w:p>
      <w:pPr>
        <w:spacing w:after="100"/>
      </w:pPr>
      <w:r>
        <w:rPr>
          <w:rFonts w:ascii="Arial" w:cs="Arial" w:eastAsia="Arial" w:hAnsi="Arial"/>
          <w:b w:val="false"/>
          <w:bCs w:val="false"/>
          <w:i w:val="false"/>
          <w:iCs w:val="false"/>
          <w:color w:val="333333"/>
          <w:sz w:val="19"/>
          <w:szCs w:val="19"/>
        </w:rPr>
        <w:t xml:space="preserve">Mở rộng quản lý khách hàng với CRM/Marketing tích hợp. Không tách module riêng.</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7506"/>
      </w:tblGrid>
      <w:tr>
        <w:tc>
          <w:tcPr>
            <w:tcW w:type="dxa" w:w="22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Tab</w:t>
            </w:r>
          </w:p>
        </w:tc>
        <w:tc>
          <w:tcPr>
            <w:tcW w:type="dxa" w:w="7506"/>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Nội dung</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Thông tin CB</w:t>
            </w:r>
          </w:p>
        </w:tc>
        <w:tc>
          <w:tcPr>
            <w:tcW w:type="dxa" w:w="75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Mã KH, Tên, MST, Đại diện, SĐT, Địa chỉ, ĐK thanh toán, Tài khoản(NH/Số/Chủ), Ngành</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Liên hệ</w:t>
            </w:r>
          </w:p>
        </w:tc>
        <w:tc>
          <w:tcPr>
            <w:tcW w:type="dxa" w:w="75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Nhiều người LH (Tên/Chức vụ/SĐT/Email), Chọn LH chính</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Kinh doanh</w:t>
            </w:r>
          </w:p>
        </w:tc>
        <w:tc>
          <w:tcPr>
            <w:tcW w:type="dxa" w:w="75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Kênh biết đến (Ghé/Triển lãm/GT/Web/KH cũ/Khác), Người GT, Xếp loại(A/B/C/D), NV KD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Marketing</w:t>
            </w:r>
          </w:p>
        </w:tc>
        <w:tc>
          <w:tcPr>
            <w:tcW w:type="dxa" w:w="75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Đồng ý email, Tag nhóm(VIP/Mới/Ngừng), Khảo sát, Lịch sử email, Chiến dịch</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Giao dịch</w:t>
            </w:r>
          </w:p>
        </w:tc>
        <w:tc>
          <w:tcPr>
            <w:tcW w:type="dxa" w:w="75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Xem DT/MH/AS/Thuê/HC của KH (tự động tổng hợp)</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Công nợ</w:t>
            </w:r>
          </w:p>
        </w:tc>
        <w:tc>
          <w:tcPr>
            <w:tcW w:type="dxa" w:w="75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Tình trạng nợ, Chặn/Mở, Lịch sử</w:t>
            </w:r>
          </w:p>
        </w:tc>
      </w:tr>
    </w:tbl>
    <w:p>
      <w:pPr>
        <w:spacing w:after="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7506"/>
      </w:tblGrid>
      <w:tr>
        <w:tc>
          <w:tcPr>
            <w:tcW w:type="dxa" w:w="22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Chức năng</w:t>
            </w:r>
          </w:p>
        </w:tc>
        <w:tc>
          <w:tcPr>
            <w:tcW w:type="dxa" w:w="7506"/>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Chi tiết</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Khảo sát</w:t>
            </w:r>
          </w:p>
        </w:tc>
        <w:tc>
          <w:tcPr>
            <w:tcW w:type="dxa" w:w="75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Tạo mẫu → Chọn đối tượng (tag/XL/kênh) → Gửi email → Tổng hợp</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Email định kỳ</w:t>
            </w:r>
          </w:p>
        </w:tc>
        <w:tc>
          <w:tcPr>
            <w:tcW w:type="dxa" w:w="75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Theo tháng/quý, theo dõi lịch sử/tỷ lệ mở</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Phân tích KH</w:t>
            </w:r>
          </w:p>
        </w:tc>
        <w:tc>
          <w:tcPr>
            <w:tcW w:type="dxa" w:w="75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Thống kê theo kênh, DT theo XL, QL KH ngừng</w:t>
            </w:r>
          </w:p>
        </w:tc>
      </w:tr>
    </w:tbl>
    <w:p>
      <w:r>
        <w:br w:type="page"/>
      </w:r>
    </w:p>
    <w:p>
      <w:pPr>
        <w:pStyle w:val="Heading1"/>
        <w:spacing w:after="120" w:before="360"/>
      </w:pPr>
      <w:r>
        <w:rPr>
          <w:rFonts w:ascii="Arial" w:cs="Arial" w:eastAsia="Arial" w:hAnsi="Arial"/>
          <w:b/>
          <w:bCs/>
          <w:color w:val="1B4965"/>
        </w:rPr>
        <w:t xml:space="preserve">2. QUẢN LÝ A/S — Quản lý xuất phát</w:t>
      </w:r>
    </w:p>
    <w:p>
      <w:pPr>
        <w:spacing w:after="100"/>
      </w:pPr>
      <w:r>
        <w:rPr>
          <w:rFonts w:ascii="Arial" w:cs="Arial" w:eastAsia="Arial" w:hAnsi="Arial"/>
          <w:b w:val="false"/>
          <w:bCs w:val="false"/>
          <w:i w:val="false"/>
          <w:iCs w:val="false"/>
          <w:color w:val="333333"/>
          <w:sz w:val="19"/>
          <w:szCs w:val="19"/>
        </w:rPr>
        <w:t xml:space="preserve">Tính khoảng cách tự động bằng Google Maps API, Chụp ảnh đồng hồ km + OCR tự động, So sánh khoảng cách Google vs thực tế, Ghi nhận phương tiện (xe CT/xe máy/Grab/taxi).</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800"/>
        <w:gridCol w:w="6906"/>
      </w:tblGrid>
      <w:tr>
        <w:tc>
          <w:tcPr>
            <w:tcW w:type="dxa" w:w="28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Chức năng</w:t>
            </w:r>
          </w:p>
        </w:tc>
        <w:tc>
          <w:tcPr>
            <w:tcW w:type="dxa" w:w="6906"/>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Tính KC tự động</w:t>
            </w:r>
          </w:p>
        </w:tc>
        <w:tc>
          <w:tcPr>
            <w:tcW w:type="dxa" w:w="6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Google Maps API: CN → địa chỉ KH, tính khứ hồi</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Đồng hồ OCR</w:t>
            </w:r>
          </w:p>
        </w:tc>
        <w:tc>
          <w:tcPr>
            <w:tcW w:type="dxa" w:w="6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Chụp ảnh km đi/về → OCR nhận dạng số → Tính quãng đường thực</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So sánh KC</w:t>
            </w:r>
          </w:p>
        </w:tc>
        <w:tc>
          <w:tcPr>
            <w:tcW w:type="dxa" w:w="6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Google khứ hồi vs thực tế → chênh lệch tự động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Phương tiện</w:t>
            </w:r>
          </w:p>
        </w:tc>
        <w:tc>
          <w:tcPr>
            <w:tcW w:type="dxa" w:w="6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Xe CT/Xe máy (bắt buộc chụp ảnh), Grab/Taxi (đính kèm biên lai)</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Quản lý ảnh</w:t>
            </w:r>
          </w:p>
        </w:tc>
        <w:tc>
          <w:tcPr>
            <w:tcW w:type="dxa" w:w="69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Tất cả ảnh đồng hồ + biên lai lưu trong ERP</w:t>
            </w:r>
          </w:p>
        </w:tc>
      </w:tr>
    </w:tbl>
    <w:p>
      <w:r>
        <w:br w:type="page"/>
      </w:r>
    </w:p>
    <w:p>
      <w:pPr>
        <w:pStyle w:val="Heading1"/>
        <w:spacing w:after="120" w:before="360"/>
      </w:pPr>
      <w:r>
        <w:rPr>
          <w:rFonts w:ascii="Arial" w:cs="Arial" w:eastAsia="Arial" w:hAnsi="Arial"/>
          <w:b/>
          <w:bCs/>
          <w:color w:val="1B4965"/>
        </w:rPr>
        <w:t xml:space="preserve">3. HỆ THỐNG ĐÁNH GIÁ NHÂN VIÊN (MớI)</w:t>
      </w:r>
    </w:p>
    <w:p>
      <w:pPr>
        <w:spacing w:after="100"/>
      </w:pPr>
      <w:r>
        <w:rPr>
          <w:rFonts w:ascii="Arial" w:cs="Arial" w:eastAsia="Arial" w:hAnsi="Arial"/>
          <w:b/>
          <w:bCs/>
          <w:i w:val="false"/>
          <w:iCs w:val="false"/>
          <w:color w:val="333333"/>
          <w:sz w:val="19"/>
          <w:szCs w:val="19"/>
        </w:rPr>
        <w:t xml:space="preserve">Kết hợp đánh giá theo sự kiện thường xuyên + đánh giá tự động bằng AI để đảm bảo công bằng.</w:t>
      </w:r>
    </w:p>
    <w:p>
      <w:pPr>
        <w:spacing w:after="80"/>
      </w:pPr>
    </w:p>
    <w:p>
      <w:pPr>
        <w:pStyle w:val="Heading2"/>
        <w:spacing w:after="120" w:before="280"/>
      </w:pPr>
      <w:r>
        <w:rPr>
          <w:rFonts w:ascii="Arial" w:cs="Arial" w:eastAsia="Arial" w:hAnsi="Arial"/>
          <w:b/>
          <w:bCs/>
          <w:color w:val="1B4965"/>
        </w:rPr>
        <w:t xml:space="preserve">3.1 Đánh giá theo sự kiện (thường xuyên)</w:t>
      </w:r>
    </w:p>
    <w:p>
      <w:pPr>
        <w:spacing w:after="100"/>
      </w:pPr>
      <w:r>
        <w:rPr>
          <w:rFonts w:ascii="Arial" w:cs="Arial" w:eastAsia="Arial" w:hAnsi="Arial"/>
          <w:b w:val="false"/>
          <w:bCs w:val="false"/>
          <w:i w:val="false"/>
          <w:iCs w:val="false"/>
          <w:color w:val="333333"/>
          <w:sz w:val="19"/>
          <w:szCs w:val="19"/>
        </w:rPr>
        <w:t xml:space="preserve">Nhân viên có thể viết bất cứ lúc nào về các sự kiện cụ thể (tích cực hoặc cần cải thiện) liên quan đến đồng nghiệp. Quản lý cấp trên sử dụng các ghi nhận này làm căn cứ chấm điểm công bằng.</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00"/>
        <w:gridCol w:w="7306"/>
      </w:tblGrid>
      <w:tr>
        <w:tc>
          <w:tcPr>
            <w:tcW w:type="dxa" w:w="24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Hạng mục</w:t>
            </w:r>
          </w:p>
        </w:tc>
        <w:tc>
          <w:tcPr>
            <w:tcW w:type="dxa" w:w="7306"/>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Người viết</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Bất kỳ nhân viên nào chứng kiến hoặc liên quan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Đối tượng</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Chọn nhân viên được đánh giá</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Loại sự kiện</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Khen ngợi (hợp tác, giải quyết vấn đề, sáng tạo...) / Cần cải thiện (đi muộn, sai sót, thiếu hợp tác...)</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Ngày xảy ra</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Ngày sự kiện thực tế xảy ra</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Mô tả cụ thể</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Mô tả chi tiết tình huống và hành động (tự do viết, tối thiểu 50 ký tự)</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Liên kết A/S/Dự án</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Có thể liên kết số phiếu A/S, số hợp đồng (tùy chọn)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Tệp đính kèm</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Ảnh, ảnh chụp tin nhắn (tùy chọn)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Quyền xem</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Chỉ quản lý cấp trên xem được / Đối tượng không thấy (có thể cấu hình)</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Sử dụng</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Quản lý xem các ghi nhận để làm căn cứ chấm điểm</w:t>
            </w:r>
          </w:p>
        </w:tc>
      </w:tr>
    </w:tbl>
    <w:p>
      <w:r>
        <w:br w:type="page"/>
      </w:r>
    </w:p>
    <w:p>
      <w:pPr>
        <w:pStyle w:val="Heading2"/>
        <w:spacing w:after="120" w:before="280"/>
      </w:pPr>
      <w:r>
        <w:rPr>
          <w:rFonts w:ascii="Arial" w:cs="Arial" w:eastAsia="Arial" w:hAnsi="Arial"/>
          <w:b/>
          <w:bCs/>
          <w:color w:val="1B4965"/>
        </w:rPr>
        <w:t xml:space="preserve">3.2 Hệ thống đánh giá tự động bằng AI</w:t>
      </w:r>
    </w:p>
    <w:p>
      <w:pPr>
        <w:spacing w:after="100"/>
      </w:pPr>
      <w:r>
        <w:rPr>
          <w:rFonts w:ascii="Arial" w:cs="Arial" w:eastAsia="Arial" w:hAnsi="Arial"/>
          <w:b w:val="false"/>
          <w:bCs w:val="false"/>
          <w:i w:val="false"/>
          <w:iCs w:val="false"/>
          <w:color w:val="333333"/>
          <w:sz w:val="19"/>
          <w:szCs w:val="19"/>
        </w:rPr>
        <w:t xml:space="preserve">AI phân tích dữ liệu khách quan từ ERP và các ghi nhận sự kiện để tính điểm công bằng.</w:t>
      </w:r>
    </w:p>
    <w:p>
      <w:pPr>
        <w:spacing w:after="60"/>
      </w:pPr>
    </w:p>
    <w:p>
      <w:pPr>
        <w:pStyle w:val="Heading3"/>
        <w:spacing w:after="120" w:before="200"/>
      </w:pPr>
      <w:r>
        <w:rPr>
          <w:rFonts w:ascii="Arial" w:cs="Arial" w:eastAsia="Arial" w:hAnsi="Arial"/>
          <w:b/>
          <w:bCs/>
          <w:color w:val="1B4965"/>
        </w:rPr>
        <w:t xml:space="preserve">3.2.1 Các chỉ số đánh giá AI</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2106"/>
      </w:tblGrid>
      <w:tr>
        <w:tc>
          <w:tcPr>
            <w:tcW w:type="dxa" w:w="22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Chỉ số</w:t>
            </w:r>
          </w:p>
        </w:tc>
        <w:tc>
          <w:tcPr>
            <w:tcW w:type="dxa" w:w="22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Nguồn dữ liệu</w:t>
            </w:r>
          </w:p>
        </w:tc>
        <w:tc>
          <w:tcPr>
            <w:tcW w:type="dxa" w:w="32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Cách đo</w:t>
            </w:r>
          </w:p>
        </w:tc>
        <w:tc>
          <w:tcPr>
            <w:tcW w:type="dxa" w:w="2106"/>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Tỷ trọng</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ĐG theo sự kiện</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Ghi nhận sự kiện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Phân tích số lượng khen/cải thiện, nội dung, trung bình có trọng số</w:t>
            </w:r>
          </w:p>
        </w:tc>
        <w:tc>
          <w:tcPr>
            <w:tcW w:type="dxa" w:w="2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20%</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ĐG đồng nghiệp</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Đánh giá lẫn nhau</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Trung bình có trọng số + loại bỏ thiên lệch (chi tiết bên dưới)</w:t>
            </w:r>
          </w:p>
        </w:tc>
        <w:tc>
          <w:tcPr>
            <w:tcW w:type="dxa" w:w="2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Tốc độ xử lý A/S (TAT)</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Module A/S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Thời gian TB từ tiếp nhận đến hoàn thành, tỷ lệ đúng hạn</w:t>
            </w:r>
          </w:p>
        </w:tc>
        <w:tc>
          <w:tcPr>
            <w:tcW w:type="dxa" w:w="2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Số lần/Hiệu quả xuất phát</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QL xuất phát A/S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Số lần, hiệu quả KC, tần suất bất thường</w:t>
            </w:r>
          </w:p>
        </w:tc>
        <w:tc>
          <w:tcPr>
            <w:tcW w:type="dxa" w:w="2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Đóng góp doanh thu</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Module doanh thu</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DT cá nhân, tỷ lệ đạt mục tiêu</w:t>
            </w:r>
          </w:p>
        </w:tc>
        <w:tc>
          <w:tcPr>
            <w:tcW w:type="dxa" w:w="2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Tốc độ nhập ERP</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Log ERP</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TG tạo phiếu, số xử lý/ngày</w:t>
            </w:r>
          </w:p>
        </w:tc>
        <w:tc>
          <w:tcPr>
            <w:tcW w:type="dxa" w:w="2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5%</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Tuân thủ deadline ERP</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Log ERP</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Nhập xong trước hạn cuối tháng</w:t>
            </w:r>
          </w:p>
        </w:tc>
        <w:tc>
          <w:tcPr>
            <w:tcW w:type="dxa" w:w="2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Thành thạo ERP</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Log ERP</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Tần suất lỗi, số lần sửa, phạm vi sử dụng</w:t>
            </w:r>
          </w:p>
        </w:tc>
        <w:tc>
          <w:tcPr>
            <w:tcW w:type="dxa" w:w="2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5%</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Chấm công</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Module nhân sự</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Đi muộn/về sớm/nghỉ, mẫu phép năm</w:t>
            </w:r>
          </w:p>
        </w:tc>
        <w:tc>
          <w:tcPr>
            <w:tcW w:type="dxa" w:w="2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5%</w:t>
            </w:r>
          </w:p>
        </w:tc>
      </w:tr>
    </w:tbl>
    <w:p>
      <w:pPr>
        <w:spacing w:after="100"/>
      </w:pPr>
    </w:p>
    <w:p>
      <w:pPr>
        <w:pStyle w:val="Heading3"/>
        <w:spacing w:after="120" w:before="200"/>
      </w:pPr>
      <w:r>
        <w:rPr>
          <w:rFonts w:ascii="Arial" w:cs="Arial" w:eastAsia="Arial" w:hAnsi="Arial"/>
          <w:b/>
          <w:bCs/>
          <w:color w:val="1B4965"/>
        </w:rPr>
        <w:t xml:space="preserve">3.2.2 Đảm bảo công bằng</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00"/>
        <w:gridCol w:w="7306"/>
      </w:tblGrid>
      <w:tr>
        <w:tc>
          <w:tcPr>
            <w:tcW w:type="dxa" w:w="24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Phương pháp</w:t>
            </w:r>
          </w:p>
        </w:tc>
        <w:tc>
          <w:tcPr>
            <w:tcW w:type="dxa" w:w="7306"/>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Trung bình có trọng số</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ĐG đồng nghiệp: gán trọng số theo độ tin cậy. ĐG của quản lý &gt; đồng nghiệp</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Loại bỏ thiên lệch</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Tự động loại đánh giá nếu 1 người cho tất cả điểm tối đa/tối thiểu (lệch &gt;2 độ lệch chuẩn)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Bỏ điểm cao/thấp nhất</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Khi tổng hợp, bỏ điểm cao nhất và thấp nhất rồi tính TB (kiểu Olympic)</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Điều chỉnh theo bộ phận</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Bù trừ chênh lệch điểm giữa các bộ phận do đặc thù công việc</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Phân tích xu hướng</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Theo dõi điểm theo tháng để phát hiện xu hướng cải thiện/giảm</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Ẩn danh</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Đánh giá đồng nghiệp ẩn danh, đối tượng không biết ai đánh giá</w:t>
            </w:r>
          </w:p>
        </w:tc>
      </w:tr>
    </w:tbl>
    <w:p>
      <w:r>
        <w:br w:type="page"/>
      </w:r>
    </w:p>
    <w:p>
      <w:pPr>
        <w:pStyle w:val="Heading3"/>
        <w:spacing w:after="120" w:before="200"/>
      </w:pPr>
      <w:r>
        <w:rPr>
          <w:rFonts w:ascii="Arial" w:cs="Arial" w:eastAsia="Arial" w:hAnsi="Arial"/>
          <w:b/>
          <w:bCs/>
          <w:color w:val="1B4965"/>
        </w:rPr>
        <w:t xml:space="preserve">3.2.3 Kết quả đánh giá AI</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00"/>
        <w:gridCol w:w="7306"/>
      </w:tblGrid>
      <w:tr>
        <w:tc>
          <w:tcPr>
            <w:tcW w:type="dxa" w:w="24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Hạng mục</w:t>
            </w:r>
          </w:p>
        </w:tc>
        <w:tc>
          <w:tcPr>
            <w:tcW w:type="dxa" w:w="7306"/>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Điểm từng chỉ số</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Mỗi chỉ số (9 mục) điểm /100</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Giải thích từng mục</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AI giải thích căn cứ cụ thể. VD: "TAT TB 4.2h, nhanh hơn 38% so với TB nhóm (6.8h)"</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Điểm tổng hợp</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Tổng điểm có trọng số /100</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Nhận xét tổng hợp</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AI viết nhận xét chung: điểm mạnh, điểm cần cải thiện, đề xuất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Xếp loại</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A(≥91) / B(81~90) / C(71~80) / D(&lt;71)</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Biểu đồ theo tháng</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Biểu đồ xu hướng điểm theo tháng</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So sánh nhóm</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Vị trí tương đối trong bộ phận/chức vụ (percentile)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Quản lý điều chỉnh</w:t>
            </w:r>
          </w:p>
        </w:tc>
        <w:tc>
          <w:tcPr>
            <w:tcW w:type="dxa" w:w="73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QL có thể điều chỉnh điểm AI ±10%, bắt buộc ghi lý do</w:t>
            </w:r>
          </w:p>
        </w:tc>
      </w:tr>
    </w:tbl>
    <w:p>
      <w:r>
        <w:br w:type="page"/>
      </w:r>
    </w:p>
    <w:p>
      <w:pPr>
        <w:pStyle w:val="Heading1"/>
        <w:spacing w:after="120" w:before="360"/>
      </w:pPr>
      <w:r>
        <w:rPr>
          <w:rFonts w:ascii="Arial" w:cs="Arial" w:eastAsia="Arial" w:hAnsi="Arial"/>
          <w:b/>
          <w:bCs/>
          <w:color w:val="1B4965"/>
        </w:rPr>
        <w:t xml:space="preserve">4. CHỨC NĂNG CHUNG VÀ DỊCH THUẬT AI TỰ ĐỘNG</w:t>
      </w:r>
    </w:p>
    <w:p>
      <w:pPr>
        <w:spacing w:after="100"/>
      </w:pPr>
      <w:r>
        <w:rPr>
          <w:rFonts w:ascii="Arial" w:cs="Arial" w:eastAsia="Arial" w:hAnsi="Arial"/>
          <w:b w:val="false"/>
          <w:bCs w:val="false"/>
          <w:i w:val="false"/>
          <w:iCs w:val="false"/>
          <w:color w:val="333333"/>
          <w:sz w:val="19"/>
          <w:szCs w:val="19"/>
        </w:rPr>
        <w:t xml:space="preserve">Xem chi tiết tại tài liệu v2.0/v2.1. Chức năng chung: Phân quyền RBAC, Kiểm tra dữ liệu, Lịch sử thay đổi, Chặn nợ xấu, Cổng khách hàng, Excel, SNMP, Responsive, MISA.</w:t>
      </w:r>
    </w:p>
    <w:p>
      <w:pPr>
        <w:spacing w:after="100"/>
      </w:pPr>
    </w:p>
    <w:p>
      <w:pPr>
        <w:pStyle w:val="Heading2"/>
        <w:spacing w:after="120" w:before="280"/>
      </w:pPr>
      <w:r>
        <w:rPr>
          <w:rFonts w:ascii="Arial" w:cs="Arial" w:eastAsia="Arial" w:hAnsi="Arial"/>
          <w:b/>
          <w:bCs/>
          <w:color w:val="1B4965"/>
        </w:rPr>
        <w:t xml:space="preserve">4.1 Hệ thống dịch thuật AI tự động (MớI)</w:t>
      </w:r>
    </w:p>
    <w:p>
      <w:pPr>
        <w:spacing w:after="100"/>
      </w:pPr>
      <w:r>
        <w:rPr>
          <w:rFonts w:ascii="Arial" w:cs="Arial" w:eastAsia="Arial" w:hAnsi="Arial"/>
          <w:b w:val="false"/>
          <w:bCs w:val="false"/>
          <w:i w:val="false"/>
          <w:iCs w:val="false"/>
          <w:color w:val="333333"/>
          <w:sz w:val="19"/>
          <w:szCs w:val="19"/>
        </w:rPr>
        <w:t xml:space="preserve">Tất cả các trường nhập tự do đều được AI dịch tự động khi lưu, giúp mỗi người xem dữ liệu bằng ngôn ngữ của mình.</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600"/>
        <w:gridCol w:w="7106"/>
      </w:tblGrid>
      <w:tr>
        <w:tc>
          <w:tcPr>
            <w:tcW w:type="dxa" w:w="2600"/>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Hạng mục</w:t>
            </w:r>
          </w:p>
        </w:tc>
        <w:tc>
          <w:tcPr>
            <w:tcW w:type="dxa" w:w="7106"/>
            <w:tcBorders>
              <w:top w:val="single" w:color="CCCCCC" w:sz="1"/>
              <w:left w:val="single" w:color="CCCCCC" w:sz="1"/>
              <w:bottom w:val="single" w:color="CCCCCC" w:sz="1"/>
              <w:right w:val="single" w:color="CCCCCC" w:sz="1"/>
            </w:tcBorders>
            <w:shd w:fill="1B4965"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Chi tiết</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Nhập liệu</w:t>
            </w:r>
          </w:p>
        </w:tc>
        <w:tc>
          <w:tcPr>
            <w:tcW w:type="dxa" w:w="7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Nhập tự do bằng tiếng Việt / tiếng Anh / tiếng Hàn</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Tự động nhận diện ngôn ngữ</w:t>
            </w:r>
          </w:p>
        </w:tc>
        <w:tc>
          <w:tcPr>
            <w:tcW w:type="dxa" w:w="7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Hệ thống tự động nhận diện ngôn ngữ của văn bản được nhập</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Dịch khi lưu</w:t>
            </w:r>
          </w:p>
        </w:tc>
        <w:tc>
          <w:tcPr>
            <w:tcW w:type="dxa" w:w="7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Khi nhấn Lưu, AI (Claude API) tự động dịch sang 2 ngôn ngữ còn lại</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Lưu trong DB</w:t>
            </w:r>
          </w:p>
        </w:tc>
        <w:tc>
          <w:tcPr>
            <w:tcW w:type="dxa" w:w="7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Lưu cả bản gốc + bản dịch 3 ngôn ngữ (VD: content_vi, content_en, content_ko)</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Hiển thị</w:t>
            </w:r>
          </w:p>
        </w:tc>
        <w:tc>
          <w:tcPr>
            <w:tcW w:type="dxa" w:w="7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Mỗi người dùng xem bằng ngôn ngữ đã cài đặt (hiển thị nhanh vì đã dịch sẵn)</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Xem bản gốc</w:t>
            </w:r>
          </w:p>
        </w:tc>
        <w:tc>
          <w:tcPr>
            <w:tcW w:type="dxa" w:w="7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Nhấn nút để xem văn bản gốc bất cứ lúc nào</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Sửa bản dịch</w:t>
            </w:r>
          </w:p>
        </w:tc>
        <w:tc>
          <w:tcPr>
            <w:tcW w:type="dxa" w:w="7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Quản lý có thể sửa bản dịch nếu không chính xác</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Phạm vi áp dụng</w:t>
            </w:r>
          </w:p>
        </w:tc>
        <w:tc>
          <w:tcPr>
            <w:tcW w:type="dxa" w:w="7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Nội dung A/S, Đánh giá sự kiện, Yêu cầu KH, Ghi chú — tất cả trường nhập tự do</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Chi phí dự kiến</w:t>
            </w:r>
          </w:p>
        </w:tc>
        <w:tc>
          <w:tcPr>
            <w:tcW w:type="dxa" w:w="71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333333"/>
                <w:sz w:val="17"/>
                <w:szCs w:val="17"/>
              </w:rPr>
              <w:t xml:space="preserve">Khoảng 10~30 triệu VND/tháng (phí API AI, vài nghìn lần/tháng)</w:t>
            </w:r>
          </w:p>
        </w:tc>
      </w:tr>
    </w:tbl>
    <w:p>
      <w:pPr>
        <w:spacing w:after="200"/>
      </w:pPr>
    </w:p>
    <w:p>
      <w:pPr>
        <w:spacing w:after="100"/>
      </w:pPr>
      <w:r>
        <w:rPr>
          <w:rFonts w:ascii="Arial" w:cs="Arial" w:eastAsia="Arial" w:hAnsi="Arial"/>
          <w:b/>
          <w:bCs/>
          <w:i w:val="false"/>
          <w:iCs w:val="false"/>
          <w:color w:val="1B4965"/>
          <w:sz w:val="19"/>
          <w:szCs w:val="19"/>
        </w:rPr>
        <w:t xml:space="preserve">ECOUNT ERP không còn sử dụng. Hệ thống này là ERP chính của Tellustech.</w:t>
      </w:r>
    </w:p>
    <w:p>
      <w:pPr>
        <w:spacing w:after="200"/>
      </w:pPr>
    </w:p>
    <w:p>
      <w:pPr>
        <w:jc w:val="center"/>
      </w:pPr>
      <w:r>
        <w:rPr>
          <w:rFonts w:ascii="Arial" w:cs="Arial" w:eastAsia="Arial" w:hAnsi="Arial"/>
          <w:i/>
          <w:iCs/>
          <w:color w:val="999999"/>
          <w:sz w:val="17"/>
          <w:szCs w:val="17"/>
        </w:rPr>
        <w:t xml:space="preserve">--- End of Document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AAAAA"/>
        <w:sz w:val="14"/>
        <w:szCs w:val="14"/>
      </w:rPr>
      <w:t xml:space="preserve">TELLUSTECH ERP v2.3 (최종본)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965"/>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1B4965"/>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D5A3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2026-04-20T06:37:35.635Z</dcterms:created>
  <dcterms:modified xsi:type="dcterms:W3CDTF">2026-04-20T06:37:35.635Z</dcterms:modified>
</cp:coreProperties>
</file>

<file path=docProps/custom.xml><?xml version="1.0" encoding="utf-8"?>
<Properties xmlns="http://schemas.openxmlformats.org/officeDocument/2006/custom-properties" xmlns:vt="http://schemas.openxmlformats.org/officeDocument/2006/docPropsVTypes"/>
</file>