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900"/>
        <w:jc w:val="center"/>
      </w:pPr>
      <w:r>
        <w:rPr>
          <w:rFonts w:ascii="Garamond" w:hAnsi="Garamond"/>
          <w:b/>
          <w:color w:val="2E5B9E"/>
          <w:sz w:val="30"/>
        </w:rPr>
        <w:t>MANUAL DE LITIGACIÓN EN</w:t>
      </w:r>
    </w:p>
    <w:p>
      <w:pPr>
        <w:jc w:val="center"/>
      </w:pPr>
      <w:r>
        <w:rPr>
          <w:rFonts w:ascii="Garamond" w:hAnsi="Garamond"/>
          <w:b/>
          <w:color w:val="1A2B4A"/>
          <w:sz w:val="50"/>
        </w:rPr>
        <w:t>DERECHO ADMINISTRATIVO, FISCAL Y</w:t>
        <w:br/>
        <w:t>RESPONSABILIDADES DE SERVIDORES PÚBLICOS</w:t>
      </w:r>
    </w:p>
    <w:p>
      <w:pPr>
        <w:jc w:val="center"/>
      </w:pPr>
      <w:r>
        <w:rPr>
          <w:rFonts w:ascii="Garamond" w:hAnsi="Garamond"/>
          <w:color w:val="2E5B9E"/>
          <w:sz w:val="22"/>
        </w:rPr>
        <w:t>México · marco federal y referencia práctica para Jalisco</w:t>
      </w:r>
    </w:p>
    <w:p>
      <w:pPr>
        <w:jc w:val="center"/>
      </w:pPr>
      <w:r>
        <w:rPr>
          <w:rFonts w:ascii="Garamond" w:hAnsi="Garamond"/>
          <w:color w:val="5B6573"/>
          <w:sz w:val="20"/>
        </w:rPr>
        <w:t>CPEUM · LFPA · LFPCA · CFF · LOAPF · LGRA · Ley de Amparo</w:t>
        <w:br/>
        <w:t>Ley para los Servidores Públicos de Jalisco · Ley del Procedimiento Administrativo de Jalisco · Ley de Justicia Administrativa de Jalisco</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Manual práctico para litigantes y asesores: diagnóstico del acto, selección de vía, plazos, recursos, pruebas, medidas cautelares, juicio contencioso, ejecución fiscal, responsabilidades administrativas y amparo. La normativa federal se presenta con referencia a textos vigentes consultados en 2026.</w:t>
            </w:r>
          </w:p>
        </w:tc>
      </w:tr>
    </w:tbl>
    <w:p>
      <w:pPr>
        <w:spacing w:after="20"/>
      </w:pPr>
    </w:p>
    <w:p>
      <w:pPr>
        <w:spacing w:before="1600"/>
        <w:jc w:val="center"/>
      </w:pPr>
      <w:r>
        <w:rPr>
          <w:rFonts w:ascii="Garamond" w:hAnsi="Garamond"/>
          <w:i/>
          <w:color w:val="5B6573"/>
          <w:sz w:val="18"/>
        </w:rPr>
        <w:t>Elaborado a partir de la guía de estudio de Práctica Forense Administrativa y Fiscal y ampliado con legislación vigente.</w:t>
      </w:r>
    </w:p>
    <w:p>
      <w:r>
        <w:br w:type="page"/>
      </w:r>
    </w:p>
    <w:p>
      <w:pPr>
        <w:pStyle w:val="Ttulo1"/>
      </w:pPr>
      <w:r>
        <w:t>ÍNDICE DE TRABAJO</w:t>
      </w:r>
    </w:p>
    <w:p>
      <w:r>
        <w:t>1. 1. Fundamentos de la litigación administrativa en México</w:t>
      </w:r>
    </w:p>
    <w:p>
      <w:r>
        <w:t>2. 2. Primera entrevista y diagnóstico del asunto</w:t>
      </w:r>
    </w:p>
    <w:p>
      <w:r>
        <w:t>3. 3. Arquitectura del acto administrativo</w:t>
      </w:r>
    </w:p>
    <w:p>
      <w:r>
        <w:t>4. 4. Competencia, fundamentación, motivación y debido proceso</w:t>
      </w:r>
    </w:p>
    <w:p>
      <w:r>
        <w:t>5. 5. Procedimiento administrativo federal bajo la LFPA</w:t>
      </w:r>
    </w:p>
    <w:p>
      <w:r>
        <w:t>6. 6. Visitas de verificación, inspección y sanciones</w:t>
      </w:r>
    </w:p>
    <w:p>
      <w:r>
        <w:t>7. 7. Responsabilidades administrativas de servidores públicos</w:t>
      </w:r>
    </w:p>
    <w:p>
      <w:r>
        <w:t>8. 8. Recursos administrativos: revisión y medios especiales</w:t>
      </w:r>
    </w:p>
    <w:p>
      <w:r>
        <w:t>9. 9. Defensa fiscal: CFF, crédito fiscal y recurso de revocación</w:t>
      </w:r>
    </w:p>
    <w:p>
      <w:r>
        <w:t>10. 10. Procedimiento Administrativo de Ejecución (PAE)</w:t>
      </w:r>
    </w:p>
    <w:p>
      <w:r>
        <w:t>11. 11. Juicio contencioso administrativo federal</w:t>
      </w:r>
    </w:p>
    <w:p>
      <w:r>
        <w:t>12. 12. Pruebas, conceptos de impugnación y técnica argumentativa</w:t>
      </w:r>
    </w:p>
    <w:p>
      <w:r>
        <w:t>13. 13. Medidas cautelares y suspensión en sede contenciosa</w:t>
      </w:r>
    </w:p>
    <w:p>
      <w:r>
        <w:t>14. 14. Incidentes, alegatos y recursos en el juicio</w:t>
      </w:r>
    </w:p>
    <w:p>
      <w:r>
        <w:t>15. 15. Amparo en materia administrativa y fiscal</w:t>
      </w:r>
    </w:p>
    <w:p>
      <w:r>
        <w:t>16. 16. Litigación administrativa en Jalisco</w:t>
      </w:r>
    </w:p>
    <w:p>
      <w:r>
        <w:t>17. 17. Estrategia integral del litigante</w:t>
      </w:r>
    </w:p>
    <w:p>
      <w:r>
        <w:t>18. 18. Modelos prácticos de escritos</w:t>
      </w:r>
    </w:p>
    <w:p>
      <w:r>
        <w:t>19. 19. Checklists y control de plazos</w:t>
      </w:r>
    </w:p>
    <w:p>
      <w:r>
        <w:t>20. 20. Cuadros comparativos y rutas rápidas</w:t>
      </w:r>
    </w:p>
    <w:p>
      <w:r>
        <w:t>21. 21. Facultades de comprobación fiscal: de la revisión al crédito</w:t>
      </w:r>
    </w:p>
    <w:p>
      <w:r>
        <w:t>22. 22. Notificaciones, silencio administrativo y negativa ficta</w:t>
      </w:r>
    </w:p>
    <w:p>
      <w:r>
        <w:t>23. 23. Sanciones administrativas: tipicidad, proporcionalidad e individualización</w:t>
      </w:r>
    </w:p>
    <w:p>
      <w:r>
        <w:t>24. 24. Cumplimiento y ejecución de sentencias administrativas</w:t>
      </w:r>
    </w:p>
    <w:p>
      <w:r>
        <w:t>25. 25. Control constitucional y amparo: análisis avanzado</w:t>
      </w:r>
    </w:p>
    <w:p>
      <w:r>
        <w:t>26. 26. Herramientas de trabajo para el litigante administrativo</w:t>
      </w:r>
    </w:p>
    <w:p>
      <w:r>
        <w:t>27. Anexo A. Mapa normativo</w:t>
      </w:r>
    </w:p>
    <w:p>
      <w:r>
        <w:t>28. Anexo B. Fuentes oficiales y actualización normativa</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Advertencia de actualización: las leyes administrativas cambian con frecuencia. Antes de presentar cualquier escrito debe verificarse el texto vigente, la competencia de la autoridad, la vía y el cómputo exacto del plazo. Este manual es una guía de práctica y estudio; no sustituye la revisión del expediente ni de la norma especial aplicable.</w:t>
            </w:r>
          </w:p>
        </w:tc>
      </w:tr>
    </w:tbl>
    <w:p>
      <w:pPr>
        <w:spacing w:after="20"/>
      </w:pPr>
    </w:p>
    <w:p>
      <w:r>
        <w:br w:type="page"/>
      </w:r>
    </w:p>
    <w:p>
      <w:pPr>
        <w:pStyle w:val="Ttulo1"/>
      </w:pPr>
      <w:r>
        <w:t>1. FUNDAMENTOS DE LA LITIGACIÓN ADMINISTRATIVA EN MÉXICO</w:t>
      </w:r>
    </w:p>
    <w:p>
      <w:pPr>
        <w:pStyle w:val="Ttulo2"/>
      </w:pPr>
      <w:r>
        <w:t>1.1 Qué se litiga realmente</w:t>
      </w:r>
    </w:p>
    <w:p>
      <w:r>
        <w:t>La litigación administrativa no consiste solamente en demostrar que una autoridad “se equivocó”. El objeto del litigio es determinar si un acto, resolución, procedimiento, omisión o actuación administrativa se ajustó al marco jurídico que le era aplicable y, cuando corresponda, obtener su nulidad, modificación, revocación, reposición, reconocimiento de un derecho o reparación conforme a la vía procedente.</w:t>
      </w:r>
    </w:p>
    <w:p>
      <w:r>
        <w:t>La primera tarea del abogado es identificar la naturaleza del acto y no escoger el medio de defensa por costumbre. Una multa administrativa, una resolución fiscal, un acto de ejecución, una sanción a un servidor público, una negativa ficta y una clausura pueden tener vías, plazos y autoridades distintas.</w:t>
      </w:r>
    </w:p>
    <w:p>
      <w:pPr>
        <w:pStyle w:val="Ttulo2"/>
      </w:pPr>
      <w:r>
        <w:t>1.2 Arquitectura normativa</w:t>
      </w:r>
    </w:p>
    <w:tbl>
      <w:tblPr>
        <w:tblW w:type="auto" w:w="0"/>
        <w:jc w:val="center"/>
        <w:tblLook w:firstColumn="1" w:firstRow="1" w:lastColumn="0" w:lastRow="0" w:noHBand="0" w:noVBand="1" w:val="04A0"/>
      </w:tblPr>
      <w:tblGrid>
        <w:gridCol w:w="3288"/>
        <w:gridCol w:w="3288"/>
        <w:gridCol w:w="3288"/>
      </w:tblGrid>
      <w:tr>
        <w:tc>
          <w:tcPr>
            <w:tcW w:type="dxa" w:w="1440"/>
            <w:vAlign w:val="center"/>
            <w:shd w:fill="1A2B4A"/>
          </w:tcPr>
          <w:p>
            <w:pPr>
              <w:spacing w:after="40" w:line="240" w:lineRule="auto"/>
            </w:pPr>
            <w:r/>
            <w:r>
              <w:rPr>
                <w:rFonts w:ascii="Garamond" w:hAnsi="Garamond"/>
                <w:b/>
                <w:color w:val="FFFFFF"/>
                <w:sz w:val="17"/>
              </w:rPr>
              <w:t>Nivel</w:t>
            </w:r>
          </w:p>
        </w:tc>
        <w:tc>
          <w:tcPr>
            <w:tcW w:type="dxa" w:w="2880"/>
            <w:vAlign w:val="center"/>
            <w:shd w:fill="1A2B4A"/>
          </w:tcPr>
          <w:p>
            <w:pPr>
              <w:spacing w:after="40" w:line="240" w:lineRule="auto"/>
            </w:pPr>
            <w:r/>
            <w:r>
              <w:rPr>
                <w:rFonts w:ascii="Garamond" w:hAnsi="Garamond"/>
                <w:b/>
                <w:color w:val="FFFFFF"/>
                <w:sz w:val="17"/>
              </w:rPr>
              <w:t>Norma / fuente</w:t>
            </w:r>
          </w:p>
        </w:tc>
        <w:tc>
          <w:tcPr>
            <w:tcW w:type="dxa" w:w="5472"/>
            <w:vAlign w:val="center"/>
            <w:shd w:fill="1A2B4A"/>
          </w:tcPr>
          <w:p>
            <w:pPr>
              <w:spacing w:after="40" w:line="240" w:lineRule="auto"/>
            </w:pPr>
            <w:r/>
            <w:r>
              <w:rPr>
                <w:rFonts w:ascii="Garamond" w:hAnsi="Garamond"/>
                <w:b/>
                <w:color w:val="FFFFFF"/>
                <w:sz w:val="17"/>
              </w:rPr>
              <w:t>Función práctica</w:t>
            </w:r>
          </w:p>
        </w:tc>
      </w:tr>
      <w:tr>
        <w:tc>
          <w:tcPr>
            <w:tcW w:type="dxa" w:w="1440"/>
            <w:vAlign w:val="center"/>
          </w:tcPr>
          <w:p>
            <w:pPr>
              <w:spacing w:after="40" w:line="240" w:lineRule="auto"/>
            </w:pPr>
            <w:r/>
            <w:r>
              <w:rPr>
                <w:rFonts w:ascii="Garamond" w:hAnsi="Garamond"/>
                <w:b w:val="0"/>
                <w:color w:val="222222"/>
                <w:sz w:val="17"/>
              </w:rPr>
              <w:t>Constitucional</w:t>
            </w:r>
          </w:p>
        </w:tc>
        <w:tc>
          <w:tcPr>
            <w:tcW w:type="dxa" w:w="2880"/>
            <w:vAlign w:val="center"/>
          </w:tcPr>
          <w:p>
            <w:pPr>
              <w:spacing w:after="40" w:line="240" w:lineRule="auto"/>
            </w:pPr>
            <w:r/>
            <w:r>
              <w:rPr>
                <w:rFonts w:ascii="Garamond" w:hAnsi="Garamond"/>
                <w:b w:val="0"/>
                <w:color w:val="222222"/>
                <w:sz w:val="17"/>
              </w:rPr>
              <w:t>CPEUM, arts. 1, 14, 16, 17, 103, 107, 109, 113 y correlativos</w:t>
            </w:r>
          </w:p>
        </w:tc>
        <w:tc>
          <w:tcPr>
            <w:tcW w:type="dxa" w:w="5472"/>
            <w:vAlign w:val="center"/>
          </w:tcPr>
          <w:p>
            <w:pPr>
              <w:spacing w:after="40" w:line="240" w:lineRule="auto"/>
            </w:pPr>
            <w:r/>
            <w:r>
              <w:rPr>
                <w:rFonts w:ascii="Garamond" w:hAnsi="Garamond"/>
                <w:b w:val="0"/>
                <w:color w:val="222222"/>
                <w:sz w:val="17"/>
              </w:rPr>
              <w:t>Control de legalidad, debido proceso, acceso a justicia, responsabilidades y amparo.</w:t>
            </w:r>
          </w:p>
        </w:tc>
      </w:tr>
      <w:tr>
        <w:tc>
          <w:tcPr>
            <w:tcW w:type="dxa" w:w="1440"/>
            <w:vAlign w:val="center"/>
            <w:shd w:fill="F7F8FA"/>
          </w:tcPr>
          <w:p>
            <w:pPr>
              <w:spacing w:after="40" w:line="240" w:lineRule="auto"/>
            </w:pPr>
            <w:r/>
            <w:r>
              <w:rPr>
                <w:rFonts w:ascii="Garamond" w:hAnsi="Garamond"/>
                <w:b w:val="0"/>
                <w:color w:val="222222"/>
                <w:sz w:val="17"/>
              </w:rPr>
              <w:t>Orgánico</w:t>
            </w:r>
          </w:p>
        </w:tc>
        <w:tc>
          <w:tcPr>
            <w:tcW w:type="dxa" w:w="2880"/>
            <w:vAlign w:val="center"/>
            <w:shd w:fill="F7F8FA"/>
          </w:tcPr>
          <w:p>
            <w:pPr>
              <w:spacing w:after="40" w:line="240" w:lineRule="auto"/>
            </w:pPr>
            <w:r/>
            <w:r>
              <w:rPr>
                <w:rFonts w:ascii="Garamond" w:hAnsi="Garamond"/>
                <w:b w:val="0"/>
                <w:color w:val="222222"/>
                <w:sz w:val="17"/>
              </w:rPr>
              <w:t>LOAPF y leyes orgánicas especiales</w:t>
            </w:r>
          </w:p>
        </w:tc>
        <w:tc>
          <w:tcPr>
            <w:tcW w:type="dxa" w:w="5472"/>
            <w:vAlign w:val="center"/>
            <w:shd w:fill="F7F8FA"/>
          </w:tcPr>
          <w:p>
            <w:pPr>
              <w:spacing w:after="40" w:line="240" w:lineRule="auto"/>
            </w:pPr>
            <w:r/>
            <w:r>
              <w:rPr>
                <w:rFonts w:ascii="Garamond" w:hAnsi="Garamond"/>
                <w:b w:val="0"/>
                <w:color w:val="222222"/>
                <w:sz w:val="17"/>
              </w:rPr>
              <w:t>Determina qué órgano existe, qué atribuciones tiene y quién puede actuar.</w:t>
            </w:r>
          </w:p>
        </w:tc>
      </w:tr>
      <w:tr>
        <w:tc>
          <w:tcPr>
            <w:tcW w:type="dxa" w:w="1440"/>
            <w:vAlign w:val="center"/>
          </w:tcPr>
          <w:p>
            <w:pPr>
              <w:spacing w:after="40" w:line="240" w:lineRule="auto"/>
            </w:pPr>
            <w:r/>
            <w:r>
              <w:rPr>
                <w:rFonts w:ascii="Garamond" w:hAnsi="Garamond"/>
                <w:b w:val="0"/>
                <w:color w:val="222222"/>
                <w:sz w:val="17"/>
              </w:rPr>
              <w:t>Procedimental</w:t>
            </w:r>
          </w:p>
        </w:tc>
        <w:tc>
          <w:tcPr>
            <w:tcW w:type="dxa" w:w="2880"/>
            <w:vAlign w:val="center"/>
          </w:tcPr>
          <w:p>
            <w:pPr>
              <w:spacing w:after="40" w:line="240" w:lineRule="auto"/>
            </w:pPr>
            <w:r/>
            <w:r>
              <w:rPr>
                <w:rFonts w:ascii="Garamond" w:hAnsi="Garamond"/>
                <w:b w:val="0"/>
                <w:color w:val="222222"/>
                <w:sz w:val="17"/>
              </w:rPr>
              <w:t>LFPA y leyes administrativas especiales</w:t>
            </w:r>
          </w:p>
        </w:tc>
        <w:tc>
          <w:tcPr>
            <w:tcW w:type="dxa" w:w="5472"/>
            <w:vAlign w:val="center"/>
          </w:tcPr>
          <w:p>
            <w:pPr>
              <w:spacing w:after="40" w:line="240" w:lineRule="auto"/>
            </w:pPr>
            <w:r/>
            <w:r>
              <w:rPr>
                <w:rFonts w:ascii="Garamond" w:hAnsi="Garamond"/>
                <w:b w:val="0"/>
                <w:color w:val="222222"/>
                <w:sz w:val="17"/>
              </w:rPr>
              <w:t>Regula actos, trámites, visitas, pruebas, resolución y recursos cuando resulte aplicable.</w:t>
            </w:r>
          </w:p>
        </w:tc>
      </w:tr>
      <w:tr>
        <w:tc>
          <w:tcPr>
            <w:tcW w:type="dxa" w:w="1440"/>
            <w:vAlign w:val="center"/>
            <w:shd w:fill="F7F8FA"/>
          </w:tcPr>
          <w:p>
            <w:pPr>
              <w:spacing w:after="40" w:line="240" w:lineRule="auto"/>
            </w:pPr>
            <w:r/>
            <w:r>
              <w:rPr>
                <w:rFonts w:ascii="Garamond" w:hAnsi="Garamond"/>
                <w:b w:val="0"/>
                <w:color w:val="222222"/>
                <w:sz w:val="17"/>
              </w:rPr>
              <w:t>Fiscal</w:t>
            </w:r>
          </w:p>
        </w:tc>
        <w:tc>
          <w:tcPr>
            <w:tcW w:type="dxa" w:w="2880"/>
            <w:vAlign w:val="center"/>
            <w:shd w:fill="F7F8FA"/>
          </w:tcPr>
          <w:p>
            <w:pPr>
              <w:spacing w:after="40" w:line="240" w:lineRule="auto"/>
            </w:pPr>
            <w:r/>
            <w:r>
              <w:rPr>
                <w:rFonts w:ascii="Garamond" w:hAnsi="Garamond"/>
                <w:b w:val="0"/>
                <w:color w:val="222222"/>
                <w:sz w:val="17"/>
              </w:rPr>
              <w:t>CFF y leyes fiscales</w:t>
            </w:r>
          </w:p>
        </w:tc>
        <w:tc>
          <w:tcPr>
            <w:tcW w:type="dxa" w:w="5472"/>
            <w:vAlign w:val="center"/>
            <w:shd w:fill="F7F8FA"/>
          </w:tcPr>
          <w:p>
            <w:pPr>
              <w:spacing w:after="40" w:line="240" w:lineRule="auto"/>
            </w:pPr>
            <w:r/>
            <w:r>
              <w:rPr>
                <w:rFonts w:ascii="Garamond" w:hAnsi="Garamond"/>
                <w:b w:val="0"/>
                <w:color w:val="222222"/>
                <w:sz w:val="17"/>
              </w:rPr>
              <w:t>Regula contribuciones, facultades de comprobación, créditos, revocación y PAE.</w:t>
            </w:r>
          </w:p>
        </w:tc>
      </w:tr>
      <w:tr>
        <w:tc>
          <w:tcPr>
            <w:tcW w:type="dxa" w:w="1440"/>
            <w:vAlign w:val="center"/>
          </w:tcPr>
          <w:p>
            <w:pPr>
              <w:spacing w:after="40" w:line="240" w:lineRule="auto"/>
            </w:pPr>
            <w:r/>
            <w:r>
              <w:rPr>
                <w:rFonts w:ascii="Garamond" w:hAnsi="Garamond"/>
                <w:b w:val="0"/>
                <w:color w:val="222222"/>
                <w:sz w:val="17"/>
              </w:rPr>
              <w:t>Contencioso</w:t>
            </w:r>
          </w:p>
        </w:tc>
        <w:tc>
          <w:tcPr>
            <w:tcW w:type="dxa" w:w="2880"/>
            <w:vAlign w:val="center"/>
          </w:tcPr>
          <w:p>
            <w:pPr>
              <w:spacing w:after="40" w:line="240" w:lineRule="auto"/>
            </w:pPr>
            <w:r/>
            <w:r>
              <w:rPr>
                <w:rFonts w:ascii="Garamond" w:hAnsi="Garamond"/>
                <w:b w:val="0"/>
                <w:color w:val="222222"/>
                <w:sz w:val="17"/>
              </w:rPr>
              <w:t>LFPCA / leyes locales de justicia administrativa</w:t>
            </w:r>
          </w:p>
        </w:tc>
        <w:tc>
          <w:tcPr>
            <w:tcW w:type="dxa" w:w="5472"/>
            <w:vAlign w:val="center"/>
          </w:tcPr>
          <w:p>
            <w:pPr>
              <w:spacing w:after="40" w:line="240" w:lineRule="auto"/>
            </w:pPr>
            <w:r/>
            <w:r>
              <w:rPr>
                <w:rFonts w:ascii="Garamond" w:hAnsi="Garamond"/>
                <w:b w:val="0"/>
                <w:color w:val="222222"/>
                <w:sz w:val="17"/>
              </w:rPr>
              <w:t>Regula el juicio de nulidad contra actos definitivos dentro de la competencia del tribunal.</w:t>
            </w:r>
          </w:p>
        </w:tc>
      </w:tr>
      <w:tr>
        <w:tc>
          <w:tcPr>
            <w:tcW w:type="dxa" w:w="1440"/>
            <w:vAlign w:val="center"/>
            <w:shd w:fill="F7F8FA"/>
          </w:tcPr>
          <w:p>
            <w:pPr>
              <w:spacing w:after="40" w:line="240" w:lineRule="auto"/>
            </w:pPr>
            <w:r/>
            <w:r>
              <w:rPr>
                <w:rFonts w:ascii="Garamond" w:hAnsi="Garamond"/>
                <w:b w:val="0"/>
                <w:color w:val="222222"/>
                <w:sz w:val="17"/>
              </w:rPr>
              <w:t>Responsabilidades</w:t>
            </w:r>
          </w:p>
        </w:tc>
        <w:tc>
          <w:tcPr>
            <w:tcW w:type="dxa" w:w="2880"/>
            <w:vAlign w:val="center"/>
            <w:shd w:fill="F7F8FA"/>
          </w:tcPr>
          <w:p>
            <w:pPr>
              <w:spacing w:after="40" w:line="240" w:lineRule="auto"/>
            </w:pPr>
            <w:r/>
            <w:r>
              <w:rPr>
                <w:rFonts w:ascii="Garamond" w:hAnsi="Garamond"/>
                <w:b w:val="0"/>
                <w:color w:val="222222"/>
                <w:sz w:val="17"/>
              </w:rPr>
              <w:t>LGRA y leyes estatales</w:t>
            </w:r>
          </w:p>
        </w:tc>
        <w:tc>
          <w:tcPr>
            <w:tcW w:type="dxa" w:w="5472"/>
            <w:vAlign w:val="center"/>
            <w:shd w:fill="F7F8FA"/>
          </w:tcPr>
          <w:p>
            <w:pPr>
              <w:spacing w:after="40" w:line="240" w:lineRule="auto"/>
            </w:pPr>
            <w:r/>
            <w:r>
              <w:rPr>
                <w:rFonts w:ascii="Garamond" w:hAnsi="Garamond"/>
                <w:b w:val="0"/>
                <w:color w:val="222222"/>
                <w:sz w:val="17"/>
              </w:rPr>
              <w:t>Regula faltas administrativas, investigación, substanciación, sanción y medios de defensa.</w:t>
            </w:r>
          </w:p>
        </w:tc>
      </w:tr>
      <w:tr>
        <w:tc>
          <w:tcPr>
            <w:tcW w:type="dxa" w:w="1440"/>
            <w:vAlign w:val="center"/>
          </w:tcPr>
          <w:p>
            <w:pPr>
              <w:spacing w:after="40" w:line="240" w:lineRule="auto"/>
            </w:pPr>
            <w:r/>
            <w:r>
              <w:rPr>
                <w:rFonts w:ascii="Garamond" w:hAnsi="Garamond"/>
                <w:b w:val="0"/>
                <w:color w:val="222222"/>
                <w:sz w:val="17"/>
              </w:rPr>
              <w:t>Amparo</w:t>
            </w:r>
          </w:p>
        </w:tc>
        <w:tc>
          <w:tcPr>
            <w:tcW w:type="dxa" w:w="2880"/>
            <w:vAlign w:val="center"/>
          </w:tcPr>
          <w:p>
            <w:pPr>
              <w:spacing w:after="40" w:line="240" w:lineRule="auto"/>
            </w:pPr>
            <w:r/>
            <w:r>
              <w:rPr>
                <w:rFonts w:ascii="Garamond" w:hAnsi="Garamond"/>
                <w:b w:val="0"/>
                <w:color w:val="222222"/>
                <w:sz w:val="17"/>
              </w:rPr>
              <w:t>Ley de Amparo</w:t>
            </w:r>
          </w:p>
        </w:tc>
        <w:tc>
          <w:tcPr>
            <w:tcW w:type="dxa" w:w="5472"/>
            <w:vAlign w:val="center"/>
          </w:tcPr>
          <w:p>
            <w:pPr>
              <w:spacing w:after="40" w:line="240" w:lineRule="auto"/>
            </w:pPr>
            <w:r/>
            <w:r>
              <w:rPr>
                <w:rFonts w:ascii="Garamond" w:hAnsi="Garamond"/>
                <w:b w:val="0"/>
                <w:color w:val="222222"/>
                <w:sz w:val="17"/>
              </w:rPr>
              <w:t>Control constitucional y de derechos humanos frente a actos de autoridad en los supuestos legales.</w:t>
            </w:r>
          </w:p>
        </w:tc>
      </w:tr>
    </w:tbl>
    <w:p>
      <w:pPr>
        <w:spacing w:after="20"/>
      </w:pP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La LFPA no se aplica indiscriminadamente: su artículo 1 excluye, entre otras materias, la fiscal y la de responsabilidades de servidores públicos. Por ello, ante un asunto fiscal o disciplinario debe buscarse primero la ley especial.</w:t>
            </w:r>
          </w:p>
        </w:tc>
      </w:tr>
    </w:tbl>
    <w:p>
      <w:pPr>
        <w:spacing w:after="20"/>
      </w:pPr>
    </w:p>
    <w:p>
      <w:pPr>
        <w:pStyle w:val="Ttulo2"/>
      </w:pPr>
      <w:r>
        <w:t>1.3 Principios de trabajo del litigante</w:t>
      </w:r>
    </w:p>
    <w:p>
      <w:r>
        <w:t>• Legalidad: toda autoridad debe actuar dentro de sus atribuciones y conforme al procedimiento aplicable.</w:t>
      </w:r>
    </w:p>
    <w:p>
      <w:r>
        <w:t>• Seguridad jurídica: identificar con precisión el acto, su emisor, fecha, notificación y efectos.</w:t>
      </w:r>
    </w:p>
    <w:p>
      <w:r>
        <w:t>• Debido proceso: oportunidad real de defensa, pruebas y alegatos cuando la ley los contemple.</w:t>
      </w:r>
    </w:p>
    <w:p>
      <w:r>
        <w:t>• Acceso a la justicia: elegir una vía efectiva y evitar perder el plazo por intentar recursos improcedentes.</w:t>
      </w:r>
    </w:p>
    <w:p>
      <w:r>
        <w:t>• Carga estratégica de la prueba: cada hecho relevante debe vincularse con una prueba concreta.</w:t>
      </w:r>
    </w:p>
    <w:p>
      <w:r>
        <w:t>• Trazabilidad: conservar acuses, constancias de notificación, expediente administrativo y versiones de escritos.</w:t>
      </w:r>
    </w:p>
    <w:p>
      <w:pPr>
        <w:pStyle w:val="Ttulo1"/>
      </w:pPr>
      <w:r>
        <w:t>2. PRIMERA ENTREVISTA Y DIAGNÓSTICO DEL ASUNTO</w:t>
      </w:r>
    </w:p>
    <w:p>
      <w:pPr>
        <w:pStyle w:val="Ttulo2"/>
      </w:pPr>
      <w:r>
        <w:t>2.1 Las seis preguntas diagnósticas</w:t>
      </w:r>
    </w:p>
    <w:p>
      <w:r>
        <w:t>1. ¿Qué autoridad emitió o ejecutó el acto?</w:t>
      </w:r>
    </w:p>
    <w:p>
      <w:r>
        <w:t>2. ¿Qué documento concreto se recibió o qué actuación ocurrió?</w:t>
      </w:r>
    </w:p>
    <w:p>
      <w:r>
        <w:t>3. ¿Cuándo se notificó y cuándo surtió efectos la notificación?</w:t>
      </w:r>
    </w:p>
    <w:p>
      <w:r>
        <w:t>4. ¿Qué derecho, obligación, multa, crédito, permiso, licencia o situación jurídica afecta?</w:t>
      </w:r>
    </w:p>
    <w:p>
      <w:r>
        <w:t>5. ¿Existe un procedimiento previo, un recurso pendiente o un juicio relacionado?</w:t>
      </w:r>
    </w:p>
    <w:p>
      <w:r>
        <w:t>6. ¿Cuál es la pretensión real del cliente: dejar sin efectos el acto, reducir una sanción, obtener devolución, suspender ejecución, reconocer un derecho o reparar un daño?</w:t>
      </w:r>
    </w:p>
    <w:p>
      <w:pPr>
        <w:pStyle w:val="Ttulo2"/>
      </w:pPr>
      <w:r>
        <w:t>2.2 Clasificación inicial del asunto</w:t>
      </w:r>
    </w:p>
    <w:tbl>
      <w:tblPr>
        <w:tblW w:type="auto" w:w="0"/>
        <w:jc w:val="center"/>
        <w:tblLook w:firstColumn="1" w:firstRow="1" w:lastColumn="0" w:lastRow="0" w:noHBand="0" w:noVBand="1" w:val="04A0"/>
      </w:tblPr>
      <w:tblGrid>
        <w:gridCol w:w="3288"/>
        <w:gridCol w:w="3288"/>
        <w:gridCol w:w="3288"/>
      </w:tblGrid>
      <w:tr>
        <w:tc>
          <w:tcPr>
            <w:tcW w:type="dxa" w:w="1800"/>
            <w:vAlign w:val="center"/>
            <w:shd w:fill="1A2B4A"/>
          </w:tcPr>
          <w:p>
            <w:pPr>
              <w:spacing w:after="40" w:line="240" w:lineRule="auto"/>
            </w:pPr>
            <w:r/>
            <w:r>
              <w:rPr>
                <w:rFonts w:ascii="Garamond" w:hAnsi="Garamond"/>
                <w:b/>
                <w:color w:val="FFFFFF"/>
                <w:sz w:val="17"/>
              </w:rPr>
              <w:t>Situación</w:t>
            </w:r>
          </w:p>
        </w:tc>
        <w:tc>
          <w:tcPr>
            <w:tcW w:type="dxa" w:w="3888"/>
            <w:vAlign w:val="center"/>
            <w:shd w:fill="1A2B4A"/>
          </w:tcPr>
          <w:p>
            <w:pPr>
              <w:spacing w:after="40" w:line="240" w:lineRule="auto"/>
            </w:pPr>
            <w:r/>
            <w:r>
              <w:rPr>
                <w:rFonts w:ascii="Garamond" w:hAnsi="Garamond"/>
                <w:b/>
                <w:color w:val="FFFFFF"/>
                <w:sz w:val="17"/>
              </w:rPr>
              <w:t>Pregunta clave</w:t>
            </w:r>
          </w:p>
        </w:tc>
        <w:tc>
          <w:tcPr>
            <w:tcW w:type="dxa" w:w="4104"/>
            <w:vAlign w:val="center"/>
            <w:shd w:fill="1A2B4A"/>
          </w:tcPr>
          <w:p>
            <w:pPr>
              <w:spacing w:after="40" w:line="240" w:lineRule="auto"/>
            </w:pPr>
            <w:r/>
            <w:r>
              <w:rPr>
                <w:rFonts w:ascii="Garamond" w:hAnsi="Garamond"/>
                <w:b/>
                <w:color w:val="FFFFFF"/>
                <w:sz w:val="17"/>
              </w:rPr>
              <w:t>Ruta que debe estudiarse</w:t>
            </w:r>
          </w:p>
        </w:tc>
      </w:tr>
      <w:tr>
        <w:tc>
          <w:tcPr>
            <w:tcW w:type="dxa" w:w="1800"/>
            <w:vAlign w:val="center"/>
          </w:tcPr>
          <w:p>
            <w:pPr>
              <w:spacing w:after="40" w:line="240" w:lineRule="auto"/>
            </w:pPr>
            <w:r/>
            <w:r>
              <w:rPr>
                <w:rFonts w:ascii="Garamond" w:hAnsi="Garamond"/>
                <w:b w:val="0"/>
                <w:color w:val="222222"/>
                <w:sz w:val="17"/>
              </w:rPr>
              <w:t>Acto administrativo no fiscal</w:t>
            </w:r>
          </w:p>
        </w:tc>
        <w:tc>
          <w:tcPr>
            <w:tcW w:type="dxa" w:w="3888"/>
            <w:vAlign w:val="center"/>
          </w:tcPr>
          <w:p>
            <w:pPr>
              <w:spacing w:after="40" w:line="240" w:lineRule="auto"/>
            </w:pPr>
            <w:r/>
            <w:r>
              <w:rPr>
                <w:rFonts w:ascii="Garamond" w:hAnsi="Garamond"/>
                <w:b w:val="0"/>
                <w:color w:val="222222"/>
                <w:sz w:val="17"/>
              </w:rPr>
              <w:t>¿Está dentro del ámbito de LFPA o de una ley especial?</w:t>
            </w:r>
          </w:p>
        </w:tc>
        <w:tc>
          <w:tcPr>
            <w:tcW w:type="dxa" w:w="4104"/>
            <w:vAlign w:val="center"/>
          </w:tcPr>
          <w:p>
            <w:pPr>
              <w:spacing w:after="40" w:line="240" w:lineRule="auto"/>
            </w:pPr>
            <w:r/>
            <w:r>
              <w:rPr>
                <w:rFonts w:ascii="Garamond" w:hAnsi="Garamond"/>
                <w:b w:val="0"/>
                <w:color w:val="222222"/>
                <w:sz w:val="17"/>
              </w:rPr>
              <w:t>Procedimiento administrativo + recurso de revisión o vía jurisdiccional.</w:t>
            </w:r>
          </w:p>
        </w:tc>
      </w:tr>
      <w:tr>
        <w:tc>
          <w:tcPr>
            <w:tcW w:type="dxa" w:w="1800"/>
            <w:vAlign w:val="center"/>
            <w:shd w:fill="F7F8FA"/>
          </w:tcPr>
          <w:p>
            <w:pPr>
              <w:spacing w:after="40" w:line="240" w:lineRule="auto"/>
            </w:pPr>
            <w:r/>
            <w:r>
              <w:rPr>
                <w:rFonts w:ascii="Garamond" w:hAnsi="Garamond"/>
                <w:b w:val="0"/>
                <w:color w:val="222222"/>
                <w:sz w:val="17"/>
              </w:rPr>
              <w:t>Multa administrativa</w:t>
            </w:r>
          </w:p>
        </w:tc>
        <w:tc>
          <w:tcPr>
            <w:tcW w:type="dxa" w:w="3888"/>
            <w:vAlign w:val="center"/>
            <w:shd w:fill="F7F8FA"/>
          </w:tcPr>
          <w:p>
            <w:pPr>
              <w:spacing w:after="40" w:line="240" w:lineRule="auto"/>
            </w:pPr>
            <w:r/>
            <w:r>
              <w:rPr>
                <w:rFonts w:ascii="Garamond" w:hAnsi="Garamond"/>
                <w:b w:val="0"/>
                <w:color w:val="222222"/>
                <w:sz w:val="17"/>
              </w:rPr>
              <w:t>¿Qué ley tipifica la infracción?</w:t>
            </w:r>
          </w:p>
        </w:tc>
        <w:tc>
          <w:tcPr>
            <w:tcW w:type="dxa" w:w="4104"/>
            <w:vAlign w:val="center"/>
            <w:shd w:fill="F7F8FA"/>
          </w:tcPr>
          <w:p>
            <w:pPr>
              <w:spacing w:after="40" w:line="240" w:lineRule="auto"/>
            </w:pPr>
            <w:r/>
            <w:r>
              <w:rPr>
                <w:rFonts w:ascii="Garamond" w:hAnsi="Garamond"/>
                <w:b w:val="0"/>
                <w:color w:val="222222"/>
                <w:sz w:val="17"/>
              </w:rPr>
              <w:t>Procedimiento sancionador especial; recurso/juicio según ley.</w:t>
            </w:r>
          </w:p>
        </w:tc>
      </w:tr>
      <w:tr>
        <w:tc>
          <w:tcPr>
            <w:tcW w:type="dxa" w:w="1800"/>
            <w:vAlign w:val="center"/>
          </w:tcPr>
          <w:p>
            <w:pPr>
              <w:spacing w:after="40" w:line="240" w:lineRule="auto"/>
            </w:pPr>
            <w:r/>
            <w:r>
              <w:rPr>
                <w:rFonts w:ascii="Garamond" w:hAnsi="Garamond"/>
                <w:b w:val="0"/>
                <w:color w:val="222222"/>
                <w:sz w:val="17"/>
              </w:rPr>
              <w:t>Servidor público</w:t>
            </w:r>
          </w:p>
        </w:tc>
        <w:tc>
          <w:tcPr>
            <w:tcW w:type="dxa" w:w="3888"/>
            <w:vAlign w:val="center"/>
          </w:tcPr>
          <w:p>
            <w:pPr>
              <w:spacing w:after="40" w:line="240" w:lineRule="auto"/>
            </w:pPr>
            <w:r/>
            <w:r>
              <w:rPr>
                <w:rFonts w:ascii="Garamond" w:hAnsi="Garamond"/>
                <w:b w:val="0"/>
                <w:color w:val="222222"/>
                <w:sz w:val="17"/>
              </w:rPr>
              <w:t>¿Falta no grave o grave?</w:t>
            </w:r>
          </w:p>
        </w:tc>
        <w:tc>
          <w:tcPr>
            <w:tcW w:type="dxa" w:w="4104"/>
            <w:vAlign w:val="center"/>
          </w:tcPr>
          <w:p>
            <w:pPr>
              <w:spacing w:after="40" w:line="240" w:lineRule="auto"/>
            </w:pPr>
            <w:r/>
            <w:r>
              <w:rPr>
                <w:rFonts w:ascii="Garamond" w:hAnsi="Garamond"/>
                <w:b w:val="0"/>
                <w:color w:val="222222"/>
                <w:sz w:val="17"/>
              </w:rPr>
              <w:t>LGRA o régimen estatal; autoridad investigadora/substanciadora/sancionadora/tribunal.</w:t>
            </w:r>
          </w:p>
        </w:tc>
      </w:tr>
      <w:tr>
        <w:tc>
          <w:tcPr>
            <w:tcW w:type="dxa" w:w="1800"/>
            <w:vAlign w:val="center"/>
            <w:shd w:fill="F7F8FA"/>
          </w:tcPr>
          <w:p>
            <w:pPr>
              <w:spacing w:after="40" w:line="240" w:lineRule="auto"/>
            </w:pPr>
            <w:r/>
            <w:r>
              <w:rPr>
                <w:rFonts w:ascii="Garamond" w:hAnsi="Garamond"/>
                <w:b w:val="0"/>
                <w:color w:val="222222"/>
                <w:sz w:val="17"/>
              </w:rPr>
              <w:t>Crédito fiscal</w:t>
            </w:r>
          </w:p>
        </w:tc>
        <w:tc>
          <w:tcPr>
            <w:tcW w:type="dxa" w:w="3888"/>
            <w:vAlign w:val="center"/>
            <w:shd w:fill="F7F8FA"/>
          </w:tcPr>
          <w:p>
            <w:pPr>
              <w:spacing w:after="40" w:line="240" w:lineRule="auto"/>
            </w:pPr>
            <w:r/>
            <w:r>
              <w:rPr>
                <w:rFonts w:ascii="Garamond" w:hAnsi="Garamond"/>
                <w:b w:val="0"/>
                <w:color w:val="222222"/>
                <w:sz w:val="17"/>
              </w:rPr>
              <w:t>¿Es definitivo y exigible?</w:t>
            </w:r>
          </w:p>
        </w:tc>
        <w:tc>
          <w:tcPr>
            <w:tcW w:type="dxa" w:w="4104"/>
            <w:vAlign w:val="center"/>
            <w:shd w:fill="F7F8FA"/>
          </w:tcPr>
          <w:p>
            <w:pPr>
              <w:spacing w:after="40" w:line="240" w:lineRule="auto"/>
            </w:pPr>
            <w:r/>
            <w:r>
              <w:rPr>
                <w:rFonts w:ascii="Garamond" w:hAnsi="Garamond"/>
                <w:b w:val="0"/>
                <w:color w:val="222222"/>
                <w:sz w:val="17"/>
              </w:rPr>
              <w:t>CFF: recurso de revocación, juicio contencioso y/o defensa frente al PAE.</w:t>
            </w:r>
          </w:p>
        </w:tc>
      </w:tr>
      <w:tr>
        <w:tc>
          <w:tcPr>
            <w:tcW w:type="dxa" w:w="1800"/>
            <w:vAlign w:val="center"/>
          </w:tcPr>
          <w:p>
            <w:pPr>
              <w:spacing w:after="40" w:line="240" w:lineRule="auto"/>
            </w:pPr>
            <w:r/>
            <w:r>
              <w:rPr>
                <w:rFonts w:ascii="Garamond" w:hAnsi="Garamond"/>
                <w:b w:val="0"/>
                <w:color w:val="222222"/>
                <w:sz w:val="17"/>
              </w:rPr>
              <w:t>Acto de ejecución fiscal</w:t>
            </w:r>
          </w:p>
        </w:tc>
        <w:tc>
          <w:tcPr>
            <w:tcW w:type="dxa" w:w="3888"/>
            <w:vAlign w:val="center"/>
          </w:tcPr>
          <w:p>
            <w:pPr>
              <w:spacing w:after="40" w:line="240" w:lineRule="auto"/>
            </w:pPr>
            <w:r/>
            <w:r>
              <w:rPr>
                <w:rFonts w:ascii="Garamond" w:hAnsi="Garamond"/>
                <w:b w:val="0"/>
                <w:color w:val="222222"/>
                <w:sz w:val="17"/>
              </w:rPr>
              <w:t>¿Qué acto específico se está ejecutando?</w:t>
            </w:r>
          </w:p>
        </w:tc>
        <w:tc>
          <w:tcPr>
            <w:tcW w:type="dxa" w:w="4104"/>
            <w:vAlign w:val="center"/>
          </w:tcPr>
          <w:p>
            <w:pPr>
              <w:spacing w:after="40" w:line="240" w:lineRule="auto"/>
            </w:pPr>
            <w:r/>
            <w:r>
              <w:rPr>
                <w:rFonts w:ascii="Garamond" w:hAnsi="Garamond"/>
                <w:b w:val="0"/>
                <w:color w:val="222222"/>
                <w:sz w:val="17"/>
              </w:rPr>
              <w:t>CFF: revisar garantía, suspensión, embargo, notificación y oportunidad de defensa.</w:t>
            </w:r>
          </w:p>
        </w:tc>
      </w:tr>
      <w:tr>
        <w:tc>
          <w:tcPr>
            <w:tcW w:type="dxa" w:w="1800"/>
            <w:vAlign w:val="center"/>
            <w:shd w:fill="F7F8FA"/>
          </w:tcPr>
          <w:p>
            <w:pPr>
              <w:spacing w:after="40" w:line="240" w:lineRule="auto"/>
            </w:pPr>
            <w:r/>
            <w:r>
              <w:rPr>
                <w:rFonts w:ascii="Garamond" w:hAnsi="Garamond"/>
                <w:b w:val="0"/>
                <w:color w:val="222222"/>
                <w:sz w:val="17"/>
              </w:rPr>
              <w:t>Acto constitucionalmente relevante</w:t>
            </w:r>
          </w:p>
        </w:tc>
        <w:tc>
          <w:tcPr>
            <w:tcW w:type="dxa" w:w="3888"/>
            <w:vAlign w:val="center"/>
            <w:shd w:fill="F7F8FA"/>
          </w:tcPr>
          <w:p>
            <w:pPr>
              <w:spacing w:after="40" w:line="240" w:lineRule="auto"/>
            </w:pPr>
            <w:r/>
            <w:r>
              <w:rPr>
                <w:rFonts w:ascii="Garamond" w:hAnsi="Garamond"/>
                <w:b w:val="0"/>
                <w:color w:val="222222"/>
                <w:sz w:val="17"/>
              </w:rPr>
              <w:t>¿Hay afectación directa y cuál es la vía?</w:t>
            </w:r>
          </w:p>
        </w:tc>
        <w:tc>
          <w:tcPr>
            <w:tcW w:type="dxa" w:w="4104"/>
            <w:vAlign w:val="center"/>
            <w:shd w:fill="F7F8FA"/>
          </w:tcPr>
          <w:p>
            <w:pPr>
              <w:spacing w:after="40" w:line="240" w:lineRule="auto"/>
            </w:pPr>
            <w:r/>
            <w:r>
              <w:rPr>
                <w:rFonts w:ascii="Garamond" w:hAnsi="Garamond"/>
                <w:b w:val="0"/>
                <w:color w:val="222222"/>
                <w:sz w:val="17"/>
              </w:rPr>
              <w:t>Amparo directo/indirecto según naturaleza del acto y Ley de Amparo.</w:t>
            </w:r>
          </w:p>
        </w:tc>
      </w:tr>
    </w:tbl>
    <w:p>
      <w:pPr>
        <w:spacing w:after="20"/>
      </w:pPr>
    </w:p>
    <w:p>
      <w:pPr>
        <w:pStyle w:val="Ttulo2"/>
      </w:pPr>
      <w:r>
        <w:t>2.3 Checklist documental</w:t>
      </w:r>
    </w:p>
    <w:p>
      <w:r>
        <w:t>• Acto o resolución impugnada íntegra.</w:t>
      </w:r>
    </w:p>
    <w:p>
      <w:r>
        <w:t>• Constancia de notificación y acuse.</w:t>
      </w:r>
    </w:p>
    <w:p>
      <w:r>
        <w:t>• Oficios, actas circunstanciadas y requerimientos previos.</w:t>
      </w:r>
    </w:p>
    <w:p>
      <w:r>
        <w:t>• Expediente administrativo completo, si puede obtenerse.</w:t>
      </w:r>
    </w:p>
    <w:p>
      <w:r>
        <w:t>• Identificación y personalidad del promovente.</w:t>
      </w:r>
    </w:p>
    <w:p>
      <w:r>
        <w:t>• Poder, escritura constitutiva, acta de asamblea o documento de representación, según el caso.</w:t>
      </w:r>
    </w:p>
    <w:p>
      <w:r>
        <w:t>• Constancias de cumplimiento, declaraciones, pagos, licencias, permisos o contratos relacionados.</w:t>
      </w:r>
    </w:p>
    <w:p>
      <w:r>
        <w:t>• Pruebas técnicas: fotografías, videos, bitácoras, reportes, dictámenes y archivos digitales.</w:t>
      </w:r>
    </w:p>
    <w:p>
      <w:r>
        <w:t>• Antecedentes de recursos o juicios anteriores.</w:t>
      </w:r>
    </w:p>
    <w:p>
      <w:r>
        <w:t>• Cronología con fecha, hora y autoridad actuante.</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No redactes la demanda con base en lo que el cliente recuerda. Primero arma el expediente: acto + notificación + antecedentes + pruebas + cronología.</w:t>
            </w:r>
          </w:p>
        </w:tc>
      </w:tr>
    </w:tbl>
    <w:p>
      <w:pPr>
        <w:spacing w:after="20"/>
      </w:pPr>
    </w:p>
    <w:p>
      <w:pPr>
        <w:pStyle w:val="Ttulo1"/>
      </w:pPr>
      <w:r>
        <w:t>3. ARQUITECTURA DEL ACTO ADMINISTRATIVO</w:t>
      </w:r>
    </w:p>
    <w:p>
      <w:pPr>
        <w:pStyle w:val="Ttulo2"/>
      </w:pPr>
      <w:r>
        <w:t>3.1 Elementos y requisitos</w:t>
      </w:r>
    </w:p>
    <w:p>
      <w:r>
        <w:t>El artículo 3 de la LFPA establece elementos y requisitos del acto administrativo, entre ellos competencia, objeto, finalidad de interés público, forma escrita y firma en los casos previstos, fundamentación y motivación, sujeción al procedimiento, identificación del órgano, lugar y fecha, reglas de notificación, recursos procedentes y resolución de los puntos propuestos o establecidos por la ley.</w:t>
      </w:r>
    </w:p>
    <w:tbl>
      <w:tblPr>
        <w:tblW w:type="auto" w:w="0"/>
        <w:jc w:val="center"/>
        <w:tblLook w:firstColumn="1" w:firstRow="1" w:lastColumn="0" w:lastRow="0" w:noHBand="0" w:noVBand="1" w:val="04A0"/>
      </w:tblPr>
      <w:tblGrid>
        <w:gridCol w:w="3288"/>
        <w:gridCol w:w="3288"/>
        <w:gridCol w:w="3288"/>
      </w:tblGrid>
      <w:tr>
        <w:tc>
          <w:tcPr>
            <w:tcW w:type="dxa" w:w="1656"/>
            <w:vAlign w:val="center"/>
            <w:shd w:fill="1A2B4A"/>
          </w:tcPr>
          <w:p>
            <w:pPr>
              <w:spacing w:after="40" w:line="240" w:lineRule="auto"/>
            </w:pPr>
            <w:r/>
            <w:r>
              <w:rPr>
                <w:rFonts w:ascii="Garamond" w:hAnsi="Garamond"/>
                <w:b/>
                <w:color w:val="FFFFFF"/>
                <w:sz w:val="17"/>
              </w:rPr>
              <w:t>Elemento</w:t>
            </w:r>
          </w:p>
        </w:tc>
        <w:tc>
          <w:tcPr>
            <w:tcW w:type="dxa" w:w="4320"/>
            <w:vAlign w:val="center"/>
            <w:shd w:fill="1A2B4A"/>
          </w:tcPr>
          <w:p>
            <w:pPr>
              <w:spacing w:after="40" w:line="240" w:lineRule="auto"/>
            </w:pPr>
            <w:r/>
            <w:r>
              <w:rPr>
                <w:rFonts w:ascii="Garamond" w:hAnsi="Garamond"/>
                <w:b/>
                <w:color w:val="FFFFFF"/>
                <w:sz w:val="17"/>
              </w:rPr>
              <w:t>Qué debe revisar el litigante</w:t>
            </w:r>
          </w:p>
        </w:tc>
        <w:tc>
          <w:tcPr>
            <w:tcW w:type="dxa" w:w="3816"/>
            <w:vAlign w:val="center"/>
            <w:shd w:fill="1A2B4A"/>
          </w:tcPr>
          <w:p>
            <w:pPr>
              <w:spacing w:after="40" w:line="240" w:lineRule="auto"/>
            </w:pPr>
            <w:r/>
            <w:r>
              <w:rPr>
                <w:rFonts w:ascii="Garamond" w:hAnsi="Garamond"/>
                <w:b/>
                <w:color w:val="FFFFFF"/>
                <w:sz w:val="17"/>
              </w:rPr>
              <w:t>Pregunta de ataque</w:t>
            </w:r>
          </w:p>
        </w:tc>
      </w:tr>
      <w:tr>
        <w:tc>
          <w:tcPr>
            <w:tcW w:type="dxa" w:w="1656"/>
            <w:vAlign w:val="center"/>
          </w:tcPr>
          <w:p>
            <w:pPr>
              <w:spacing w:after="40" w:line="240" w:lineRule="auto"/>
            </w:pPr>
            <w:r/>
            <w:r>
              <w:rPr>
                <w:rFonts w:ascii="Garamond" w:hAnsi="Garamond"/>
                <w:b w:val="0"/>
                <w:color w:val="222222"/>
                <w:sz w:val="17"/>
              </w:rPr>
              <w:t>Competencia</w:t>
            </w:r>
          </w:p>
        </w:tc>
        <w:tc>
          <w:tcPr>
            <w:tcW w:type="dxa" w:w="4320"/>
            <w:vAlign w:val="center"/>
          </w:tcPr>
          <w:p>
            <w:pPr>
              <w:spacing w:after="40" w:line="240" w:lineRule="auto"/>
            </w:pPr>
            <w:r/>
            <w:r>
              <w:rPr>
                <w:rFonts w:ascii="Garamond" w:hAnsi="Garamond"/>
                <w:b w:val="0"/>
                <w:color w:val="222222"/>
                <w:sz w:val="17"/>
              </w:rPr>
              <w:t>Órgano, materia, territorio, grado y delegación</w:t>
            </w:r>
          </w:p>
        </w:tc>
        <w:tc>
          <w:tcPr>
            <w:tcW w:type="dxa" w:w="3816"/>
            <w:vAlign w:val="center"/>
          </w:tcPr>
          <w:p>
            <w:pPr>
              <w:spacing w:after="40" w:line="240" w:lineRule="auto"/>
            </w:pPr>
            <w:r/>
            <w:r>
              <w:rPr>
                <w:rFonts w:ascii="Garamond" w:hAnsi="Garamond"/>
                <w:b w:val="0"/>
                <w:color w:val="222222"/>
                <w:sz w:val="17"/>
              </w:rPr>
              <w:t>¿La autoridad tenía atribución legal concreta?</w:t>
            </w:r>
          </w:p>
        </w:tc>
      </w:tr>
      <w:tr>
        <w:tc>
          <w:tcPr>
            <w:tcW w:type="dxa" w:w="1656"/>
            <w:vAlign w:val="center"/>
            <w:shd w:fill="F7F8FA"/>
          </w:tcPr>
          <w:p>
            <w:pPr>
              <w:spacing w:after="40" w:line="240" w:lineRule="auto"/>
            </w:pPr>
            <w:r/>
            <w:r>
              <w:rPr>
                <w:rFonts w:ascii="Garamond" w:hAnsi="Garamond"/>
                <w:b w:val="0"/>
                <w:color w:val="222222"/>
                <w:sz w:val="17"/>
              </w:rPr>
              <w:t>Objeto</w:t>
            </w:r>
          </w:p>
        </w:tc>
        <w:tc>
          <w:tcPr>
            <w:tcW w:type="dxa" w:w="4320"/>
            <w:vAlign w:val="center"/>
            <w:shd w:fill="F7F8FA"/>
          </w:tcPr>
          <w:p>
            <w:pPr>
              <w:spacing w:after="40" w:line="240" w:lineRule="auto"/>
            </w:pPr>
            <w:r/>
            <w:r>
              <w:rPr>
                <w:rFonts w:ascii="Garamond" w:hAnsi="Garamond"/>
                <w:b w:val="0"/>
                <w:color w:val="222222"/>
                <w:sz w:val="17"/>
              </w:rPr>
              <w:t>Contenido determinado o determinable</w:t>
            </w:r>
          </w:p>
        </w:tc>
        <w:tc>
          <w:tcPr>
            <w:tcW w:type="dxa" w:w="3816"/>
            <w:vAlign w:val="center"/>
            <w:shd w:fill="F7F8FA"/>
          </w:tcPr>
          <w:p>
            <w:pPr>
              <w:spacing w:after="40" w:line="240" w:lineRule="auto"/>
            </w:pPr>
            <w:r/>
            <w:r>
              <w:rPr>
                <w:rFonts w:ascii="Garamond" w:hAnsi="Garamond"/>
                <w:b w:val="0"/>
                <w:color w:val="222222"/>
                <w:sz w:val="17"/>
              </w:rPr>
              <w:t>¿Qué ordena, niega, sanciona o reconoce?</w:t>
            </w:r>
          </w:p>
        </w:tc>
      </w:tr>
      <w:tr>
        <w:tc>
          <w:tcPr>
            <w:tcW w:type="dxa" w:w="1656"/>
            <w:vAlign w:val="center"/>
          </w:tcPr>
          <w:p>
            <w:pPr>
              <w:spacing w:after="40" w:line="240" w:lineRule="auto"/>
            </w:pPr>
            <w:r/>
            <w:r>
              <w:rPr>
                <w:rFonts w:ascii="Garamond" w:hAnsi="Garamond"/>
                <w:b w:val="0"/>
                <w:color w:val="222222"/>
                <w:sz w:val="17"/>
              </w:rPr>
              <w:t>Finalidad</w:t>
            </w:r>
          </w:p>
        </w:tc>
        <w:tc>
          <w:tcPr>
            <w:tcW w:type="dxa" w:w="4320"/>
            <w:vAlign w:val="center"/>
          </w:tcPr>
          <w:p>
            <w:pPr>
              <w:spacing w:after="40" w:line="240" w:lineRule="auto"/>
            </w:pPr>
            <w:r/>
            <w:r>
              <w:rPr>
                <w:rFonts w:ascii="Garamond" w:hAnsi="Garamond"/>
                <w:b w:val="0"/>
                <w:color w:val="222222"/>
                <w:sz w:val="17"/>
              </w:rPr>
              <w:t>Interés público previsto por la norma</w:t>
            </w:r>
          </w:p>
        </w:tc>
        <w:tc>
          <w:tcPr>
            <w:tcW w:type="dxa" w:w="3816"/>
            <w:vAlign w:val="center"/>
          </w:tcPr>
          <w:p>
            <w:pPr>
              <w:spacing w:after="40" w:line="240" w:lineRule="auto"/>
            </w:pPr>
            <w:r/>
            <w:r>
              <w:rPr>
                <w:rFonts w:ascii="Garamond" w:hAnsi="Garamond"/>
                <w:b w:val="0"/>
                <w:color w:val="222222"/>
                <w:sz w:val="17"/>
              </w:rPr>
              <w:t>¿Se utilizó la facultad para un fin distinto?</w:t>
            </w:r>
          </w:p>
        </w:tc>
      </w:tr>
      <w:tr>
        <w:tc>
          <w:tcPr>
            <w:tcW w:type="dxa" w:w="1656"/>
            <w:vAlign w:val="center"/>
            <w:shd w:fill="F7F8FA"/>
          </w:tcPr>
          <w:p>
            <w:pPr>
              <w:spacing w:after="40" w:line="240" w:lineRule="auto"/>
            </w:pPr>
            <w:r/>
            <w:r>
              <w:rPr>
                <w:rFonts w:ascii="Garamond" w:hAnsi="Garamond"/>
                <w:b w:val="0"/>
                <w:color w:val="222222"/>
                <w:sz w:val="17"/>
              </w:rPr>
              <w:t>Fundamentación</w:t>
            </w:r>
          </w:p>
        </w:tc>
        <w:tc>
          <w:tcPr>
            <w:tcW w:type="dxa" w:w="4320"/>
            <w:vAlign w:val="center"/>
            <w:shd w:fill="F7F8FA"/>
          </w:tcPr>
          <w:p>
            <w:pPr>
              <w:spacing w:after="40" w:line="240" w:lineRule="auto"/>
            </w:pPr>
            <w:r/>
            <w:r>
              <w:rPr>
                <w:rFonts w:ascii="Garamond" w:hAnsi="Garamond"/>
                <w:b w:val="0"/>
                <w:color w:val="222222"/>
                <w:sz w:val="17"/>
              </w:rPr>
              <w:t>Normas habilitantes y aplicables</w:t>
            </w:r>
          </w:p>
        </w:tc>
        <w:tc>
          <w:tcPr>
            <w:tcW w:type="dxa" w:w="3816"/>
            <w:vAlign w:val="center"/>
            <w:shd w:fill="F7F8FA"/>
          </w:tcPr>
          <w:p>
            <w:pPr>
              <w:spacing w:after="40" w:line="240" w:lineRule="auto"/>
            </w:pPr>
            <w:r/>
            <w:r>
              <w:rPr>
                <w:rFonts w:ascii="Garamond" w:hAnsi="Garamond"/>
                <w:b w:val="0"/>
                <w:color w:val="222222"/>
                <w:sz w:val="17"/>
              </w:rPr>
              <w:t>¿Se citaron normas que realmente confieren la facultad?</w:t>
            </w:r>
          </w:p>
        </w:tc>
      </w:tr>
      <w:tr>
        <w:tc>
          <w:tcPr>
            <w:tcW w:type="dxa" w:w="1656"/>
            <w:vAlign w:val="center"/>
          </w:tcPr>
          <w:p>
            <w:pPr>
              <w:spacing w:after="40" w:line="240" w:lineRule="auto"/>
            </w:pPr>
            <w:r/>
            <w:r>
              <w:rPr>
                <w:rFonts w:ascii="Garamond" w:hAnsi="Garamond"/>
                <w:b w:val="0"/>
                <w:color w:val="222222"/>
                <w:sz w:val="17"/>
              </w:rPr>
              <w:t>Motivación</w:t>
            </w:r>
          </w:p>
        </w:tc>
        <w:tc>
          <w:tcPr>
            <w:tcW w:type="dxa" w:w="4320"/>
            <w:vAlign w:val="center"/>
          </w:tcPr>
          <w:p>
            <w:pPr>
              <w:spacing w:after="40" w:line="240" w:lineRule="auto"/>
            </w:pPr>
            <w:r/>
            <w:r>
              <w:rPr>
                <w:rFonts w:ascii="Garamond" w:hAnsi="Garamond"/>
                <w:b w:val="0"/>
                <w:color w:val="222222"/>
                <w:sz w:val="17"/>
              </w:rPr>
              <w:t>Hechos y razonamiento que conectan norma y caso</w:t>
            </w:r>
          </w:p>
        </w:tc>
        <w:tc>
          <w:tcPr>
            <w:tcW w:type="dxa" w:w="3816"/>
            <w:vAlign w:val="center"/>
          </w:tcPr>
          <w:p>
            <w:pPr>
              <w:spacing w:after="40" w:line="240" w:lineRule="auto"/>
            </w:pPr>
            <w:r/>
            <w:r>
              <w:rPr>
                <w:rFonts w:ascii="Garamond" w:hAnsi="Garamond"/>
                <w:b w:val="0"/>
                <w:color w:val="222222"/>
                <w:sz w:val="17"/>
              </w:rPr>
              <w:t>¿La autoridad explicó por qué esos hechos actualizan la norma?</w:t>
            </w:r>
          </w:p>
        </w:tc>
      </w:tr>
      <w:tr>
        <w:tc>
          <w:tcPr>
            <w:tcW w:type="dxa" w:w="1656"/>
            <w:vAlign w:val="center"/>
            <w:shd w:fill="F7F8FA"/>
          </w:tcPr>
          <w:p>
            <w:pPr>
              <w:spacing w:after="40" w:line="240" w:lineRule="auto"/>
            </w:pPr>
            <w:r/>
            <w:r>
              <w:rPr>
                <w:rFonts w:ascii="Garamond" w:hAnsi="Garamond"/>
                <w:b w:val="0"/>
                <w:color w:val="222222"/>
                <w:sz w:val="17"/>
              </w:rPr>
              <w:t>Procedimiento</w:t>
            </w:r>
          </w:p>
        </w:tc>
        <w:tc>
          <w:tcPr>
            <w:tcW w:type="dxa" w:w="4320"/>
            <w:vAlign w:val="center"/>
            <w:shd w:fill="F7F8FA"/>
          </w:tcPr>
          <w:p>
            <w:pPr>
              <w:spacing w:after="40" w:line="240" w:lineRule="auto"/>
            </w:pPr>
            <w:r/>
            <w:r>
              <w:rPr>
                <w:rFonts w:ascii="Garamond" w:hAnsi="Garamond"/>
                <w:b w:val="0"/>
                <w:color w:val="222222"/>
                <w:sz w:val="17"/>
              </w:rPr>
              <w:t>Etapas, formalidades y oportunidades de defensa</w:t>
            </w:r>
          </w:p>
        </w:tc>
        <w:tc>
          <w:tcPr>
            <w:tcW w:type="dxa" w:w="3816"/>
            <w:vAlign w:val="center"/>
            <w:shd w:fill="F7F8FA"/>
          </w:tcPr>
          <w:p>
            <w:pPr>
              <w:spacing w:after="40" w:line="240" w:lineRule="auto"/>
            </w:pPr>
            <w:r/>
            <w:r>
              <w:rPr>
                <w:rFonts w:ascii="Garamond" w:hAnsi="Garamond"/>
                <w:b w:val="0"/>
                <w:color w:val="222222"/>
                <w:sz w:val="17"/>
              </w:rPr>
              <w:t>¿Se respetaron plazos, audiencia, pruebas y notificaciones?</w:t>
            </w:r>
          </w:p>
        </w:tc>
      </w:tr>
      <w:tr>
        <w:tc>
          <w:tcPr>
            <w:tcW w:type="dxa" w:w="1656"/>
            <w:vAlign w:val="center"/>
          </w:tcPr>
          <w:p>
            <w:pPr>
              <w:spacing w:after="40" w:line="240" w:lineRule="auto"/>
            </w:pPr>
            <w:r/>
            <w:r>
              <w:rPr>
                <w:rFonts w:ascii="Garamond" w:hAnsi="Garamond"/>
                <w:b w:val="0"/>
                <w:color w:val="222222"/>
                <w:sz w:val="17"/>
              </w:rPr>
              <w:t>Decisión</w:t>
            </w:r>
          </w:p>
        </w:tc>
        <w:tc>
          <w:tcPr>
            <w:tcW w:type="dxa" w:w="4320"/>
            <w:vAlign w:val="center"/>
          </w:tcPr>
          <w:p>
            <w:pPr>
              <w:spacing w:after="40" w:line="240" w:lineRule="auto"/>
            </w:pPr>
            <w:r/>
            <w:r>
              <w:rPr>
                <w:rFonts w:ascii="Garamond" w:hAnsi="Garamond"/>
                <w:b w:val="0"/>
                <w:color w:val="222222"/>
                <w:sz w:val="17"/>
              </w:rPr>
              <w:t>Respuesta a puntos planteados</w:t>
            </w:r>
          </w:p>
        </w:tc>
        <w:tc>
          <w:tcPr>
            <w:tcW w:type="dxa" w:w="3816"/>
            <w:vAlign w:val="center"/>
          </w:tcPr>
          <w:p>
            <w:pPr>
              <w:spacing w:after="40" w:line="240" w:lineRule="auto"/>
            </w:pPr>
            <w:r/>
            <w:r>
              <w:rPr>
                <w:rFonts w:ascii="Garamond" w:hAnsi="Garamond"/>
                <w:b w:val="0"/>
                <w:color w:val="222222"/>
                <w:sz w:val="17"/>
              </w:rPr>
              <w:t>¿La resolución dejó una petición sin resolver?</w:t>
            </w:r>
          </w:p>
        </w:tc>
      </w:tr>
    </w:tbl>
    <w:p>
      <w:pPr>
        <w:spacing w:after="20"/>
      </w:pPr>
    </w:p>
    <w:p>
      <w:pPr>
        <w:spacing w:after="100"/>
        <w:ind w:left="317" w:right="317"/>
      </w:pPr>
      <w:r>
        <w:rPr>
          <w:i/>
          <w:color w:val="1A2B4A"/>
        </w:rPr>
        <w:t>“Los actos administrativos deben estar fundados y motivados.”</w:t>
      </w:r>
      <w:r>
        <w:rPr>
          <w:b/>
          <w:color w:val="2E5B9E"/>
          <w:sz w:val="18"/>
        </w:rPr>
        <w:t xml:space="preserve">  (LFPA, art. 3, fr. V; CPEUM, art. 16)</w:t>
      </w:r>
    </w:p>
    <w:p>
      <w:pPr>
        <w:pStyle w:val="Ttulo2"/>
      </w:pPr>
      <w:r>
        <w:t>3.2 Nulidad y anulabilidad en la LFPA</w:t>
      </w:r>
    </w:p>
    <w:p>
      <w:r>
        <w:t>La LFPA distingue entre nulidad y anulabilidad. La consecuencia depende del requisito omitido o irregular y de la propia ley. El litigante debe identificar exactamente el requisito vulnerado, explicar su trascendencia y vincularlo con la consecuencia jurídica que solicita.</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No basta escribir “el acto está mal fundado”. Señala: norma invocada por la autoridad → facultad que supuestamente confiere → hecho que la autoridad tuvo por acreditado → razón por la que la norma no permite esa conclusión.</w:t>
            </w:r>
          </w:p>
        </w:tc>
      </w:tr>
    </w:tbl>
    <w:p>
      <w:pPr>
        <w:spacing w:after="20"/>
      </w:pPr>
    </w:p>
    <w:p>
      <w:pPr>
        <w:pStyle w:val="Ttulo1"/>
      </w:pPr>
      <w:r>
        <w:t>4. COMPETENCIA, FUNDAMENTACIÓN, MOTIVACIÓN Y DEBIDO PROCESO</w:t>
      </w:r>
    </w:p>
    <w:p>
      <w:pPr>
        <w:pStyle w:val="Ttulo2"/>
      </w:pPr>
      <w:r>
        <w:t>4.1 Competencia: el primer filtro</w:t>
      </w:r>
    </w:p>
    <w:p>
      <w:r>
        <w:t>La competencia no se presume por el cargo. Debe identificarse la disposición que atribuye a la autoridad la facultad para emitir, ordenar o ejecutar el acto. En órganos administrativos es frecuente que el litigio dependa de la diferencia entre la atribución general de una dependencia y la competencia específica de una unidad administrativa.</w:t>
      </w:r>
    </w:p>
    <w:p>
      <w:r>
        <w:t>• Revisa ley orgánica, reglamento interior, acuerdo de delegación o desconcentración y norma especial.</w:t>
      </w:r>
    </w:p>
    <w:p>
      <w:r>
        <w:t>• Verifica vigencia de la norma al día del acto.</w:t>
      </w:r>
    </w:p>
    <w:p>
      <w:r>
        <w:t>• Distingue competencia originaria de delegada.</w:t>
      </w:r>
    </w:p>
    <w:p>
      <w:r>
        <w:t>• Comprueba que la delegación haya sido publicada o formalizada cuando la norma lo exija.</w:t>
      </w:r>
    </w:p>
    <w:p>
      <w:r>
        <w:t>• Revisa territorio, materia, grado y momento de ejercicio de la facultad.</w:t>
      </w:r>
    </w:p>
    <w:p>
      <w:pPr>
        <w:pStyle w:val="Ttulo2"/>
      </w:pPr>
      <w:r>
        <w:t>4.2 Fundamentación</w:t>
      </w:r>
    </w:p>
    <w:p>
      <w:r>
        <w:t>Fundar significa expresar las normas jurídicas que permiten actuar. En la práctica conviene separar la norma que confiere competencia de las normas sustantivas que establecen la obligación o infracción y de las normas procedimentales que permiten dictar el acto.</w:t>
      </w:r>
    </w:p>
    <w:p>
      <w:pPr>
        <w:pStyle w:val="Ttulo2"/>
      </w:pPr>
      <w:r>
        <w:t>4.3 Motivación</w:t>
      </w:r>
    </w:p>
    <w:p>
      <w:r>
        <w:t>Motivar significa explicar las circunstancias especiales, razones particulares o causas inmediatas que llevan a la autoridad a aplicar la norma al caso concreto. La motivación útil debe permitir reconstruir el razonamiento administrativo.</w:t>
      </w:r>
    </w:p>
    <w:p>
      <w:pPr>
        <w:pStyle w:val="Ttulo2"/>
      </w:pPr>
      <w:r>
        <w:t>4.4 Debido proceso administrativo</w:t>
      </w:r>
    </w:p>
    <w:tbl>
      <w:tblPr>
        <w:tblW w:type="auto" w:w="0"/>
        <w:jc w:val="center"/>
        <w:tblLook w:firstColumn="1" w:firstRow="1" w:lastColumn="0" w:lastRow="0" w:noHBand="0" w:noVBand="1" w:val="04A0"/>
      </w:tblPr>
      <w:tblGrid>
        <w:gridCol w:w="4932"/>
        <w:gridCol w:w="4932"/>
      </w:tblGrid>
      <w:tr>
        <w:tc>
          <w:tcPr>
            <w:tcW w:type="dxa" w:w="1944"/>
            <w:vAlign w:val="center"/>
            <w:shd w:fill="1A2B4A"/>
          </w:tcPr>
          <w:p>
            <w:pPr>
              <w:spacing w:after="40" w:line="240" w:lineRule="auto"/>
            </w:pPr>
            <w:r/>
            <w:r>
              <w:rPr>
                <w:rFonts w:ascii="Garamond" w:hAnsi="Garamond"/>
                <w:b/>
                <w:color w:val="FFFFFF"/>
                <w:sz w:val="17"/>
              </w:rPr>
              <w:t>Momento</w:t>
            </w:r>
          </w:p>
        </w:tc>
        <w:tc>
          <w:tcPr>
            <w:tcW w:type="dxa" w:w="7848"/>
            <w:vAlign w:val="center"/>
            <w:shd w:fill="1A2B4A"/>
          </w:tcPr>
          <w:p>
            <w:pPr>
              <w:spacing w:after="40" w:line="240" w:lineRule="auto"/>
            </w:pPr>
            <w:r/>
            <w:r>
              <w:rPr>
                <w:rFonts w:ascii="Garamond" w:hAnsi="Garamond"/>
                <w:b/>
                <w:color w:val="FFFFFF"/>
                <w:sz w:val="17"/>
              </w:rPr>
              <w:t>Revisión mínima</w:t>
            </w:r>
          </w:p>
        </w:tc>
      </w:tr>
      <w:tr>
        <w:tc>
          <w:tcPr>
            <w:tcW w:type="dxa" w:w="1944"/>
            <w:vAlign w:val="center"/>
          </w:tcPr>
          <w:p>
            <w:pPr>
              <w:spacing w:after="40" w:line="240" w:lineRule="auto"/>
            </w:pPr>
            <w:r/>
            <w:r>
              <w:rPr>
                <w:rFonts w:ascii="Garamond" w:hAnsi="Garamond"/>
                <w:b w:val="0"/>
                <w:color w:val="222222"/>
                <w:sz w:val="17"/>
              </w:rPr>
              <w:t>Inicio</w:t>
            </w:r>
          </w:p>
        </w:tc>
        <w:tc>
          <w:tcPr>
            <w:tcW w:type="dxa" w:w="7848"/>
            <w:vAlign w:val="center"/>
          </w:tcPr>
          <w:p>
            <w:pPr>
              <w:spacing w:after="40" w:line="240" w:lineRule="auto"/>
            </w:pPr>
            <w:r/>
            <w:r>
              <w:rPr>
                <w:rFonts w:ascii="Garamond" w:hAnsi="Garamond"/>
                <w:b w:val="0"/>
                <w:color w:val="222222"/>
                <w:sz w:val="17"/>
              </w:rPr>
              <w:t>Competencia, orden de inicio y causa legal.</w:t>
            </w:r>
          </w:p>
        </w:tc>
      </w:tr>
      <w:tr>
        <w:tc>
          <w:tcPr>
            <w:tcW w:type="dxa" w:w="1944"/>
            <w:vAlign w:val="center"/>
            <w:shd w:fill="F7F8FA"/>
          </w:tcPr>
          <w:p>
            <w:pPr>
              <w:spacing w:after="40" w:line="240" w:lineRule="auto"/>
            </w:pPr>
            <w:r/>
            <w:r>
              <w:rPr>
                <w:rFonts w:ascii="Garamond" w:hAnsi="Garamond"/>
                <w:b w:val="0"/>
                <w:color w:val="222222"/>
                <w:sz w:val="17"/>
              </w:rPr>
              <w:t>Notificación</w:t>
            </w:r>
          </w:p>
        </w:tc>
        <w:tc>
          <w:tcPr>
            <w:tcW w:type="dxa" w:w="7848"/>
            <w:vAlign w:val="center"/>
            <w:shd w:fill="F7F8FA"/>
          </w:tcPr>
          <w:p>
            <w:pPr>
              <w:spacing w:after="40" w:line="240" w:lineRule="auto"/>
            </w:pPr>
            <w:r/>
            <w:r>
              <w:rPr>
                <w:rFonts w:ascii="Garamond" w:hAnsi="Garamond"/>
                <w:b w:val="0"/>
                <w:color w:val="222222"/>
                <w:sz w:val="17"/>
              </w:rPr>
              <w:t>Forma, persona receptora, domicilio, fecha y efectos.</w:t>
            </w:r>
          </w:p>
        </w:tc>
      </w:tr>
      <w:tr>
        <w:tc>
          <w:tcPr>
            <w:tcW w:type="dxa" w:w="1944"/>
            <w:vAlign w:val="center"/>
          </w:tcPr>
          <w:p>
            <w:pPr>
              <w:spacing w:after="40" w:line="240" w:lineRule="auto"/>
            </w:pPr>
            <w:r/>
            <w:r>
              <w:rPr>
                <w:rFonts w:ascii="Garamond" w:hAnsi="Garamond"/>
                <w:b w:val="0"/>
                <w:color w:val="222222"/>
                <w:sz w:val="17"/>
              </w:rPr>
              <w:t>Defensa</w:t>
            </w:r>
          </w:p>
        </w:tc>
        <w:tc>
          <w:tcPr>
            <w:tcW w:type="dxa" w:w="7848"/>
            <w:vAlign w:val="center"/>
          </w:tcPr>
          <w:p>
            <w:pPr>
              <w:spacing w:after="40" w:line="240" w:lineRule="auto"/>
            </w:pPr>
            <w:r/>
            <w:r>
              <w:rPr>
                <w:rFonts w:ascii="Garamond" w:hAnsi="Garamond"/>
                <w:b w:val="0"/>
                <w:color w:val="222222"/>
                <w:sz w:val="17"/>
              </w:rPr>
              <w:t>Plazo, acceso al expediente, manifestaciones y pruebas.</w:t>
            </w:r>
          </w:p>
        </w:tc>
      </w:tr>
      <w:tr>
        <w:tc>
          <w:tcPr>
            <w:tcW w:type="dxa" w:w="1944"/>
            <w:vAlign w:val="center"/>
            <w:shd w:fill="F7F8FA"/>
          </w:tcPr>
          <w:p>
            <w:pPr>
              <w:spacing w:after="40" w:line="240" w:lineRule="auto"/>
            </w:pPr>
            <w:r/>
            <w:r>
              <w:rPr>
                <w:rFonts w:ascii="Garamond" w:hAnsi="Garamond"/>
                <w:b w:val="0"/>
                <w:color w:val="222222"/>
                <w:sz w:val="17"/>
              </w:rPr>
              <w:t>Valoración</w:t>
            </w:r>
          </w:p>
        </w:tc>
        <w:tc>
          <w:tcPr>
            <w:tcW w:type="dxa" w:w="7848"/>
            <w:vAlign w:val="center"/>
            <w:shd w:fill="F7F8FA"/>
          </w:tcPr>
          <w:p>
            <w:pPr>
              <w:spacing w:after="40" w:line="240" w:lineRule="auto"/>
            </w:pPr>
            <w:r/>
            <w:r>
              <w:rPr>
                <w:rFonts w:ascii="Garamond" w:hAnsi="Garamond"/>
                <w:b w:val="0"/>
                <w:color w:val="222222"/>
                <w:sz w:val="17"/>
              </w:rPr>
              <w:t>Qué pruebas se admitieron, desahogaron y cómo se valoraron.</w:t>
            </w:r>
          </w:p>
        </w:tc>
      </w:tr>
      <w:tr>
        <w:tc>
          <w:tcPr>
            <w:tcW w:type="dxa" w:w="1944"/>
            <w:vAlign w:val="center"/>
          </w:tcPr>
          <w:p>
            <w:pPr>
              <w:spacing w:after="40" w:line="240" w:lineRule="auto"/>
            </w:pPr>
            <w:r/>
            <w:r>
              <w:rPr>
                <w:rFonts w:ascii="Garamond" w:hAnsi="Garamond"/>
                <w:b w:val="0"/>
                <w:color w:val="222222"/>
                <w:sz w:val="17"/>
              </w:rPr>
              <w:t>Resolución</w:t>
            </w:r>
          </w:p>
        </w:tc>
        <w:tc>
          <w:tcPr>
            <w:tcW w:type="dxa" w:w="7848"/>
            <w:vAlign w:val="center"/>
          </w:tcPr>
          <w:p>
            <w:pPr>
              <w:spacing w:after="40" w:line="240" w:lineRule="auto"/>
            </w:pPr>
            <w:r/>
            <w:r>
              <w:rPr>
                <w:rFonts w:ascii="Garamond" w:hAnsi="Garamond"/>
                <w:b w:val="0"/>
                <w:color w:val="222222"/>
                <w:sz w:val="17"/>
              </w:rPr>
              <w:t>Competencia, fundamentación, motivación, congruencia y exhaustividad.</w:t>
            </w:r>
          </w:p>
        </w:tc>
      </w:tr>
      <w:tr>
        <w:tc>
          <w:tcPr>
            <w:tcW w:type="dxa" w:w="1944"/>
            <w:vAlign w:val="center"/>
            <w:shd w:fill="F7F8FA"/>
          </w:tcPr>
          <w:p>
            <w:pPr>
              <w:spacing w:after="40" w:line="240" w:lineRule="auto"/>
            </w:pPr>
            <w:r/>
            <w:r>
              <w:rPr>
                <w:rFonts w:ascii="Garamond" w:hAnsi="Garamond"/>
                <w:b w:val="0"/>
                <w:color w:val="222222"/>
                <w:sz w:val="17"/>
              </w:rPr>
              <w:t>Ejecución</w:t>
            </w:r>
          </w:p>
        </w:tc>
        <w:tc>
          <w:tcPr>
            <w:tcW w:type="dxa" w:w="7848"/>
            <w:vAlign w:val="center"/>
            <w:shd w:fill="F7F8FA"/>
          </w:tcPr>
          <w:p>
            <w:pPr>
              <w:spacing w:after="40" w:line="240" w:lineRule="auto"/>
            </w:pPr>
            <w:r/>
            <w:r>
              <w:rPr>
                <w:rFonts w:ascii="Garamond" w:hAnsi="Garamond"/>
                <w:b w:val="0"/>
                <w:color w:val="222222"/>
                <w:sz w:val="17"/>
              </w:rPr>
              <w:t>Base legal, proporcionalidad y respeto a la suspensión o recursos.</w:t>
            </w:r>
          </w:p>
        </w:tc>
      </w:tr>
    </w:tbl>
    <w:p>
      <w:pPr>
        <w:spacing w:after="20"/>
      </w:pPr>
    </w:p>
    <w:p>
      <w:pPr>
        <w:pStyle w:val="Ttulo1"/>
      </w:pPr>
      <w:r>
        <w:t>5. PROCEDIMIENTO ADMINISTRATIVO FEDERAL BAJO LA LFPA</w:t>
      </w:r>
    </w:p>
    <w:p>
      <w:pPr>
        <w:pStyle w:val="Ttulo2"/>
      </w:pPr>
      <w:r>
        <w:t>5.1 Ámbito de aplicación</w:t>
      </w:r>
    </w:p>
    <w:p>
      <w:r>
        <w:t>La LFPA regula actos, procedimientos y resoluciones de la Administración Pública Federal centralizada y, en determinados supuestos, de organismos descentralizados respecto de actos de autoridad y servicios exclusivos. Su propio artículo 1 excluye materias como fiscal y responsabilidades de servidores públicos; por ello, su uso debe ser siempre contextual.</w:t>
      </w:r>
    </w:p>
    <w:p>
      <w:pPr>
        <w:pStyle w:val="Ttulo2"/>
      </w:pPr>
      <w:r>
        <w:t>5.2 Inicio y promoción</w:t>
      </w:r>
    </w:p>
    <w:p>
      <w:r>
        <w:t>El procedimiento puede iniciarse de oficio o a petición de parte. Las promociones deben contener identificación del promovente, representación cuando proceda, domicilio para notificaciones, petición, hechos o razones, órgano al que se dirige, lugar, fecha y firma, además de los documentos que acrediten personalidad y los que exija la normativa aplicable.</w:t>
      </w:r>
    </w:p>
    <w:p>
      <w:pPr>
        <w:pStyle w:val="Ttulo2"/>
      </w:pPr>
      <w:r>
        <w:t>5.3 Plazos y prevención</w:t>
      </w:r>
    </w:p>
    <w:p>
      <w:r>
        <w:t>Como regla general de la LFPA, el plazo de resolución es de tres meses salvo disposición distinta. Si el escrito tiene omisiones, la autoridad debe prevenir en los términos del artículo 17-A. El litigante debe distinguir entre una prevención válida, una exigencia no prevista y un requerimiento que en realidad modifique la carga probatoria del particular.</w:t>
      </w:r>
    </w:p>
    <w:p>
      <w:pPr>
        <w:pStyle w:val="Ttulo2"/>
      </w:pPr>
      <w:r>
        <w:t>5.4 Pruebas y alegatos</w:t>
      </w:r>
    </w:p>
    <w:p>
      <w:r>
        <w:t>La autoridad debe admitir las pruebas permitidas por la ley y recibir alegatos. El abogado debe ofrecer cada prueba indicando qué hecho pretende demostrar y por qué es pertinente, evitando listas genéricas que no se conectan con los puntos controvertidos.</w:t>
      </w:r>
    </w:p>
    <w:p>
      <w:pPr>
        <w:pStyle w:val="Ttulo2"/>
      </w:pPr>
      <w:r>
        <w:t>5.5 Inspección y verificación</w:t>
      </w:r>
    </w:p>
    <w:p>
      <w:r>
        <w:t>Las visitas de verificación deben analizarse desde la orden que las autoriza hasta el acta final. El litigante debe revisar identidad de los visitadores, domicilio, objeto de la visita, facultades, circunstancias de tiempo y lugar, personas que intervinieron, hechos asentados, documentos entregados y firma o negativa de firma.</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La guía de estudio aportada organiza la práctica forense alrededor de la visita de verificación, el procedimiento administrativo de ejecución y las responsabilidades administrativas. Esa estructura se conserva aquí, pero se actualiza la referencia normativa a los textos vigentes.</w:t>
            </w:r>
          </w:p>
        </w:tc>
      </w:tr>
    </w:tbl>
    <w:p>
      <w:pPr>
        <w:spacing w:after="20"/>
      </w:pPr>
    </w:p>
    <w:p>
      <w:pPr>
        <w:pStyle w:val="Ttulo1"/>
      </w:pPr>
      <w:r>
        <w:t>6. VISITAS DE VERIFICACIÓN, INSPECCIÓN Y SANCIONES</w:t>
      </w:r>
    </w:p>
    <w:p>
      <w:pPr>
        <w:pStyle w:val="Ttulo2"/>
      </w:pPr>
      <w:r>
        <w:t>6.1 Antes de la visita</w:t>
      </w:r>
    </w:p>
    <w:p>
      <w:r>
        <w:t>• Identifica la norma que autoriza la visita.</w:t>
      </w:r>
    </w:p>
    <w:p>
      <w:r>
        <w:t>• Verifica si requiere orden escrita y qué datos debe contener.</w:t>
      </w:r>
    </w:p>
    <w:p>
      <w:r>
        <w:t>• Revisa domicilio y persona a quien puede dirigirse.</w:t>
      </w:r>
    </w:p>
    <w:p>
      <w:r>
        <w:t>• Prepara protocolo interno: recepción, identificación, acompañamiento y conservación de evidencias.</w:t>
      </w:r>
    </w:p>
    <w:p>
      <w:r>
        <w:t>• No obstruyas físicamente la diligencia; documenta las irregularidades y objeta por escrito cuando corresponda.</w:t>
      </w:r>
    </w:p>
    <w:p>
      <w:pPr>
        <w:pStyle w:val="Ttulo2"/>
      </w:pPr>
      <w:r>
        <w:t>6.2 Durante la diligencia</w:t>
      </w:r>
    </w:p>
    <w:tbl>
      <w:tblPr>
        <w:tblW w:type="auto" w:w="0"/>
        <w:jc w:val="center"/>
        <w:tblLook w:firstColumn="1" w:firstRow="1" w:lastColumn="0" w:lastRow="0" w:noHBand="0" w:noVBand="1" w:val="04A0"/>
      </w:tblPr>
      <w:tblGrid>
        <w:gridCol w:w="4932"/>
        <w:gridCol w:w="4932"/>
      </w:tblGrid>
      <w:tr>
        <w:tc>
          <w:tcPr>
            <w:tcW w:type="dxa" w:w="2160"/>
            <w:vAlign w:val="center"/>
            <w:shd w:fill="1A2B4A"/>
          </w:tcPr>
          <w:p>
            <w:pPr>
              <w:spacing w:after="40" w:line="240" w:lineRule="auto"/>
            </w:pPr>
            <w:r/>
            <w:r>
              <w:rPr>
                <w:rFonts w:ascii="Garamond" w:hAnsi="Garamond"/>
                <w:b/>
                <w:color w:val="FFFFFF"/>
                <w:sz w:val="17"/>
              </w:rPr>
              <w:t>Punto de control</w:t>
            </w:r>
          </w:p>
        </w:tc>
        <w:tc>
          <w:tcPr>
            <w:tcW w:type="dxa" w:w="7632"/>
            <w:vAlign w:val="center"/>
            <w:shd w:fill="1A2B4A"/>
          </w:tcPr>
          <w:p>
            <w:pPr>
              <w:spacing w:after="40" w:line="240" w:lineRule="auto"/>
            </w:pPr>
            <w:r/>
            <w:r>
              <w:rPr>
                <w:rFonts w:ascii="Garamond" w:hAnsi="Garamond"/>
                <w:b/>
                <w:color w:val="FFFFFF"/>
                <w:sz w:val="17"/>
              </w:rPr>
              <w:t>Qué documentar</w:t>
            </w:r>
          </w:p>
        </w:tc>
      </w:tr>
      <w:tr>
        <w:tc>
          <w:tcPr>
            <w:tcW w:type="dxa" w:w="2160"/>
            <w:vAlign w:val="center"/>
          </w:tcPr>
          <w:p>
            <w:pPr>
              <w:spacing w:after="40" w:line="240" w:lineRule="auto"/>
            </w:pPr>
            <w:r/>
            <w:r>
              <w:rPr>
                <w:rFonts w:ascii="Garamond" w:hAnsi="Garamond"/>
                <w:b w:val="0"/>
                <w:color w:val="222222"/>
                <w:sz w:val="17"/>
              </w:rPr>
              <w:t>Identidad</w:t>
            </w:r>
          </w:p>
        </w:tc>
        <w:tc>
          <w:tcPr>
            <w:tcW w:type="dxa" w:w="7632"/>
            <w:vAlign w:val="center"/>
          </w:tcPr>
          <w:p>
            <w:pPr>
              <w:spacing w:after="40" w:line="240" w:lineRule="auto"/>
            </w:pPr>
            <w:r/>
            <w:r>
              <w:rPr>
                <w:rFonts w:ascii="Garamond" w:hAnsi="Garamond"/>
                <w:b w:val="0"/>
                <w:color w:val="222222"/>
                <w:sz w:val="17"/>
              </w:rPr>
              <w:t>Nombre, cargo, credencial y autoridad de adscripción.</w:t>
            </w:r>
          </w:p>
        </w:tc>
      </w:tr>
      <w:tr>
        <w:tc>
          <w:tcPr>
            <w:tcW w:type="dxa" w:w="2160"/>
            <w:vAlign w:val="center"/>
            <w:shd w:fill="F7F8FA"/>
          </w:tcPr>
          <w:p>
            <w:pPr>
              <w:spacing w:after="40" w:line="240" w:lineRule="auto"/>
            </w:pPr>
            <w:r/>
            <w:r>
              <w:rPr>
                <w:rFonts w:ascii="Garamond" w:hAnsi="Garamond"/>
                <w:b w:val="0"/>
                <w:color w:val="222222"/>
                <w:sz w:val="17"/>
              </w:rPr>
              <w:t>Orden</w:t>
            </w:r>
          </w:p>
        </w:tc>
        <w:tc>
          <w:tcPr>
            <w:tcW w:type="dxa" w:w="7632"/>
            <w:vAlign w:val="center"/>
            <w:shd w:fill="F7F8FA"/>
          </w:tcPr>
          <w:p>
            <w:pPr>
              <w:spacing w:after="40" w:line="240" w:lineRule="auto"/>
            </w:pPr>
            <w:r/>
            <w:r>
              <w:rPr>
                <w:rFonts w:ascii="Garamond" w:hAnsi="Garamond"/>
                <w:b w:val="0"/>
                <w:color w:val="222222"/>
                <w:sz w:val="17"/>
              </w:rPr>
              <w:t>Número, fecha, objeto, alcance y fundamento.</w:t>
            </w:r>
          </w:p>
        </w:tc>
      </w:tr>
      <w:tr>
        <w:tc>
          <w:tcPr>
            <w:tcW w:type="dxa" w:w="2160"/>
            <w:vAlign w:val="center"/>
          </w:tcPr>
          <w:p>
            <w:pPr>
              <w:spacing w:after="40" w:line="240" w:lineRule="auto"/>
            </w:pPr>
            <w:r/>
            <w:r>
              <w:rPr>
                <w:rFonts w:ascii="Garamond" w:hAnsi="Garamond"/>
                <w:b w:val="0"/>
                <w:color w:val="222222"/>
                <w:sz w:val="17"/>
              </w:rPr>
              <w:t>Domicilio</w:t>
            </w:r>
          </w:p>
        </w:tc>
        <w:tc>
          <w:tcPr>
            <w:tcW w:type="dxa" w:w="7632"/>
            <w:vAlign w:val="center"/>
          </w:tcPr>
          <w:p>
            <w:pPr>
              <w:spacing w:after="40" w:line="240" w:lineRule="auto"/>
            </w:pPr>
            <w:r/>
            <w:r>
              <w:rPr>
                <w:rFonts w:ascii="Garamond" w:hAnsi="Garamond"/>
                <w:b w:val="0"/>
                <w:color w:val="222222"/>
                <w:sz w:val="17"/>
              </w:rPr>
              <w:t>Coincidencia entre orden y lugar de diligencia.</w:t>
            </w:r>
          </w:p>
        </w:tc>
      </w:tr>
      <w:tr>
        <w:tc>
          <w:tcPr>
            <w:tcW w:type="dxa" w:w="2160"/>
            <w:vAlign w:val="center"/>
            <w:shd w:fill="F7F8FA"/>
          </w:tcPr>
          <w:p>
            <w:pPr>
              <w:spacing w:after="40" w:line="240" w:lineRule="auto"/>
            </w:pPr>
            <w:r/>
            <w:r>
              <w:rPr>
                <w:rFonts w:ascii="Garamond" w:hAnsi="Garamond"/>
                <w:b w:val="0"/>
                <w:color w:val="222222"/>
                <w:sz w:val="17"/>
              </w:rPr>
              <w:t>Actuaciones</w:t>
            </w:r>
          </w:p>
        </w:tc>
        <w:tc>
          <w:tcPr>
            <w:tcW w:type="dxa" w:w="7632"/>
            <w:vAlign w:val="center"/>
            <w:shd w:fill="F7F8FA"/>
          </w:tcPr>
          <w:p>
            <w:pPr>
              <w:spacing w:after="40" w:line="240" w:lineRule="auto"/>
            </w:pPr>
            <w:r/>
            <w:r>
              <w:rPr>
                <w:rFonts w:ascii="Garamond" w:hAnsi="Garamond"/>
                <w:b w:val="0"/>
                <w:color w:val="222222"/>
                <w:sz w:val="17"/>
              </w:rPr>
              <w:t>Hora de inicio, hechos observados y documentos solicitados.</w:t>
            </w:r>
          </w:p>
        </w:tc>
      </w:tr>
      <w:tr>
        <w:tc>
          <w:tcPr>
            <w:tcW w:type="dxa" w:w="2160"/>
            <w:vAlign w:val="center"/>
          </w:tcPr>
          <w:p>
            <w:pPr>
              <w:spacing w:after="40" w:line="240" w:lineRule="auto"/>
            </w:pPr>
            <w:r/>
            <w:r>
              <w:rPr>
                <w:rFonts w:ascii="Garamond" w:hAnsi="Garamond"/>
                <w:b w:val="0"/>
                <w:color w:val="222222"/>
                <w:sz w:val="17"/>
              </w:rPr>
              <w:t>Manifestaciones</w:t>
            </w:r>
          </w:p>
        </w:tc>
        <w:tc>
          <w:tcPr>
            <w:tcW w:type="dxa" w:w="7632"/>
            <w:vAlign w:val="center"/>
          </w:tcPr>
          <w:p>
            <w:pPr>
              <w:spacing w:after="40" w:line="240" w:lineRule="auto"/>
            </w:pPr>
            <w:r/>
            <w:r>
              <w:rPr>
                <w:rFonts w:ascii="Garamond" w:hAnsi="Garamond"/>
                <w:b w:val="0"/>
                <w:color w:val="222222"/>
                <w:sz w:val="17"/>
              </w:rPr>
              <w:t>Precisar qué se reconoce, qué se niega y qué se desconoce.</w:t>
            </w:r>
          </w:p>
        </w:tc>
      </w:tr>
      <w:tr>
        <w:tc>
          <w:tcPr>
            <w:tcW w:type="dxa" w:w="2160"/>
            <w:vAlign w:val="center"/>
            <w:shd w:fill="F7F8FA"/>
          </w:tcPr>
          <w:p>
            <w:pPr>
              <w:spacing w:after="40" w:line="240" w:lineRule="auto"/>
            </w:pPr>
            <w:r/>
            <w:r>
              <w:rPr>
                <w:rFonts w:ascii="Garamond" w:hAnsi="Garamond"/>
                <w:b w:val="0"/>
                <w:color w:val="222222"/>
                <w:sz w:val="17"/>
              </w:rPr>
              <w:t>Acta</w:t>
            </w:r>
          </w:p>
        </w:tc>
        <w:tc>
          <w:tcPr>
            <w:tcW w:type="dxa" w:w="7632"/>
            <w:vAlign w:val="center"/>
            <w:shd w:fill="F7F8FA"/>
          </w:tcPr>
          <w:p>
            <w:pPr>
              <w:spacing w:after="40" w:line="240" w:lineRule="auto"/>
            </w:pPr>
            <w:r/>
            <w:r>
              <w:rPr>
                <w:rFonts w:ascii="Garamond" w:hAnsi="Garamond"/>
                <w:b w:val="0"/>
                <w:color w:val="222222"/>
                <w:sz w:val="17"/>
              </w:rPr>
              <w:t>Lectura, observaciones, anexos, firmas y negativa de firma.</w:t>
            </w:r>
          </w:p>
        </w:tc>
      </w:tr>
    </w:tbl>
    <w:p>
      <w:pPr>
        <w:spacing w:after="20"/>
      </w:pPr>
    </w:p>
    <w:p>
      <w:pPr>
        <w:pStyle w:val="Ttulo2"/>
      </w:pPr>
      <w:r>
        <w:t>6.3 Defensa frente a una sanción</w:t>
      </w:r>
    </w:p>
    <w:p>
      <w:r>
        <w:t>Una vez emitida la resolución sancionadora, el análisis se divide en legalidad formal, tipicidad administrativa, acreditación de hechos, responsabilidad, individualización de la sanción y proporcionalidad. No conviene limitar la defensa a la cuantía de la multa si existen vicios anteriores capaces de afectar la validez de todo el procedimiento.</w:t>
      </w:r>
    </w:p>
    <w:p>
      <w:pPr>
        <w:pStyle w:val="Ttulo2"/>
      </w:pPr>
      <w:r>
        <w:t>6.4 Prescripción</w:t>
      </w:r>
    </w:p>
    <w:p>
      <w:r>
        <w:t>En el régimen general de la LFPA, la facultad para imponer sanciones administrativas prescribe en cinco años, conforme al artículo 79, sin perjuicio de que la ley especial establezca reglas distintas.</w:t>
      </w:r>
    </w:p>
    <w:p>
      <w:pPr>
        <w:pStyle w:val="Ttulo1"/>
      </w:pPr>
      <w:r>
        <w:t>7. RESPONSABILIDADES ADMINISTRATIVAS DE SERVIDORES PÚBLICOS</w:t>
      </w:r>
    </w:p>
    <w:p>
      <w:pPr>
        <w:pStyle w:val="Ttulo2"/>
      </w:pPr>
      <w:r>
        <w:t>7.1 Régimen federal y régimen estatal</w:t>
      </w:r>
    </w:p>
    <w:p>
      <w:r>
        <w:t>Para responsabilidades administrativas debe distinguirse el ámbito de gobierno. En el ámbito federal, la Ley General de Responsabilidades Administrativas establece principios, obligaciones, faltas graves y no graves, sanciones y procedimientos. En Jalisco existe además el régimen estatal correspondiente, incluyendo la Ley para los Servidores Públicos del Estado de Jalisco y sus Municipios y la legislación local de responsabilidades.</w:t>
      </w:r>
    </w:p>
    <w:p>
      <w:pPr>
        <w:pStyle w:val="Ttulo2"/>
      </w:pPr>
      <w:r>
        <w:t>7.2 Ruta de una investigación</w:t>
      </w:r>
    </w:p>
    <w:tbl>
      <w:tblPr>
        <w:tblW w:type="auto" w:w="0"/>
        <w:jc w:val="center"/>
        <w:tblLook w:firstColumn="1" w:firstRow="1" w:lastColumn="0" w:lastRow="0" w:noHBand="0" w:noVBand="1" w:val="04A0"/>
      </w:tblPr>
      <w:tblGrid>
        <w:gridCol w:w="3288"/>
        <w:gridCol w:w="3288"/>
        <w:gridCol w:w="3288"/>
      </w:tblGrid>
      <w:tr>
        <w:tc>
          <w:tcPr>
            <w:tcW w:type="dxa" w:w="1944"/>
            <w:vAlign w:val="center"/>
            <w:shd w:fill="1A2B4A"/>
          </w:tcPr>
          <w:p>
            <w:pPr>
              <w:spacing w:after="40" w:line="240" w:lineRule="auto"/>
            </w:pPr>
            <w:r/>
            <w:r>
              <w:rPr>
                <w:rFonts w:ascii="Garamond" w:hAnsi="Garamond"/>
                <w:b/>
                <w:color w:val="FFFFFF"/>
                <w:sz w:val="17"/>
              </w:rPr>
              <w:t>Fase</w:t>
            </w:r>
          </w:p>
        </w:tc>
        <w:tc>
          <w:tcPr>
            <w:tcW w:type="dxa" w:w="4320"/>
            <w:vAlign w:val="center"/>
            <w:shd w:fill="1A2B4A"/>
          </w:tcPr>
          <w:p>
            <w:pPr>
              <w:spacing w:after="40" w:line="240" w:lineRule="auto"/>
            </w:pPr>
            <w:r/>
            <w:r>
              <w:rPr>
                <w:rFonts w:ascii="Garamond" w:hAnsi="Garamond"/>
                <w:b/>
                <w:color w:val="FFFFFF"/>
                <w:sz w:val="17"/>
              </w:rPr>
              <w:t>Pregunta del litigante</w:t>
            </w:r>
          </w:p>
        </w:tc>
        <w:tc>
          <w:tcPr>
            <w:tcW w:type="dxa" w:w="3528"/>
            <w:vAlign w:val="center"/>
            <w:shd w:fill="1A2B4A"/>
          </w:tcPr>
          <w:p>
            <w:pPr>
              <w:spacing w:after="40" w:line="240" w:lineRule="auto"/>
            </w:pPr>
            <w:r/>
            <w:r>
              <w:rPr>
                <w:rFonts w:ascii="Garamond" w:hAnsi="Garamond"/>
                <w:b/>
                <w:color w:val="FFFFFF"/>
                <w:sz w:val="17"/>
              </w:rPr>
              <w:t>Riesgo</w:t>
            </w:r>
          </w:p>
        </w:tc>
      </w:tr>
      <w:tr>
        <w:tc>
          <w:tcPr>
            <w:tcW w:type="dxa" w:w="1944"/>
            <w:vAlign w:val="center"/>
          </w:tcPr>
          <w:p>
            <w:pPr>
              <w:spacing w:after="40" w:line="240" w:lineRule="auto"/>
            </w:pPr>
            <w:r/>
            <w:r>
              <w:rPr>
                <w:rFonts w:ascii="Garamond" w:hAnsi="Garamond"/>
                <w:b w:val="0"/>
                <w:color w:val="222222"/>
                <w:sz w:val="17"/>
              </w:rPr>
              <w:t>Investigación</w:t>
            </w:r>
          </w:p>
        </w:tc>
        <w:tc>
          <w:tcPr>
            <w:tcW w:type="dxa" w:w="4320"/>
            <w:vAlign w:val="center"/>
          </w:tcPr>
          <w:p>
            <w:pPr>
              <w:spacing w:after="40" w:line="240" w:lineRule="auto"/>
            </w:pPr>
            <w:r/>
            <w:r>
              <w:rPr>
                <w:rFonts w:ascii="Garamond" w:hAnsi="Garamond"/>
                <w:b w:val="0"/>
                <w:color w:val="222222"/>
                <w:sz w:val="17"/>
              </w:rPr>
              <w:t>¿Qué hecho se investiga y quién tiene competencia?</w:t>
            </w:r>
          </w:p>
        </w:tc>
        <w:tc>
          <w:tcPr>
            <w:tcW w:type="dxa" w:w="3528"/>
            <w:vAlign w:val="center"/>
          </w:tcPr>
          <w:p>
            <w:pPr>
              <w:spacing w:after="40" w:line="240" w:lineRule="auto"/>
            </w:pPr>
            <w:r/>
            <w:r>
              <w:rPr>
                <w:rFonts w:ascii="Garamond" w:hAnsi="Garamond"/>
                <w:b w:val="0"/>
                <w:color w:val="222222"/>
                <w:sz w:val="17"/>
              </w:rPr>
              <w:t>Investigación genérica o autoridad incompetente.</w:t>
            </w:r>
          </w:p>
        </w:tc>
      </w:tr>
      <w:tr>
        <w:tc>
          <w:tcPr>
            <w:tcW w:type="dxa" w:w="1944"/>
            <w:vAlign w:val="center"/>
            <w:shd w:fill="F7F8FA"/>
          </w:tcPr>
          <w:p>
            <w:pPr>
              <w:spacing w:after="40" w:line="240" w:lineRule="auto"/>
            </w:pPr>
            <w:r/>
            <w:r>
              <w:rPr>
                <w:rFonts w:ascii="Garamond" w:hAnsi="Garamond"/>
                <w:b w:val="0"/>
                <w:color w:val="222222"/>
                <w:sz w:val="17"/>
              </w:rPr>
              <w:t>Calificación</w:t>
            </w:r>
          </w:p>
        </w:tc>
        <w:tc>
          <w:tcPr>
            <w:tcW w:type="dxa" w:w="4320"/>
            <w:vAlign w:val="center"/>
            <w:shd w:fill="F7F8FA"/>
          </w:tcPr>
          <w:p>
            <w:pPr>
              <w:spacing w:after="40" w:line="240" w:lineRule="auto"/>
            </w:pPr>
            <w:r/>
            <w:r>
              <w:rPr>
                <w:rFonts w:ascii="Garamond" w:hAnsi="Garamond"/>
                <w:b w:val="0"/>
                <w:color w:val="222222"/>
                <w:sz w:val="17"/>
              </w:rPr>
              <w:t>¿La conducta es falta grave o no grave?</w:t>
            </w:r>
          </w:p>
        </w:tc>
        <w:tc>
          <w:tcPr>
            <w:tcW w:type="dxa" w:w="3528"/>
            <w:vAlign w:val="center"/>
            <w:shd w:fill="F7F8FA"/>
          </w:tcPr>
          <w:p>
            <w:pPr>
              <w:spacing w:after="40" w:line="240" w:lineRule="auto"/>
            </w:pPr>
            <w:r/>
            <w:r>
              <w:rPr>
                <w:rFonts w:ascii="Garamond" w:hAnsi="Garamond"/>
                <w:b w:val="0"/>
                <w:color w:val="222222"/>
                <w:sz w:val="17"/>
              </w:rPr>
              <w:t>Clasificación incorrecta.</w:t>
            </w:r>
          </w:p>
        </w:tc>
      </w:tr>
      <w:tr>
        <w:tc>
          <w:tcPr>
            <w:tcW w:type="dxa" w:w="1944"/>
            <w:vAlign w:val="center"/>
          </w:tcPr>
          <w:p>
            <w:pPr>
              <w:spacing w:after="40" w:line="240" w:lineRule="auto"/>
            </w:pPr>
            <w:r/>
            <w:r>
              <w:rPr>
                <w:rFonts w:ascii="Garamond" w:hAnsi="Garamond"/>
                <w:b w:val="0"/>
                <w:color w:val="222222"/>
                <w:sz w:val="17"/>
              </w:rPr>
              <w:t>Substanciación</w:t>
            </w:r>
          </w:p>
        </w:tc>
        <w:tc>
          <w:tcPr>
            <w:tcW w:type="dxa" w:w="4320"/>
            <w:vAlign w:val="center"/>
          </w:tcPr>
          <w:p>
            <w:pPr>
              <w:spacing w:after="40" w:line="240" w:lineRule="auto"/>
            </w:pPr>
            <w:r/>
            <w:r>
              <w:rPr>
                <w:rFonts w:ascii="Garamond" w:hAnsi="Garamond"/>
                <w:b w:val="0"/>
                <w:color w:val="222222"/>
                <w:sz w:val="17"/>
              </w:rPr>
              <w:t>¿Se emplazó y permitió defensa?</w:t>
            </w:r>
          </w:p>
        </w:tc>
        <w:tc>
          <w:tcPr>
            <w:tcW w:type="dxa" w:w="3528"/>
            <w:vAlign w:val="center"/>
          </w:tcPr>
          <w:p>
            <w:pPr>
              <w:spacing w:after="40" w:line="240" w:lineRule="auto"/>
            </w:pPr>
            <w:r/>
            <w:r>
              <w:rPr>
                <w:rFonts w:ascii="Garamond" w:hAnsi="Garamond"/>
                <w:b w:val="0"/>
                <w:color w:val="222222"/>
                <w:sz w:val="17"/>
              </w:rPr>
              <w:t>Nulidad por indefensión.</w:t>
            </w:r>
          </w:p>
        </w:tc>
      </w:tr>
      <w:tr>
        <w:tc>
          <w:tcPr>
            <w:tcW w:type="dxa" w:w="1944"/>
            <w:vAlign w:val="center"/>
            <w:shd w:fill="F7F8FA"/>
          </w:tcPr>
          <w:p>
            <w:pPr>
              <w:spacing w:after="40" w:line="240" w:lineRule="auto"/>
            </w:pPr>
            <w:r/>
            <w:r>
              <w:rPr>
                <w:rFonts w:ascii="Garamond" w:hAnsi="Garamond"/>
                <w:b w:val="0"/>
                <w:color w:val="222222"/>
                <w:sz w:val="17"/>
              </w:rPr>
              <w:t>Pruebas</w:t>
            </w:r>
          </w:p>
        </w:tc>
        <w:tc>
          <w:tcPr>
            <w:tcW w:type="dxa" w:w="4320"/>
            <w:vAlign w:val="center"/>
            <w:shd w:fill="F7F8FA"/>
          </w:tcPr>
          <w:p>
            <w:pPr>
              <w:spacing w:after="40" w:line="240" w:lineRule="auto"/>
            </w:pPr>
            <w:r/>
            <w:r>
              <w:rPr>
                <w:rFonts w:ascii="Garamond" w:hAnsi="Garamond"/>
                <w:b w:val="0"/>
                <w:color w:val="222222"/>
                <w:sz w:val="17"/>
              </w:rPr>
              <w:t>¿Qué hechos están acreditados?</w:t>
            </w:r>
          </w:p>
        </w:tc>
        <w:tc>
          <w:tcPr>
            <w:tcW w:type="dxa" w:w="3528"/>
            <w:vAlign w:val="center"/>
            <w:shd w:fill="F7F8FA"/>
          </w:tcPr>
          <w:p>
            <w:pPr>
              <w:spacing w:after="40" w:line="240" w:lineRule="auto"/>
            </w:pPr>
            <w:r/>
            <w:r>
              <w:rPr>
                <w:rFonts w:ascii="Garamond" w:hAnsi="Garamond"/>
                <w:b w:val="0"/>
                <w:color w:val="222222"/>
                <w:sz w:val="17"/>
              </w:rPr>
              <w:t>Inferencias sin soporte.</w:t>
            </w:r>
          </w:p>
        </w:tc>
      </w:tr>
      <w:tr>
        <w:tc>
          <w:tcPr>
            <w:tcW w:type="dxa" w:w="1944"/>
            <w:vAlign w:val="center"/>
          </w:tcPr>
          <w:p>
            <w:pPr>
              <w:spacing w:after="40" w:line="240" w:lineRule="auto"/>
            </w:pPr>
            <w:r/>
            <w:r>
              <w:rPr>
                <w:rFonts w:ascii="Garamond" w:hAnsi="Garamond"/>
                <w:b w:val="0"/>
                <w:color w:val="222222"/>
                <w:sz w:val="17"/>
              </w:rPr>
              <w:t>Resolución</w:t>
            </w:r>
          </w:p>
        </w:tc>
        <w:tc>
          <w:tcPr>
            <w:tcW w:type="dxa" w:w="4320"/>
            <w:vAlign w:val="center"/>
          </w:tcPr>
          <w:p>
            <w:pPr>
              <w:spacing w:after="40" w:line="240" w:lineRule="auto"/>
            </w:pPr>
            <w:r/>
            <w:r>
              <w:rPr>
                <w:rFonts w:ascii="Garamond" w:hAnsi="Garamond"/>
                <w:b w:val="0"/>
                <w:color w:val="222222"/>
                <w:sz w:val="17"/>
              </w:rPr>
              <w:t>¿Quién sanciona y con qué facultad?</w:t>
            </w:r>
          </w:p>
        </w:tc>
        <w:tc>
          <w:tcPr>
            <w:tcW w:type="dxa" w:w="3528"/>
            <w:vAlign w:val="center"/>
          </w:tcPr>
          <w:p>
            <w:pPr>
              <w:spacing w:after="40" w:line="240" w:lineRule="auto"/>
            </w:pPr>
            <w:r/>
            <w:r>
              <w:rPr>
                <w:rFonts w:ascii="Garamond" w:hAnsi="Garamond"/>
                <w:b w:val="0"/>
                <w:color w:val="222222"/>
                <w:sz w:val="17"/>
              </w:rPr>
              <w:t>Incompetencia o falta de motivación.</w:t>
            </w:r>
          </w:p>
        </w:tc>
      </w:tr>
      <w:tr>
        <w:tc>
          <w:tcPr>
            <w:tcW w:type="dxa" w:w="1944"/>
            <w:vAlign w:val="center"/>
            <w:shd w:fill="F7F8FA"/>
          </w:tcPr>
          <w:p>
            <w:pPr>
              <w:spacing w:after="40" w:line="240" w:lineRule="auto"/>
            </w:pPr>
            <w:r/>
            <w:r>
              <w:rPr>
                <w:rFonts w:ascii="Garamond" w:hAnsi="Garamond"/>
                <w:b w:val="0"/>
                <w:color w:val="222222"/>
                <w:sz w:val="17"/>
              </w:rPr>
              <w:t>Impugnación</w:t>
            </w:r>
          </w:p>
        </w:tc>
        <w:tc>
          <w:tcPr>
            <w:tcW w:type="dxa" w:w="4320"/>
            <w:vAlign w:val="center"/>
            <w:shd w:fill="F7F8FA"/>
          </w:tcPr>
          <w:p>
            <w:pPr>
              <w:spacing w:after="40" w:line="240" w:lineRule="auto"/>
            </w:pPr>
            <w:r/>
            <w:r>
              <w:rPr>
                <w:rFonts w:ascii="Garamond" w:hAnsi="Garamond"/>
                <w:b w:val="0"/>
                <w:color w:val="222222"/>
                <w:sz w:val="17"/>
              </w:rPr>
              <w:t>¿Qué medio y plazo proceden?</w:t>
            </w:r>
          </w:p>
        </w:tc>
        <w:tc>
          <w:tcPr>
            <w:tcW w:type="dxa" w:w="3528"/>
            <w:vAlign w:val="center"/>
            <w:shd w:fill="F7F8FA"/>
          </w:tcPr>
          <w:p>
            <w:pPr>
              <w:spacing w:after="40" w:line="240" w:lineRule="auto"/>
            </w:pPr>
            <w:r/>
            <w:r>
              <w:rPr>
                <w:rFonts w:ascii="Garamond" w:hAnsi="Garamond"/>
                <w:b w:val="0"/>
                <w:color w:val="222222"/>
                <w:sz w:val="17"/>
              </w:rPr>
              <w:t>Consentimiento por extemporaneidad.</w:t>
            </w:r>
          </w:p>
        </w:tc>
      </w:tr>
    </w:tbl>
    <w:p>
      <w:pPr>
        <w:spacing w:after="20"/>
      </w:pPr>
    </w:p>
    <w:p>
      <w:pPr>
        <w:pStyle w:val="Ttulo2"/>
      </w:pPr>
      <w:r>
        <w:t>7.3 Faltas graves y no graves</w:t>
      </w:r>
    </w:p>
    <w:p>
      <w:r>
        <w:t>La clasificación importa porque cambia la autoridad competente y la ruta procesal. En términos generales, las faltas no graves son resueltas por la autoridad competente dentro del régimen administrativo; las faltas graves involucran la intervención del tribunal competente en los términos de la LGRA. El abogado debe verificar la versión vigente de la ley, la competencia concreta y las disposiciones locales aplicables al sujeto.</w:t>
      </w:r>
    </w:p>
    <w:p>
      <w:pPr>
        <w:pStyle w:val="Ttulo2"/>
      </w:pPr>
      <w:r>
        <w:t>7.4 Defensa del servidor público</w:t>
      </w:r>
    </w:p>
    <w:p>
      <w:r>
        <w:t>• Atacar la competencia y la correcta individualización del servidor investigado.</w:t>
      </w:r>
    </w:p>
    <w:p>
      <w:r>
        <w:t>• Delimitar con precisión la conducta imputada: fecha, acto, deber jurídico y resultado.</w:t>
      </w:r>
    </w:p>
    <w:p>
      <w:r>
        <w:t>• Separar incumplimiento administrativo de responsabilidad subjetiva cuando la norma lo requiera.</w:t>
      </w:r>
    </w:p>
    <w:p>
      <w:r>
        <w:t>• Ofrecer documentos, testimoniales, periciales y evidencia digital con relación directa a cada hecho.</w:t>
      </w:r>
    </w:p>
    <w:p>
      <w:r>
        <w:t>• Revisar prescripción, caducidad o cualquier límite temporal previsto por la ley aplicable.</w:t>
      </w:r>
    </w:p>
    <w:p>
      <w:r>
        <w:t>• Combatir la individualización de la sanción con argumentos sobre circunstancias, daño, beneficio, reincidencia y demás factores legales, sin convertir el argumento en una simple petición de clemencia.</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La LFPA excluye expresamente la materia de responsabilidades de servidores públicos. No uses automáticamente el recurso de revisión de la LFPA para impugnar una sanción disciplinaria si la ley especial establece otro medio.</w:t>
            </w:r>
          </w:p>
        </w:tc>
      </w:tr>
    </w:tbl>
    <w:p>
      <w:pPr>
        <w:spacing w:after="20"/>
      </w:pPr>
    </w:p>
    <w:p>
      <w:pPr>
        <w:pStyle w:val="Ttulo1"/>
      </w:pPr>
      <w:r>
        <w:t>8. RECURSOS ADMINISTRATIVOS: REVISIÓN Y MEDIOS ESPECIALES</w:t>
      </w:r>
    </w:p>
    <w:p>
      <w:pPr>
        <w:pStyle w:val="Ttulo2"/>
      </w:pPr>
      <w:r>
        <w:t>8.1 Recurso de revisión de la LFPA</w:t>
      </w:r>
    </w:p>
    <w:p>
      <w:r>
        <w:t>La guía de estudio identifica el recurso de revisión como un medio para combatir actos administrativos dentro del régimen federal de la LFPA. El texto vigente establece que procede contra actos y resoluciones que pongan fin al procedimiento, a una instancia o resuelvan un expediente, en los supuestos de su artículo 83.</w:t>
      </w:r>
    </w:p>
    <w:tbl>
      <w:tblPr>
        <w:tblW w:type="auto" w:w="0"/>
        <w:jc w:val="center"/>
        <w:tblLook w:firstColumn="1" w:firstRow="1" w:lastColumn="0" w:lastRow="0" w:noHBand="0" w:noVBand="1" w:val="04A0"/>
      </w:tblPr>
      <w:tblGrid>
        <w:gridCol w:w="4932"/>
        <w:gridCol w:w="4932"/>
      </w:tblGrid>
      <w:tr>
        <w:tc>
          <w:tcPr>
            <w:tcW w:type="dxa" w:w="2304"/>
            <w:vAlign w:val="center"/>
            <w:shd w:fill="1A2B4A"/>
          </w:tcPr>
          <w:p>
            <w:pPr>
              <w:spacing w:after="40" w:line="240" w:lineRule="auto"/>
            </w:pPr>
            <w:r/>
            <w:r>
              <w:rPr>
                <w:rFonts w:ascii="Garamond" w:hAnsi="Garamond"/>
                <w:b/>
                <w:color w:val="FFFFFF"/>
                <w:sz w:val="17"/>
              </w:rPr>
              <w:t>Regla</w:t>
            </w:r>
          </w:p>
        </w:tc>
        <w:tc>
          <w:tcPr>
            <w:tcW w:type="dxa" w:w="7488"/>
            <w:vAlign w:val="center"/>
            <w:shd w:fill="1A2B4A"/>
          </w:tcPr>
          <w:p>
            <w:pPr>
              <w:spacing w:after="40" w:line="240" w:lineRule="auto"/>
            </w:pPr>
            <w:r/>
            <w:r>
              <w:rPr>
                <w:rFonts w:ascii="Garamond" w:hAnsi="Garamond"/>
                <w:b/>
                <w:color w:val="FFFFFF"/>
                <w:sz w:val="17"/>
              </w:rPr>
              <w:t>LFPA</w:t>
            </w:r>
          </w:p>
        </w:tc>
      </w:tr>
      <w:tr>
        <w:tc>
          <w:tcPr>
            <w:tcW w:type="dxa" w:w="2304"/>
            <w:vAlign w:val="center"/>
          </w:tcPr>
          <w:p>
            <w:pPr>
              <w:spacing w:after="40" w:line="240" w:lineRule="auto"/>
            </w:pPr>
            <w:r/>
            <w:r>
              <w:rPr>
                <w:rFonts w:ascii="Garamond" w:hAnsi="Garamond"/>
                <w:b w:val="0"/>
                <w:color w:val="222222"/>
                <w:sz w:val="17"/>
              </w:rPr>
              <w:t>Plazo</w:t>
            </w:r>
          </w:p>
        </w:tc>
        <w:tc>
          <w:tcPr>
            <w:tcW w:type="dxa" w:w="7488"/>
            <w:vAlign w:val="center"/>
          </w:tcPr>
          <w:p>
            <w:pPr>
              <w:spacing w:after="40" w:line="240" w:lineRule="auto"/>
            </w:pPr>
            <w:r/>
            <w:r>
              <w:rPr>
                <w:rFonts w:ascii="Garamond" w:hAnsi="Garamond"/>
                <w:b w:val="0"/>
                <w:color w:val="222222"/>
                <w:sz w:val="17"/>
              </w:rPr>
              <w:t>15 días a partir del día siguiente a aquel en que surtió efectos la notificación (art. 85).</w:t>
            </w:r>
          </w:p>
        </w:tc>
      </w:tr>
      <w:tr>
        <w:tc>
          <w:tcPr>
            <w:tcW w:type="dxa" w:w="2304"/>
            <w:vAlign w:val="center"/>
            <w:shd w:fill="F7F8FA"/>
          </w:tcPr>
          <w:p>
            <w:pPr>
              <w:spacing w:after="40" w:line="240" w:lineRule="auto"/>
            </w:pPr>
            <w:r/>
            <w:r>
              <w:rPr>
                <w:rFonts w:ascii="Garamond" w:hAnsi="Garamond"/>
                <w:b w:val="0"/>
                <w:color w:val="222222"/>
                <w:sz w:val="17"/>
              </w:rPr>
              <w:t>Presentación</w:t>
            </w:r>
          </w:p>
        </w:tc>
        <w:tc>
          <w:tcPr>
            <w:tcW w:type="dxa" w:w="7488"/>
            <w:vAlign w:val="center"/>
            <w:shd w:fill="F7F8FA"/>
          </w:tcPr>
          <w:p>
            <w:pPr>
              <w:spacing w:after="40" w:line="240" w:lineRule="auto"/>
            </w:pPr>
            <w:r/>
            <w:r>
              <w:rPr>
                <w:rFonts w:ascii="Garamond" w:hAnsi="Garamond"/>
                <w:b w:val="0"/>
                <w:color w:val="222222"/>
                <w:sz w:val="17"/>
              </w:rPr>
              <w:t>Ante la autoridad que emitió el acto.</w:t>
            </w:r>
          </w:p>
        </w:tc>
      </w:tr>
      <w:tr>
        <w:tc>
          <w:tcPr>
            <w:tcW w:type="dxa" w:w="2304"/>
            <w:vAlign w:val="center"/>
          </w:tcPr>
          <w:p>
            <w:pPr>
              <w:spacing w:after="40" w:line="240" w:lineRule="auto"/>
            </w:pPr>
            <w:r/>
            <w:r>
              <w:rPr>
                <w:rFonts w:ascii="Garamond" w:hAnsi="Garamond"/>
                <w:b w:val="0"/>
                <w:color w:val="222222"/>
                <w:sz w:val="17"/>
              </w:rPr>
              <w:t>Resolución</w:t>
            </w:r>
          </w:p>
        </w:tc>
        <w:tc>
          <w:tcPr>
            <w:tcW w:type="dxa" w:w="7488"/>
            <w:vAlign w:val="center"/>
          </w:tcPr>
          <w:p>
            <w:pPr>
              <w:spacing w:after="40" w:line="240" w:lineRule="auto"/>
            </w:pPr>
            <w:r/>
            <w:r>
              <w:rPr>
                <w:rFonts w:ascii="Garamond" w:hAnsi="Garamond"/>
                <w:b w:val="0"/>
                <w:color w:val="222222"/>
                <w:sz w:val="17"/>
              </w:rPr>
              <w:t>Por el superior jerárquico, salvo la excepción prevista para el titular de una dependencia.</w:t>
            </w:r>
          </w:p>
        </w:tc>
      </w:tr>
      <w:tr>
        <w:tc>
          <w:tcPr>
            <w:tcW w:type="dxa" w:w="2304"/>
            <w:vAlign w:val="center"/>
            <w:shd w:fill="F7F8FA"/>
          </w:tcPr>
          <w:p>
            <w:pPr>
              <w:spacing w:after="40" w:line="240" w:lineRule="auto"/>
            </w:pPr>
            <w:r/>
            <w:r>
              <w:rPr>
                <w:rFonts w:ascii="Garamond" w:hAnsi="Garamond"/>
                <w:b w:val="0"/>
                <w:color w:val="222222"/>
                <w:sz w:val="17"/>
              </w:rPr>
              <w:t>Contenido</w:t>
            </w:r>
          </w:p>
        </w:tc>
        <w:tc>
          <w:tcPr>
            <w:tcW w:type="dxa" w:w="7488"/>
            <w:vAlign w:val="center"/>
            <w:shd w:fill="F7F8FA"/>
          </w:tcPr>
          <w:p>
            <w:pPr>
              <w:spacing w:after="40" w:line="240" w:lineRule="auto"/>
            </w:pPr>
            <w:r/>
            <w:r>
              <w:rPr>
                <w:rFonts w:ascii="Garamond" w:hAnsi="Garamond"/>
                <w:b w:val="0"/>
                <w:color w:val="222222"/>
                <w:sz w:val="17"/>
              </w:rPr>
              <w:t>Órgano, recurrente, acto y fecha, agravios, copia del acto/notificación y pruebas.</w:t>
            </w:r>
          </w:p>
        </w:tc>
      </w:tr>
      <w:tr>
        <w:tc>
          <w:tcPr>
            <w:tcW w:type="dxa" w:w="2304"/>
            <w:vAlign w:val="center"/>
          </w:tcPr>
          <w:p>
            <w:pPr>
              <w:spacing w:after="40" w:line="240" w:lineRule="auto"/>
            </w:pPr>
            <w:r/>
            <w:r>
              <w:rPr>
                <w:rFonts w:ascii="Garamond" w:hAnsi="Garamond"/>
                <w:b w:val="0"/>
                <w:color w:val="222222"/>
                <w:sz w:val="17"/>
              </w:rPr>
              <w:t>Suspensión</w:t>
            </w:r>
          </w:p>
        </w:tc>
        <w:tc>
          <w:tcPr>
            <w:tcW w:type="dxa" w:w="7488"/>
            <w:vAlign w:val="center"/>
          </w:tcPr>
          <w:p>
            <w:pPr>
              <w:spacing w:after="40" w:line="240" w:lineRule="auto"/>
            </w:pPr>
            <w:r/>
            <w:r>
              <w:rPr>
                <w:rFonts w:ascii="Garamond" w:hAnsi="Garamond"/>
                <w:b w:val="0"/>
                <w:color w:val="222222"/>
                <w:sz w:val="17"/>
              </w:rPr>
              <w:t>Debe solicitarse expresamente y cumplir condiciones legales (art. 87).</w:t>
            </w:r>
          </w:p>
        </w:tc>
      </w:tr>
    </w:tbl>
    <w:p>
      <w:pPr>
        <w:spacing w:after="20"/>
      </w:pPr>
    </w:p>
    <w:p>
      <w:pPr>
        <w:pStyle w:val="Ttulo2"/>
      </w:pPr>
      <w:r>
        <w:t>8.2 Estructura del recurso</w:t>
      </w:r>
    </w:p>
    <w:p>
      <w:r>
        <w:t>1. Autoridad competente.</w:t>
      </w:r>
    </w:p>
    <w:p>
      <w:r>
        <w:t>2. Personalidad y domicilio.</w:t>
      </w:r>
    </w:p>
    <w:p>
      <w:r>
        <w:t>3. Identificación exacta del acto.</w:t>
      </w:r>
    </w:p>
    <w:p>
      <w:r>
        <w:t>4. Antecedentes y oportunidad.</w:t>
      </w:r>
    </w:p>
    <w:p>
      <w:r>
        <w:t>5. Agravios numerados.</w:t>
      </w:r>
    </w:p>
    <w:p>
      <w:r>
        <w:t>6. Pruebas y relación con los hechos.</w:t>
      </w:r>
    </w:p>
    <w:p>
      <w:r>
        <w:t>7. Solicitud de suspensión, si procede.</w:t>
      </w:r>
    </w:p>
    <w:p>
      <w:r>
        <w:t>8. Puntos petitorios.</w:t>
      </w:r>
    </w:p>
    <w:p>
      <w:pPr>
        <w:pStyle w:val="Ttulo2"/>
      </w:pPr>
      <w:r>
        <w:t>8.3 Cómo redactar un agravio</w:t>
      </w:r>
    </w:p>
    <w:p>
      <w:r>
        <w:t>Un agravio eficaz contiene cuatro elementos: acto concreto que causa perjuicio; norma o principio vulnerado; explicación de la contradicción; y consecuencia jurídica solicitada. Evita agravios narrativos que no identifican la lesión jurídica.</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La autoridad al resolver el recurso debe examinar los agravios. Si un agravio es suficiente para desvirtuar la validez del acto, puede bastar su estudio conforme al artículo 92 de la LFPA.</w:t>
            </w:r>
          </w:p>
        </w:tc>
      </w:tr>
    </w:tbl>
    <w:p>
      <w:pPr>
        <w:spacing w:after="20"/>
      </w:pPr>
    </w:p>
    <w:p>
      <w:pPr>
        <w:pStyle w:val="Ttulo2"/>
      </w:pPr>
      <w:r>
        <w:t>8.4 Improcedencia y sobreseimiento</w:t>
      </w:r>
    </w:p>
    <w:p>
      <w:r>
        <w:t>La LFPA contempla supuestos de desechamiento, improcedencia y sobreseimiento. Antes de presentar el recurso revisa si el acto está dentro de su ámbito, si existe otro medio pendiente, si el acto está consentido o consumado de modo irreparable y si subsiste la materia.</w:t>
      </w:r>
    </w:p>
    <w:p>
      <w:pPr>
        <w:pStyle w:val="Ttulo1"/>
      </w:pPr>
      <w:r>
        <w:t>9. DEFENSA FISCAL: CFF, CRÉDITO FISCAL Y RECURSO DE REVOCACIÓN</w:t>
      </w:r>
    </w:p>
    <w:p>
      <w:pPr>
        <w:pStyle w:val="Ttulo2"/>
      </w:pPr>
      <w:r>
        <w:t>9.1 Diferencia entre acto administrativo y acto fiscal</w:t>
      </w:r>
    </w:p>
    <w:p>
      <w:r>
        <w:t>El CFF contiene un régimen propio. La defensa fiscal debe analizarse con el Código y la ley fiscal específica, no con la LFPA como regla general. El CFF define el crédito fiscal y regula facultades de comprobación, determinación, pago, garantía, medios de defensa y ejecución.</w:t>
      </w:r>
    </w:p>
    <w:p>
      <w:pPr>
        <w:pStyle w:val="Ttulo2"/>
      </w:pPr>
      <w:r>
        <w:t>9.2 Recurso de revocación</w:t>
      </w:r>
    </w:p>
    <w:tbl>
      <w:tblPr>
        <w:tblW w:type="auto" w:w="0"/>
        <w:jc w:val="center"/>
        <w:tblLook w:firstColumn="1" w:firstRow="1" w:lastColumn="0" w:lastRow="0" w:noHBand="0" w:noVBand="1" w:val="04A0"/>
      </w:tblPr>
      <w:tblGrid>
        <w:gridCol w:w="4932"/>
        <w:gridCol w:w="4932"/>
      </w:tblGrid>
      <w:tr>
        <w:tc>
          <w:tcPr>
            <w:tcW w:type="dxa" w:w="2232"/>
            <w:vAlign w:val="center"/>
            <w:shd w:fill="1A2B4A"/>
          </w:tcPr>
          <w:p>
            <w:pPr>
              <w:spacing w:after="40" w:line="240" w:lineRule="auto"/>
            </w:pPr>
            <w:r/>
            <w:r>
              <w:rPr>
                <w:rFonts w:ascii="Garamond" w:hAnsi="Garamond"/>
                <w:b/>
                <w:color w:val="FFFFFF"/>
                <w:sz w:val="17"/>
              </w:rPr>
              <w:t>Aspecto</w:t>
            </w:r>
          </w:p>
        </w:tc>
        <w:tc>
          <w:tcPr>
            <w:tcW w:type="dxa" w:w="7560"/>
            <w:vAlign w:val="center"/>
            <w:shd w:fill="1A2B4A"/>
          </w:tcPr>
          <w:p>
            <w:pPr>
              <w:spacing w:after="40" w:line="240" w:lineRule="auto"/>
            </w:pPr>
            <w:r/>
            <w:r>
              <w:rPr>
                <w:rFonts w:ascii="Garamond" w:hAnsi="Garamond"/>
                <w:b/>
                <w:color w:val="FFFFFF"/>
                <w:sz w:val="17"/>
              </w:rPr>
              <w:t>Regla práctica</w:t>
            </w:r>
          </w:p>
        </w:tc>
      </w:tr>
      <w:tr>
        <w:tc>
          <w:tcPr>
            <w:tcW w:type="dxa" w:w="2232"/>
            <w:vAlign w:val="center"/>
          </w:tcPr>
          <w:p>
            <w:pPr>
              <w:spacing w:after="40" w:line="240" w:lineRule="auto"/>
            </w:pPr>
            <w:r/>
            <w:r>
              <w:rPr>
                <w:rFonts w:ascii="Garamond" w:hAnsi="Garamond"/>
                <w:b w:val="0"/>
                <w:color w:val="222222"/>
                <w:sz w:val="17"/>
              </w:rPr>
              <w:t>Plazo general</w:t>
            </w:r>
          </w:p>
        </w:tc>
        <w:tc>
          <w:tcPr>
            <w:tcW w:type="dxa" w:w="7560"/>
            <w:vAlign w:val="center"/>
          </w:tcPr>
          <w:p>
            <w:pPr>
              <w:spacing w:after="40" w:line="240" w:lineRule="auto"/>
            </w:pPr>
            <w:r/>
            <w:r>
              <w:rPr>
                <w:rFonts w:ascii="Garamond" w:hAnsi="Garamond"/>
                <w:b w:val="0"/>
                <w:color w:val="222222"/>
                <w:sz w:val="17"/>
              </w:rPr>
              <w:t>30 días siguientes a aquel en que surta efectos la notificación, conforme al art. 121 CFF; revisar excepciones.</w:t>
            </w:r>
          </w:p>
        </w:tc>
      </w:tr>
      <w:tr>
        <w:tc>
          <w:tcPr>
            <w:tcW w:type="dxa" w:w="2232"/>
            <w:vAlign w:val="center"/>
            <w:shd w:fill="F7F8FA"/>
          </w:tcPr>
          <w:p>
            <w:pPr>
              <w:spacing w:after="40" w:line="240" w:lineRule="auto"/>
            </w:pPr>
            <w:r/>
            <w:r>
              <w:rPr>
                <w:rFonts w:ascii="Garamond" w:hAnsi="Garamond"/>
                <w:b w:val="0"/>
                <w:color w:val="222222"/>
                <w:sz w:val="17"/>
              </w:rPr>
              <w:t>Presentación</w:t>
            </w:r>
          </w:p>
        </w:tc>
        <w:tc>
          <w:tcPr>
            <w:tcW w:type="dxa" w:w="7560"/>
            <w:vAlign w:val="center"/>
            <w:shd w:fill="F7F8FA"/>
          </w:tcPr>
          <w:p>
            <w:pPr>
              <w:spacing w:after="40" w:line="240" w:lineRule="auto"/>
            </w:pPr>
            <w:r/>
            <w:r>
              <w:rPr>
                <w:rFonts w:ascii="Garamond" w:hAnsi="Garamond"/>
                <w:b w:val="0"/>
                <w:color w:val="222222"/>
                <w:sz w:val="17"/>
              </w:rPr>
              <w:t>A través del Buzón Tributario, salvo reglas y supuestos que permitan otra vía.</w:t>
            </w:r>
          </w:p>
        </w:tc>
      </w:tr>
      <w:tr>
        <w:tc>
          <w:tcPr>
            <w:tcW w:type="dxa" w:w="2232"/>
            <w:vAlign w:val="center"/>
          </w:tcPr>
          <w:p>
            <w:pPr>
              <w:spacing w:after="40" w:line="240" w:lineRule="auto"/>
            </w:pPr>
            <w:r/>
            <w:r>
              <w:rPr>
                <w:rFonts w:ascii="Garamond" w:hAnsi="Garamond"/>
                <w:b w:val="0"/>
                <w:color w:val="222222"/>
                <w:sz w:val="17"/>
              </w:rPr>
              <w:t>Contenido</w:t>
            </w:r>
          </w:p>
        </w:tc>
        <w:tc>
          <w:tcPr>
            <w:tcW w:type="dxa" w:w="7560"/>
            <w:vAlign w:val="center"/>
          </w:tcPr>
          <w:p>
            <w:pPr>
              <w:spacing w:after="40" w:line="240" w:lineRule="auto"/>
            </w:pPr>
            <w:r/>
            <w:r>
              <w:rPr>
                <w:rFonts w:ascii="Garamond" w:hAnsi="Garamond"/>
                <w:b w:val="0"/>
                <w:color w:val="222222"/>
                <w:sz w:val="17"/>
              </w:rPr>
              <w:t>Acto/resolución, agravios, hechos controvertidos y pruebas (art. 122).</w:t>
            </w:r>
          </w:p>
        </w:tc>
      </w:tr>
      <w:tr>
        <w:tc>
          <w:tcPr>
            <w:tcW w:type="dxa" w:w="2232"/>
            <w:vAlign w:val="center"/>
            <w:shd w:fill="F7F8FA"/>
          </w:tcPr>
          <w:p>
            <w:pPr>
              <w:spacing w:after="40" w:line="240" w:lineRule="auto"/>
            </w:pPr>
            <w:r/>
            <w:r>
              <w:rPr>
                <w:rFonts w:ascii="Garamond" w:hAnsi="Garamond"/>
                <w:b w:val="0"/>
                <w:color w:val="222222"/>
                <w:sz w:val="17"/>
              </w:rPr>
              <w:t>Prevención</w:t>
            </w:r>
          </w:p>
        </w:tc>
        <w:tc>
          <w:tcPr>
            <w:tcW w:type="dxa" w:w="7560"/>
            <w:vAlign w:val="center"/>
            <w:shd w:fill="F7F8FA"/>
          </w:tcPr>
          <w:p>
            <w:pPr>
              <w:spacing w:after="40" w:line="240" w:lineRule="auto"/>
            </w:pPr>
            <w:r/>
            <w:r>
              <w:rPr>
                <w:rFonts w:ascii="Garamond" w:hAnsi="Garamond"/>
                <w:b w:val="0"/>
                <w:color w:val="222222"/>
                <w:sz w:val="17"/>
              </w:rPr>
              <w:t>Si faltan ciertos elementos, la autoridad puede requerir su subsanación en los términos del art. 122.</w:t>
            </w:r>
          </w:p>
        </w:tc>
      </w:tr>
      <w:tr>
        <w:tc>
          <w:tcPr>
            <w:tcW w:type="dxa" w:w="2232"/>
            <w:vAlign w:val="center"/>
          </w:tcPr>
          <w:p>
            <w:pPr>
              <w:spacing w:after="40" w:line="240" w:lineRule="auto"/>
            </w:pPr>
            <w:r/>
            <w:r>
              <w:rPr>
                <w:rFonts w:ascii="Garamond" w:hAnsi="Garamond"/>
                <w:b w:val="0"/>
                <w:color w:val="222222"/>
                <w:sz w:val="17"/>
              </w:rPr>
              <w:t>Estrategia</w:t>
            </w:r>
          </w:p>
        </w:tc>
        <w:tc>
          <w:tcPr>
            <w:tcW w:type="dxa" w:w="7560"/>
            <w:vAlign w:val="center"/>
          </w:tcPr>
          <w:p>
            <w:pPr>
              <w:spacing w:after="40" w:line="240" w:lineRule="auto"/>
            </w:pPr>
            <w:r/>
            <w:r>
              <w:rPr>
                <w:rFonts w:ascii="Garamond" w:hAnsi="Garamond"/>
                <w:b w:val="0"/>
                <w:color w:val="222222"/>
                <w:sz w:val="17"/>
              </w:rPr>
              <w:t>Atacar notificación, competencia, procedimiento, hechos, cálculo, motivación y prescripción según el acto.</w:t>
            </w:r>
          </w:p>
        </w:tc>
      </w:tr>
    </w:tbl>
    <w:p>
      <w:pPr>
        <w:spacing w:after="20"/>
      </w:pPr>
    </w:p>
    <w:p>
      <w:pPr>
        <w:pStyle w:val="Ttulo2"/>
      </w:pPr>
      <w:r>
        <w:t>9.3 Errores frecuentes</w:t>
      </w:r>
    </w:p>
    <w:p>
      <w:r>
        <w:t>• Confundir el oficio de observaciones con el acto definitivo que determina el crédito.</w:t>
      </w:r>
    </w:p>
    <w:p>
      <w:r>
        <w:t>• Contar el plazo desde la fecha del documento en lugar de la fecha de notificación y sus efectos.</w:t>
      </w:r>
    </w:p>
    <w:p>
      <w:r>
        <w:t>• No estudiar la vía de defensa contra el acto específico.</w:t>
      </w:r>
    </w:p>
    <w:p>
      <w:r>
        <w:t>• No pedir suspensión o no garantizar cuando sea necesario para detener la ejecución.</w:t>
      </w:r>
    </w:p>
    <w:p>
      <w:r>
        <w:t>• Alegar únicamente errores aritméticos cuando existe un vicio de procedimiento más profundo.</w:t>
      </w:r>
    </w:p>
    <w:p>
      <w:r>
        <w:t>• No conservar el expediente electrónico y las constancias del Buzón Tributario.</w:t>
      </w:r>
    </w:p>
    <w:p>
      <w:pPr>
        <w:pStyle w:val="Ttulo2"/>
      </w:pPr>
      <w:r>
        <w:t>9.4 Prescripción y caducidad</w:t>
      </w:r>
    </w:p>
    <w:p>
      <w:r>
        <w:t>El CFF contiene reglas diferenciadas: por ejemplo, el artículo 67 regula la extinción de facultades para determinar contribuciones y sanciones, mientras que el artículo 146 regula la prescripción del crédito fiscal. No deben tratarse como conceptos intercambiables. Cada defensa debe identificar cuál plazo aplica y desde qué acto comienza el cómputo.</w:t>
      </w:r>
    </w:p>
    <w:p>
      <w:pPr>
        <w:pStyle w:val="Ttulo1"/>
      </w:pPr>
      <w:r>
        <w:t>10. PROCEDIMIENTO ADMINISTRATIVO DE EJECUCIÓN (PAE)</w:t>
      </w:r>
    </w:p>
    <w:p>
      <w:pPr>
        <w:pStyle w:val="Ttulo2"/>
      </w:pPr>
      <w:r>
        <w:t>10.1 Concepto</w:t>
      </w:r>
    </w:p>
    <w:p>
      <w:r>
        <w:t>El PAE es el mecanismo mediante el cual la autoridad fiscal exige el pago de créditos fiscales no cubiertos o garantizados en los términos legales. El litigante debe analizarlo como una cadena de actos: exigibilidad → mandamiento de ejecución → requerimiento → embargo → depósito/intervención → valuación y remate/adjudicación, según corresponda.</w:t>
      </w:r>
    </w:p>
    <w:tbl>
      <w:tblPr>
        <w:tblW w:type="auto" w:w="0"/>
        <w:jc w:val="center"/>
        <w:tblLook w:firstColumn="1" w:firstRow="1" w:lastColumn="0" w:lastRow="0" w:noHBand="0" w:noVBand="1" w:val="04A0"/>
      </w:tblPr>
      <w:tblGrid>
        <w:gridCol w:w="4932"/>
        <w:gridCol w:w="4932"/>
      </w:tblGrid>
      <w:tr>
        <w:tc>
          <w:tcPr>
            <w:tcW w:type="dxa" w:w="2232"/>
            <w:vAlign w:val="center"/>
            <w:shd w:fill="1A2B4A"/>
          </w:tcPr>
          <w:p>
            <w:pPr>
              <w:spacing w:after="40" w:line="240" w:lineRule="auto"/>
            </w:pPr>
            <w:r/>
            <w:r>
              <w:rPr>
                <w:rFonts w:ascii="Garamond" w:hAnsi="Garamond"/>
                <w:b/>
                <w:color w:val="FFFFFF"/>
                <w:sz w:val="17"/>
              </w:rPr>
              <w:t>Etapa</w:t>
            </w:r>
          </w:p>
        </w:tc>
        <w:tc>
          <w:tcPr>
            <w:tcW w:type="dxa" w:w="7560"/>
            <w:vAlign w:val="center"/>
            <w:shd w:fill="1A2B4A"/>
          </w:tcPr>
          <w:p>
            <w:pPr>
              <w:spacing w:after="40" w:line="240" w:lineRule="auto"/>
            </w:pPr>
            <w:r/>
            <w:r>
              <w:rPr>
                <w:rFonts w:ascii="Garamond" w:hAnsi="Garamond"/>
                <w:b/>
                <w:color w:val="FFFFFF"/>
                <w:sz w:val="17"/>
              </w:rPr>
              <w:t>Qué revisar</w:t>
            </w:r>
          </w:p>
        </w:tc>
      </w:tr>
      <w:tr>
        <w:tc>
          <w:tcPr>
            <w:tcW w:type="dxa" w:w="2232"/>
            <w:vAlign w:val="center"/>
          </w:tcPr>
          <w:p>
            <w:pPr>
              <w:spacing w:after="40" w:line="240" w:lineRule="auto"/>
            </w:pPr>
            <w:r/>
            <w:r>
              <w:rPr>
                <w:rFonts w:ascii="Garamond" w:hAnsi="Garamond"/>
                <w:b w:val="0"/>
                <w:color w:val="222222"/>
                <w:sz w:val="17"/>
              </w:rPr>
              <w:t>Exigibilidad</w:t>
            </w:r>
          </w:p>
        </w:tc>
        <w:tc>
          <w:tcPr>
            <w:tcW w:type="dxa" w:w="7560"/>
            <w:vAlign w:val="center"/>
          </w:tcPr>
          <w:p>
            <w:pPr>
              <w:spacing w:after="40" w:line="240" w:lineRule="auto"/>
            </w:pPr>
            <w:r/>
            <w:r>
              <w:rPr>
                <w:rFonts w:ascii="Garamond" w:hAnsi="Garamond"/>
                <w:b w:val="0"/>
                <w:color w:val="222222"/>
                <w:sz w:val="17"/>
              </w:rPr>
              <w:t>Existencia, firmeza/exigibilidad y monto del crédito.</w:t>
            </w:r>
          </w:p>
        </w:tc>
      </w:tr>
      <w:tr>
        <w:tc>
          <w:tcPr>
            <w:tcW w:type="dxa" w:w="2232"/>
            <w:vAlign w:val="center"/>
            <w:shd w:fill="F7F8FA"/>
          </w:tcPr>
          <w:p>
            <w:pPr>
              <w:spacing w:after="40" w:line="240" w:lineRule="auto"/>
            </w:pPr>
            <w:r/>
            <w:r>
              <w:rPr>
                <w:rFonts w:ascii="Garamond" w:hAnsi="Garamond"/>
                <w:b w:val="0"/>
                <w:color w:val="222222"/>
                <w:sz w:val="17"/>
              </w:rPr>
              <w:t>Mandamiento</w:t>
            </w:r>
          </w:p>
        </w:tc>
        <w:tc>
          <w:tcPr>
            <w:tcW w:type="dxa" w:w="7560"/>
            <w:vAlign w:val="center"/>
            <w:shd w:fill="F7F8FA"/>
          </w:tcPr>
          <w:p>
            <w:pPr>
              <w:spacing w:after="40" w:line="240" w:lineRule="auto"/>
            </w:pPr>
            <w:r/>
            <w:r>
              <w:rPr>
                <w:rFonts w:ascii="Garamond" w:hAnsi="Garamond"/>
                <w:b w:val="0"/>
                <w:color w:val="222222"/>
                <w:sz w:val="17"/>
              </w:rPr>
              <w:t>Competencia, fundamentación, motivación y datos del crédito.</w:t>
            </w:r>
          </w:p>
        </w:tc>
      </w:tr>
      <w:tr>
        <w:tc>
          <w:tcPr>
            <w:tcW w:type="dxa" w:w="2232"/>
            <w:vAlign w:val="center"/>
          </w:tcPr>
          <w:p>
            <w:pPr>
              <w:spacing w:after="40" w:line="240" w:lineRule="auto"/>
            </w:pPr>
            <w:r/>
            <w:r>
              <w:rPr>
                <w:rFonts w:ascii="Garamond" w:hAnsi="Garamond"/>
                <w:b w:val="0"/>
                <w:color w:val="222222"/>
                <w:sz w:val="17"/>
              </w:rPr>
              <w:t>Requerimiento</w:t>
            </w:r>
          </w:p>
        </w:tc>
        <w:tc>
          <w:tcPr>
            <w:tcW w:type="dxa" w:w="7560"/>
            <w:vAlign w:val="center"/>
          </w:tcPr>
          <w:p>
            <w:pPr>
              <w:spacing w:after="40" w:line="240" w:lineRule="auto"/>
            </w:pPr>
            <w:r/>
            <w:r>
              <w:rPr>
                <w:rFonts w:ascii="Garamond" w:hAnsi="Garamond"/>
                <w:b w:val="0"/>
                <w:color w:val="222222"/>
                <w:sz w:val="17"/>
              </w:rPr>
              <w:t>Forma de notificación, persona atendiente y oportunidad de pago.</w:t>
            </w:r>
          </w:p>
        </w:tc>
      </w:tr>
      <w:tr>
        <w:tc>
          <w:tcPr>
            <w:tcW w:type="dxa" w:w="2232"/>
            <w:vAlign w:val="center"/>
            <w:shd w:fill="F7F8FA"/>
          </w:tcPr>
          <w:p>
            <w:pPr>
              <w:spacing w:after="40" w:line="240" w:lineRule="auto"/>
            </w:pPr>
            <w:r/>
            <w:r>
              <w:rPr>
                <w:rFonts w:ascii="Garamond" w:hAnsi="Garamond"/>
                <w:b w:val="0"/>
                <w:color w:val="222222"/>
                <w:sz w:val="17"/>
              </w:rPr>
              <w:t>Embargo</w:t>
            </w:r>
          </w:p>
        </w:tc>
        <w:tc>
          <w:tcPr>
            <w:tcW w:type="dxa" w:w="7560"/>
            <w:vAlign w:val="center"/>
            <w:shd w:fill="F7F8FA"/>
          </w:tcPr>
          <w:p>
            <w:pPr>
              <w:spacing w:after="40" w:line="240" w:lineRule="auto"/>
            </w:pPr>
            <w:r/>
            <w:r>
              <w:rPr>
                <w:rFonts w:ascii="Garamond" w:hAnsi="Garamond"/>
                <w:b w:val="0"/>
                <w:color w:val="222222"/>
                <w:sz w:val="17"/>
              </w:rPr>
              <w:t>Bienes, límites, acta, depositario y proporcionalidad.</w:t>
            </w:r>
          </w:p>
        </w:tc>
      </w:tr>
      <w:tr>
        <w:tc>
          <w:tcPr>
            <w:tcW w:type="dxa" w:w="2232"/>
            <w:vAlign w:val="center"/>
          </w:tcPr>
          <w:p>
            <w:pPr>
              <w:spacing w:after="40" w:line="240" w:lineRule="auto"/>
            </w:pPr>
            <w:r/>
            <w:r>
              <w:rPr>
                <w:rFonts w:ascii="Garamond" w:hAnsi="Garamond"/>
                <w:b w:val="0"/>
                <w:color w:val="222222"/>
                <w:sz w:val="17"/>
              </w:rPr>
              <w:t>Garantía</w:t>
            </w:r>
          </w:p>
        </w:tc>
        <w:tc>
          <w:tcPr>
            <w:tcW w:type="dxa" w:w="7560"/>
            <w:vAlign w:val="center"/>
          </w:tcPr>
          <w:p>
            <w:pPr>
              <w:spacing w:after="40" w:line="240" w:lineRule="auto"/>
            </w:pPr>
            <w:r/>
            <w:r>
              <w:rPr>
                <w:rFonts w:ascii="Garamond" w:hAnsi="Garamond"/>
                <w:b w:val="0"/>
                <w:color w:val="222222"/>
                <w:sz w:val="17"/>
              </w:rPr>
              <w:t>Si existe garantía suficiente y su alcance.</w:t>
            </w:r>
          </w:p>
        </w:tc>
      </w:tr>
      <w:tr>
        <w:tc>
          <w:tcPr>
            <w:tcW w:type="dxa" w:w="2232"/>
            <w:vAlign w:val="center"/>
            <w:shd w:fill="F7F8FA"/>
          </w:tcPr>
          <w:p>
            <w:pPr>
              <w:spacing w:after="40" w:line="240" w:lineRule="auto"/>
            </w:pPr>
            <w:r/>
            <w:r>
              <w:rPr>
                <w:rFonts w:ascii="Garamond" w:hAnsi="Garamond"/>
                <w:b w:val="0"/>
                <w:color w:val="222222"/>
                <w:sz w:val="17"/>
              </w:rPr>
              <w:t>Remate/adjudicación</w:t>
            </w:r>
          </w:p>
        </w:tc>
        <w:tc>
          <w:tcPr>
            <w:tcW w:type="dxa" w:w="7560"/>
            <w:vAlign w:val="center"/>
            <w:shd w:fill="F7F8FA"/>
          </w:tcPr>
          <w:p>
            <w:pPr>
              <w:spacing w:after="40" w:line="240" w:lineRule="auto"/>
            </w:pPr>
            <w:r/>
            <w:r>
              <w:rPr>
                <w:rFonts w:ascii="Garamond" w:hAnsi="Garamond"/>
                <w:b w:val="0"/>
                <w:color w:val="222222"/>
                <w:sz w:val="17"/>
              </w:rPr>
              <w:t>Avalúo, convocatoria, posturas, formalidades y aplicación del producto.</w:t>
            </w:r>
          </w:p>
        </w:tc>
      </w:tr>
    </w:tbl>
    <w:p>
      <w:pPr>
        <w:spacing w:after="20"/>
      </w:pPr>
    </w:p>
    <w:p>
      <w:pPr>
        <w:pStyle w:val="Ttulo2"/>
      </w:pPr>
      <w:r>
        <w:t>10.2 Defensa inmediata</w:t>
      </w:r>
    </w:p>
    <w:p>
      <w:r>
        <w:t>1. Obtén copia íntegra del mandamiento y del acta.</w:t>
      </w:r>
    </w:p>
    <w:p>
      <w:r>
        <w:t>2. Identifica el crédito que se ejecuta.</w:t>
      </w:r>
    </w:p>
    <w:p>
      <w:r>
        <w:t>3. Verifica si existe medio de defensa pendiente.</w:t>
      </w:r>
    </w:p>
    <w:p>
      <w:r>
        <w:t>4. Revisa garantía del interés fiscal y efectos sobre la ejecución.</w:t>
      </w:r>
    </w:p>
    <w:p>
      <w:r>
        <w:t>5. Identifica bienes embargados y posibles terceros afectados.</w:t>
      </w:r>
    </w:p>
    <w:p>
      <w:r>
        <w:t>6. Calcula plazos para el medio de defensa correspondiente.</w:t>
      </w:r>
    </w:p>
    <w:p>
      <w:r>
        <w:t>7. Solicita suspensión o medida procedente con el soporte jurídico específico.</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El PAE no debe analizarse aislado. Un vicio en el crédito, en la notificación o en la exigibilidad puede repercutir en los actos de ejecución; pero cada acto tiene su propio régimen y momento procesal.</w:t>
            </w:r>
          </w:p>
        </w:tc>
      </w:tr>
    </w:tbl>
    <w:p>
      <w:pPr>
        <w:spacing w:after="20"/>
      </w:pPr>
    </w:p>
    <w:p>
      <w:pPr>
        <w:pStyle w:val="Ttulo2"/>
      </w:pPr>
      <w:r>
        <w:t>10.3 Embargo de maquinaria, local o negocio</w:t>
      </w:r>
    </w:p>
    <w:p>
      <w:r>
        <w:t>Cuando el cliente informa que la empresa ya no tiene maquinaria, abandonó un local o cambió de domicilio, no debe asumirse que el crédito desapareció. Debe reconstruirse el expediente de ejecución y verificar si hubo bienes trasladados, enajenados, sustituidos, depositarios, responsables solidarios o actos de ocultamiento, así como la legalidad de cada actuación de la autoridad.</w:t>
      </w:r>
    </w:p>
    <w:p>
      <w:pPr>
        <w:pStyle w:val="Ttulo1"/>
      </w:pPr>
      <w:r>
        <w:t>11. JUICIO CONTENCIOSO ADMINISTRATIVO FEDERAL</w:t>
      </w:r>
    </w:p>
    <w:p>
      <w:pPr>
        <w:pStyle w:val="Ttulo2"/>
      </w:pPr>
      <w:r>
        <w:t>11.1 Cuándo pensar en el juicio</w:t>
      </w:r>
    </w:p>
    <w:p>
      <w:r>
        <w:t>El juicio contencioso administrativo federal es la vía jurisdiccional ante el Tribunal Federal de Justicia Administrativa en los supuestos de su competencia. La LFPCA vigente contempla demanda tradicional o en línea y establece, como regla general, un plazo de treinta días para demandar a partir de los supuestos del artículo 13.</w:t>
      </w:r>
    </w:p>
    <w:p>
      <w:pPr>
        <w:pStyle w:val="Ttulo2"/>
      </w:pPr>
      <w:r>
        <w:t>11.2 Demanda</w:t>
      </w:r>
    </w:p>
    <w:tbl>
      <w:tblPr>
        <w:tblW w:type="auto" w:w="0"/>
        <w:jc w:val="center"/>
        <w:tblLook w:firstColumn="1" w:firstRow="1" w:lastColumn="0" w:lastRow="0" w:noHBand="0" w:noVBand="1" w:val="04A0"/>
      </w:tblPr>
      <w:tblGrid>
        <w:gridCol w:w="4932"/>
        <w:gridCol w:w="4932"/>
      </w:tblGrid>
      <w:tr>
        <w:tc>
          <w:tcPr>
            <w:tcW w:type="dxa" w:w="2520"/>
            <w:vAlign w:val="center"/>
            <w:shd w:fill="1A2B4A"/>
          </w:tcPr>
          <w:p>
            <w:pPr>
              <w:spacing w:after="40" w:line="240" w:lineRule="auto"/>
            </w:pPr>
            <w:r/>
            <w:r>
              <w:rPr>
                <w:rFonts w:ascii="Garamond" w:hAnsi="Garamond"/>
                <w:b/>
                <w:color w:val="FFFFFF"/>
                <w:sz w:val="17"/>
              </w:rPr>
              <w:t>Elemento</w:t>
            </w:r>
          </w:p>
        </w:tc>
        <w:tc>
          <w:tcPr>
            <w:tcW w:type="dxa" w:w="7272"/>
            <w:vAlign w:val="center"/>
            <w:shd w:fill="1A2B4A"/>
          </w:tcPr>
          <w:p>
            <w:pPr>
              <w:spacing w:after="40" w:line="240" w:lineRule="auto"/>
            </w:pPr>
            <w:r/>
            <w:r>
              <w:rPr>
                <w:rFonts w:ascii="Garamond" w:hAnsi="Garamond"/>
                <w:b/>
                <w:color w:val="FFFFFF"/>
                <w:sz w:val="17"/>
              </w:rPr>
              <w:t>Contenido</w:t>
            </w:r>
          </w:p>
        </w:tc>
      </w:tr>
      <w:tr>
        <w:tc>
          <w:tcPr>
            <w:tcW w:type="dxa" w:w="2520"/>
            <w:vAlign w:val="center"/>
          </w:tcPr>
          <w:p>
            <w:pPr>
              <w:spacing w:after="40" w:line="240" w:lineRule="auto"/>
            </w:pPr>
            <w:r/>
            <w:r>
              <w:rPr>
                <w:rFonts w:ascii="Garamond" w:hAnsi="Garamond"/>
                <w:b w:val="0"/>
                <w:color w:val="222222"/>
                <w:sz w:val="17"/>
              </w:rPr>
              <w:t>Partes</w:t>
            </w:r>
          </w:p>
        </w:tc>
        <w:tc>
          <w:tcPr>
            <w:tcW w:type="dxa" w:w="7272"/>
            <w:vAlign w:val="center"/>
          </w:tcPr>
          <w:p>
            <w:pPr>
              <w:spacing w:after="40" w:line="240" w:lineRule="auto"/>
            </w:pPr>
            <w:r/>
            <w:r>
              <w:rPr>
                <w:rFonts w:ascii="Garamond" w:hAnsi="Garamond"/>
                <w:b w:val="0"/>
                <w:color w:val="222222"/>
                <w:sz w:val="17"/>
              </w:rPr>
              <w:t>Persona demandante, autoridad demandada y terceros cuando proceda.</w:t>
            </w:r>
          </w:p>
        </w:tc>
      </w:tr>
      <w:tr>
        <w:tc>
          <w:tcPr>
            <w:tcW w:type="dxa" w:w="2520"/>
            <w:vAlign w:val="center"/>
            <w:shd w:fill="F7F8FA"/>
          </w:tcPr>
          <w:p>
            <w:pPr>
              <w:spacing w:after="40" w:line="240" w:lineRule="auto"/>
            </w:pPr>
            <w:r/>
            <w:r>
              <w:rPr>
                <w:rFonts w:ascii="Garamond" w:hAnsi="Garamond"/>
                <w:b w:val="0"/>
                <w:color w:val="222222"/>
                <w:sz w:val="17"/>
              </w:rPr>
              <w:t>Acto impugnado</w:t>
            </w:r>
          </w:p>
        </w:tc>
        <w:tc>
          <w:tcPr>
            <w:tcW w:type="dxa" w:w="7272"/>
            <w:vAlign w:val="center"/>
            <w:shd w:fill="F7F8FA"/>
          </w:tcPr>
          <w:p>
            <w:pPr>
              <w:spacing w:after="40" w:line="240" w:lineRule="auto"/>
            </w:pPr>
            <w:r/>
            <w:r>
              <w:rPr>
                <w:rFonts w:ascii="Garamond" w:hAnsi="Garamond"/>
                <w:b w:val="0"/>
                <w:color w:val="222222"/>
                <w:sz w:val="17"/>
              </w:rPr>
              <w:t>Identificación exacta de la resolución o acto.</w:t>
            </w:r>
          </w:p>
        </w:tc>
      </w:tr>
      <w:tr>
        <w:tc>
          <w:tcPr>
            <w:tcW w:type="dxa" w:w="2520"/>
            <w:vAlign w:val="center"/>
          </w:tcPr>
          <w:p>
            <w:pPr>
              <w:spacing w:after="40" w:line="240" w:lineRule="auto"/>
            </w:pPr>
            <w:r/>
            <w:r>
              <w:rPr>
                <w:rFonts w:ascii="Garamond" w:hAnsi="Garamond"/>
                <w:b w:val="0"/>
                <w:color w:val="222222"/>
                <w:sz w:val="17"/>
              </w:rPr>
              <w:t>Hechos</w:t>
            </w:r>
          </w:p>
        </w:tc>
        <w:tc>
          <w:tcPr>
            <w:tcW w:type="dxa" w:w="7272"/>
            <w:vAlign w:val="center"/>
          </w:tcPr>
          <w:p>
            <w:pPr>
              <w:spacing w:after="40" w:line="240" w:lineRule="auto"/>
            </w:pPr>
            <w:r/>
            <w:r>
              <w:rPr>
                <w:rFonts w:ascii="Garamond" w:hAnsi="Garamond"/>
                <w:b w:val="0"/>
                <w:color w:val="222222"/>
                <w:sz w:val="17"/>
              </w:rPr>
              <w:t>Cronología breve y verificable.</w:t>
            </w:r>
          </w:p>
        </w:tc>
      </w:tr>
      <w:tr>
        <w:tc>
          <w:tcPr>
            <w:tcW w:type="dxa" w:w="2520"/>
            <w:vAlign w:val="center"/>
            <w:shd w:fill="F7F8FA"/>
          </w:tcPr>
          <w:p>
            <w:pPr>
              <w:spacing w:after="40" w:line="240" w:lineRule="auto"/>
            </w:pPr>
            <w:r/>
            <w:r>
              <w:rPr>
                <w:rFonts w:ascii="Garamond" w:hAnsi="Garamond"/>
                <w:b w:val="0"/>
                <w:color w:val="222222"/>
                <w:sz w:val="17"/>
              </w:rPr>
              <w:t>Pruebas</w:t>
            </w:r>
          </w:p>
        </w:tc>
        <w:tc>
          <w:tcPr>
            <w:tcW w:type="dxa" w:w="7272"/>
            <w:vAlign w:val="center"/>
            <w:shd w:fill="F7F8FA"/>
          </w:tcPr>
          <w:p>
            <w:pPr>
              <w:spacing w:after="40" w:line="240" w:lineRule="auto"/>
            </w:pPr>
            <w:r/>
            <w:r>
              <w:rPr>
                <w:rFonts w:ascii="Garamond" w:hAnsi="Garamond"/>
                <w:b w:val="0"/>
                <w:color w:val="222222"/>
                <w:sz w:val="17"/>
              </w:rPr>
              <w:t>Documentales y demás medios relacionados con los hechos.</w:t>
            </w:r>
          </w:p>
        </w:tc>
      </w:tr>
      <w:tr>
        <w:tc>
          <w:tcPr>
            <w:tcW w:type="dxa" w:w="2520"/>
            <w:vAlign w:val="center"/>
          </w:tcPr>
          <w:p>
            <w:pPr>
              <w:spacing w:after="40" w:line="240" w:lineRule="auto"/>
            </w:pPr>
            <w:r/>
            <w:r>
              <w:rPr>
                <w:rFonts w:ascii="Garamond" w:hAnsi="Garamond"/>
                <w:b w:val="0"/>
                <w:color w:val="222222"/>
                <w:sz w:val="17"/>
              </w:rPr>
              <w:t>Conceptos de impugnación</w:t>
            </w:r>
          </w:p>
        </w:tc>
        <w:tc>
          <w:tcPr>
            <w:tcW w:type="dxa" w:w="7272"/>
            <w:vAlign w:val="center"/>
          </w:tcPr>
          <w:p>
            <w:pPr>
              <w:spacing w:after="40" w:line="240" w:lineRule="auto"/>
            </w:pPr>
            <w:r/>
            <w:r>
              <w:rPr>
                <w:rFonts w:ascii="Garamond" w:hAnsi="Garamond"/>
                <w:b w:val="0"/>
                <w:color w:val="222222"/>
                <w:sz w:val="17"/>
              </w:rPr>
              <w:t>Razones jurídicas concretas de ilegalidad.</w:t>
            </w:r>
          </w:p>
        </w:tc>
      </w:tr>
      <w:tr>
        <w:tc>
          <w:tcPr>
            <w:tcW w:type="dxa" w:w="2520"/>
            <w:vAlign w:val="center"/>
            <w:shd w:fill="F7F8FA"/>
          </w:tcPr>
          <w:p>
            <w:pPr>
              <w:spacing w:after="40" w:line="240" w:lineRule="auto"/>
            </w:pPr>
            <w:r/>
            <w:r>
              <w:rPr>
                <w:rFonts w:ascii="Garamond" w:hAnsi="Garamond"/>
                <w:b w:val="0"/>
                <w:color w:val="222222"/>
                <w:sz w:val="17"/>
              </w:rPr>
              <w:t>Pretensión</w:t>
            </w:r>
          </w:p>
        </w:tc>
        <w:tc>
          <w:tcPr>
            <w:tcW w:type="dxa" w:w="7272"/>
            <w:vAlign w:val="center"/>
            <w:shd w:fill="F7F8FA"/>
          </w:tcPr>
          <w:p>
            <w:pPr>
              <w:spacing w:after="40" w:line="240" w:lineRule="auto"/>
            </w:pPr>
            <w:r/>
            <w:r>
              <w:rPr>
                <w:rFonts w:ascii="Garamond" w:hAnsi="Garamond"/>
                <w:b w:val="0"/>
                <w:color w:val="222222"/>
                <w:sz w:val="17"/>
              </w:rPr>
              <w:t>Nulidad, reconocimiento, condena o efecto que corresponda.</w:t>
            </w:r>
          </w:p>
        </w:tc>
      </w:tr>
      <w:tr>
        <w:tc>
          <w:tcPr>
            <w:tcW w:type="dxa" w:w="2520"/>
            <w:vAlign w:val="center"/>
          </w:tcPr>
          <w:p>
            <w:pPr>
              <w:spacing w:after="40" w:line="240" w:lineRule="auto"/>
            </w:pPr>
            <w:r/>
            <w:r>
              <w:rPr>
                <w:rFonts w:ascii="Garamond" w:hAnsi="Garamond"/>
                <w:b w:val="0"/>
                <w:color w:val="222222"/>
                <w:sz w:val="17"/>
              </w:rPr>
              <w:t>Suspensión/medidas</w:t>
            </w:r>
          </w:p>
        </w:tc>
        <w:tc>
          <w:tcPr>
            <w:tcW w:type="dxa" w:w="7272"/>
            <w:vAlign w:val="center"/>
          </w:tcPr>
          <w:p>
            <w:pPr>
              <w:spacing w:after="40" w:line="240" w:lineRule="auto"/>
            </w:pPr>
            <w:r/>
            <w:r>
              <w:rPr>
                <w:rFonts w:ascii="Garamond" w:hAnsi="Garamond"/>
                <w:b w:val="0"/>
                <w:color w:val="222222"/>
                <w:sz w:val="17"/>
              </w:rPr>
              <w:t>Petición cautelar fundada y vinculada con el acto.</w:t>
            </w:r>
          </w:p>
        </w:tc>
      </w:tr>
    </w:tbl>
    <w:p>
      <w:pPr>
        <w:spacing w:after="20"/>
      </w:pPr>
    </w:p>
    <w:p>
      <w:pPr>
        <w:pStyle w:val="Ttulo2"/>
      </w:pPr>
      <w:r>
        <w:t>11.3 Conceptos de impugnación</w:t>
      </w:r>
    </w:p>
    <w:p>
      <w:r>
        <w:t>El concepto de impugnación debe vincular acto, norma, hecho y consecuencia. Ejemplo de estructura: “La resolución es ilegal porque la autoridad aplicó X norma para Y hecho, aunque el expediente demuestra Z; además, la autoridad omitió explicar A. Por ello, el acto carece de la condición jurídica exigida y debe producirse el efecto de nulidad que corresponda”.</w:t>
      </w:r>
    </w:p>
    <w:p>
      <w:pPr>
        <w:pStyle w:val="Ttulo2"/>
      </w:pPr>
      <w:r>
        <w:t>11.4 Contestación y ampliación</w:t>
      </w:r>
    </w:p>
    <w:p>
      <w:r>
        <w:t>La contestación debe analizarse como un nuevo mapa de controversia: qué hechos reconoce o niega la autoridad, qué causales de improcedencia plantea, cómo defiende la competencia y qué documentos incorpora. Si la ley permite ampliación, debe utilizarse para controvertir hechos o fundamentos que razonablemente no podían conocerse al presentar la demanda, sin convertirla en una segunda demanda completamente distinta.</w:t>
      </w:r>
    </w:p>
    <w:p>
      <w:pPr>
        <w:pStyle w:val="Ttulo2"/>
      </w:pPr>
      <w:r>
        <w:t>11.5 Plazo vigente</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La LFPCA consultada presenta reforma publicada el 9 de junio de 2026. El artículo 13 mantiene como regla general treinta días para la demanda, con supuestos y excepciones específicos. No uses apuntes de 2022 para calcular plazos sin cotejar el texto vigente.</w:t>
            </w:r>
          </w:p>
        </w:tc>
      </w:tr>
    </w:tbl>
    <w:p>
      <w:pPr>
        <w:spacing w:after="20"/>
      </w:pPr>
    </w:p>
    <w:p>
      <w:pPr>
        <w:pStyle w:val="Ttulo1"/>
      </w:pPr>
      <w:r>
        <w:t>12. PRUEBAS, CONCEPTOS DE IMPUGNACIÓN Y TÉCNICA ARGUMENTATIVA</w:t>
      </w:r>
    </w:p>
    <w:p>
      <w:pPr>
        <w:pStyle w:val="Ttulo2"/>
      </w:pPr>
      <w:r>
        <w:t>12.1 Matriz hecho-prueba-norma</w:t>
      </w:r>
    </w:p>
    <w:tbl>
      <w:tblPr>
        <w:tblW w:type="auto" w:w="0"/>
        <w:jc w:val="center"/>
        <w:tblLook w:firstColumn="1" w:firstRow="1" w:lastColumn="0" w:lastRow="0" w:noHBand="0" w:noVBand="1" w:val="04A0"/>
      </w:tblPr>
      <w:tblGrid>
        <w:gridCol w:w="2466"/>
        <w:gridCol w:w="2466"/>
        <w:gridCol w:w="2466"/>
        <w:gridCol w:w="2466"/>
      </w:tblGrid>
      <w:tr>
        <w:tc>
          <w:tcPr>
            <w:tcW w:type="dxa" w:w="2448"/>
            <w:vAlign w:val="center"/>
            <w:shd w:fill="1A2B4A"/>
          </w:tcPr>
          <w:p>
            <w:pPr>
              <w:spacing w:after="40" w:line="240" w:lineRule="auto"/>
            </w:pPr>
            <w:r/>
            <w:r>
              <w:rPr>
                <w:rFonts w:ascii="Garamond" w:hAnsi="Garamond"/>
                <w:b/>
                <w:color w:val="FFFFFF"/>
                <w:sz w:val="17"/>
              </w:rPr>
              <w:t>Hecho a probar</w:t>
            </w:r>
          </w:p>
        </w:tc>
        <w:tc>
          <w:tcPr>
            <w:tcW w:type="dxa" w:w="2880"/>
            <w:vAlign w:val="center"/>
            <w:shd w:fill="1A2B4A"/>
          </w:tcPr>
          <w:p>
            <w:pPr>
              <w:spacing w:after="40" w:line="240" w:lineRule="auto"/>
            </w:pPr>
            <w:r/>
            <w:r>
              <w:rPr>
                <w:rFonts w:ascii="Garamond" w:hAnsi="Garamond"/>
                <w:b/>
                <w:color w:val="FFFFFF"/>
                <w:sz w:val="17"/>
              </w:rPr>
              <w:t>Prueba</w:t>
            </w:r>
          </w:p>
        </w:tc>
        <w:tc>
          <w:tcPr>
            <w:tcW w:type="dxa" w:w="2448"/>
            <w:vAlign w:val="center"/>
            <w:shd w:fill="1A2B4A"/>
          </w:tcPr>
          <w:p>
            <w:pPr>
              <w:spacing w:after="40" w:line="240" w:lineRule="auto"/>
            </w:pPr>
            <w:r/>
            <w:r>
              <w:rPr>
                <w:rFonts w:ascii="Garamond" w:hAnsi="Garamond"/>
                <w:b/>
                <w:color w:val="FFFFFF"/>
                <w:sz w:val="17"/>
              </w:rPr>
              <w:t>Norma relacionada</w:t>
            </w:r>
          </w:p>
        </w:tc>
        <w:tc>
          <w:tcPr>
            <w:tcW w:type="dxa" w:w="2448"/>
            <w:vAlign w:val="center"/>
            <w:shd w:fill="1A2B4A"/>
          </w:tcPr>
          <w:p>
            <w:pPr>
              <w:spacing w:after="40" w:line="240" w:lineRule="auto"/>
            </w:pPr>
            <w:r/>
            <w:r>
              <w:rPr>
                <w:rFonts w:ascii="Garamond" w:hAnsi="Garamond"/>
                <w:b/>
                <w:color w:val="FFFFFF"/>
                <w:sz w:val="17"/>
              </w:rPr>
              <w:t>Riesgo si falta</w:t>
            </w:r>
          </w:p>
        </w:tc>
      </w:tr>
      <w:tr>
        <w:tc>
          <w:tcPr>
            <w:tcW w:type="dxa" w:w="2448"/>
            <w:vAlign w:val="center"/>
          </w:tcPr>
          <w:p>
            <w:pPr>
              <w:spacing w:after="40" w:line="240" w:lineRule="auto"/>
            </w:pPr>
            <w:r/>
            <w:r>
              <w:rPr>
                <w:rFonts w:ascii="Garamond" w:hAnsi="Garamond"/>
                <w:b w:val="0"/>
                <w:color w:val="222222"/>
                <w:sz w:val="17"/>
              </w:rPr>
              <w:t>No hubo notificación legal</w:t>
            </w:r>
          </w:p>
        </w:tc>
        <w:tc>
          <w:tcPr>
            <w:tcW w:type="dxa" w:w="2880"/>
            <w:vAlign w:val="center"/>
          </w:tcPr>
          <w:p>
            <w:pPr>
              <w:spacing w:after="40" w:line="240" w:lineRule="auto"/>
            </w:pPr>
            <w:r/>
            <w:r>
              <w:rPr>
                <w:rFonts w:ascii="Garamond" w:hAnsi="Garamond"/>
                <w:b w:val="0"/>
                <w:color w:val="222222"/>
                <w:sz w:val="17"/>
              </w:rPr>
              <w:t>Acta, acuse, expediente, constancia electrónica</w:t>
            </w:r>
          </w:p>
        </w:tc>
        <w:tc>
          <w:tcPr>
            <w:tcW w:type="dxa" w:w="2448"/>
            <w:vAlign w:val="center"/>
          </w:tcPr>
          <w:p>
            <w:pPr>
              <w:spacing w:after="40" w:line="240" w:lineRule="auto"/>
            </w:pPr>
            <w:r/>
            <w:r>
              <w:rPr>
                <w:rFonts w:ascii="Garamond" w:hAnsi="Garamond"/>
                <w:b w:val="0"/>
                <w:color w:val="222222"/>
                <w:sz w:val="17"/>
              </w:rPr>
              <w:t>Norma de notificación</w:t>
            </w:r>
          </w:p>
        </w:tc>
        <w:tc>
          <w:tcPr>
            <w:tcW w:type="dxa" w:w="2448"/>
            <w:vAlign w:val="center"/>
          </w:tcPr>
          <w:p>
            <w:pPr>
              <w:spacing w:after="40" w:line="240" w:lineRule="auto"/>
            </w:pPr>
            <w:r/>
            <w:r>
              <w:rPr>
                <w:rFonts w:ascii="Garamond" w:hAnsi="Garamond"/>
                <w:b w:val="0"/>
                <w:color w:val="222222"/>
                <w:sz w:val="17"/>
              </w:rPr>
              <w:t>Plazo y oportunidad quedan inciertos.</w:t>
            </w:r>
          </w:p>
        </w:tc>
      </w:tr>
      <w:tr>
        <w:tc>
          <w:tcPr>
            <w:tcW w:type="dxa" w:w="2448"/>
            <w:vAlign w:val="center"/>
            <w:shd w:fill="F7F8FA"/>
          </w:tcPr>
          <w:p>
            <w:pPr>
              <w:spacing w:after="40" w:line="240" w:lineRule="auto"/>
            </w:pPr>
            <w:r/>
            <w:r>
              <w:rPr>
                <w:rFonts w:ascii="Garamond" w:hAnsi="Garamond"/>
                <w:b w:val="0"/>
                <w:color w:val="222222"/>
                <w:sz w:val="17"/>
              </w:rPr>
              <w:t>Autoridad incompetente</w:t>
            </w:r>
          </w:p>
        </w:tc>
        <w:tc>
          <w:tcPr>
            <w:tcW w:type="dxa" w:w="2880"/>
            <w:vAlign w:val="center"/>
            <w:shd w:fill="F7F8FA"/>
          </w:tcPr>
          <w:p>
            <w:pPr>
              <w:spacing w:after="40" w:line="240" w:lineRule="auto"/>
            </w:pPr>
            <w:r/>
            <w:r>
              <w:rPr>
                <w:rFonts w:ascii="Garamond" w:hAnsi="Garamond"/>
                <w:b w:val="0"/>
                <w:color w:val="222222"/>
                <w:sz w:val="17"/>
              </w:rPr>
              <w:t>Ley orgánica/reglamento/delegación</w:t>
            </w:r>
          </w:p>
        </w:tc>
        <w:tc>
          <w:tcPr>
            <w:tcW w:type="dxa" w:w="2448"/>
            <w:vAlign w:val="center"/>
            <w:shd w:fill="F7F8FA"/>
          </w:tcPr>
          <w:p>
            <w:pPr>
              <w:spacing w:after="40" w:line="240" w:lineRule="auto"/>
            </w:pPr>
            <w:r/>
            <w:r>
              <w:rPr>
                <w:rFonts w:ascii="Garamond" w:hAnsi="Garamond"/>
                <w:b w:val="0"/>
                <w:color w:val="222222"/>
                <w:sz w:val="17"/>
              </w:rPr>
              <w:t>Norma competencial</w:t>
            </w:r>
          </w:p>
        </w:tc>
        <w:tc>
          <w:tcPr>
            <w:tcW w:type="dxa" w:w="2448"/>
            <w:vAlign w:val="center"/>
            <w:shd w:fill="F7F8FA"/>
          </w:tcPr>
          <w:p>
            <w:pPr>
              <w:spacing w:after="40" w:line="240" w:lineRule="auto"/>
            </w:pPr>
            <w:r/>
            <w:r>
              <w:rPr>
                <w:rFonts w:ascii="Garamond" w:hAnsi="Garamond"/>
                <w:b w:val="0"/>
                <w:color w:val="222222"/>
                <w:sz w:val="17"/>
              </w:rPr>
              <w:t>Nulidad por falta de atribución.</w:t>
            </w:r>
          </w:p>
        </w:tc>
      </w:tr>
      <w:tr>
        <w:tc>
          <w:tcPr>
            <w:tcW w:type="dxa" w:w="2448"/>
            <w:vAlign w:val="center"/>
          </w:tcPr>
          <w:p>
            <w:pPr>
              <w:spacing w:after="40" w:line="240" w:lineRule="auto"/>
            </w:pPr>
            <w:r/>
            <w:r>
              <w:rPr>
                <w:rFonts w:ascii="Garamond" w:hAnsi="Garamond"/>
                <w:b w:val="0"/>
                <w:color w:val="222222"/>
                <w:sz w:val="17"/>
              </w:rPr>
              <w:t>Se cumplió la obligación</w:t>
            </w:r>
          </w:p>
        </w:tc>
        <w:tc>
          <w:tcPr>
            <w:tcW w:type="dxa" w:w="2880"/>
            <w:vAlign w:val="center"/>
          </w:tcPr>
          <w:p>
            <w:pPr>
              <w:spacing w:after="40" w:line="240" w:lineRule="auto"/>
            </w:pPr>
            <w:r/>
            <w:r>
              <w:rPr>
                <w:rFonts w:ascii="Garamond" w:hAnsi="Garamond"/>
                <w:b w:val="0"/>
                <w:color w:val="222222"/>
                <w:sz w:val="17"/>
              </w:rPr>
              <w:t>Pagos, declaraciones, contratos, registros</w:t>
            </w:r>
          </w:p>
        </w:tc>
        <w:tc>
          <w:tcPr>
            <w:tcW w:type="dxa" w:w="2448"/>
            <w:vAlign w:val="center"/>
          </w:tcPr>
          <w:p>
            <w:pPr>
              <w:spacing w:after="40" w:line="240" w:lineRule="auto"/>
            </w:pPr>
            <w:r/>
            <w:r>
              <w:rPr>
                <w:rFonts w:ascii="Garamond" w:hAnsi="Garamond"/>
                <w:b w:val="0"/>
                <w:color w:val="222222"/>
                <w:sz w:val="17"/>
              </w:rPr>
              <w:t>Norma sustantiva</w:t>
            </w:r>
          </w:p>
        </w:tc>
        <w:tc>
          <w:tcPr>
            <w:tcW w:type="dxa" w:w="2448"/>
            <w:vAlign w:val="center"/>
          </w:tcPr>
          <w:p>
            <w:pPr>
              <w:spacing w:after="40" w:line="240" w:lineRule="auto"/>
            </w:pPr>
            <w:r/>
            <w:r>
              <w:rPr>
                <w:rFonts w:ascii="Garamond" w:hAnsi="Garamond"/>
                <w:b w:val="0"/>
                <w:color w:val="222222"/>
                <w:sz w:val="17"/>
              </w:rPr>
              <w:t>La defensa queda en afirmaciones.</w:t>
            </w:r>
          </w:p>
        </w:tc>
      </w:tr>
      <w:tr>
        <w:tc>
          <w:tcPr>
            <w:tcW w:type="dxa" w:w="2448"/>
            <w:vAlign w:val="center"/>
            <w:shd w:fill="F7F8FA"/>
          </w:tcPr>
          <w:p>
            <w:pPr>
              <w:spacing w:after="40" w:line="240" w:lineRule="auto"/>
            </w:pPr>
            <w:r/>
            <w:r>
              <w:rPr>
                <w:rFonts w:ascii="Garamond" w:hAnsi="Garamond"/>
                <w:b w:val="0"/>
                <w:color w:val="222222"/>
                <w:sz w:val="17"/>
              </w:rPr>
              <w:t>Hecho asentado es falso</w:t>
            </w:r>
          </w:p>
        </w:tc>
        <w:tc>
          <w:tcPr>
            <w:tcW w:type="dxa" w:w="2880"/>
            <w:vAlign w:val="center"/>
            <w:shd w:fill="F7F8FA"/>
          </w:tcPr>
          <w:p>
            <w:pPr>
              <w:spacing w:after="40" w:line="240" w:lineRule="auto"/>
            </w:pPr>
            <w:r/>
            <w:r>
              <w:rPr>
                <w:rFonts w:ascii="Garamond" w:hAnsi="Garamond"/>
                <w:b w:val="0"/>
                <w:color w:val="222222"/>
                <w:sz w:val="17"/>
              </w:rPr>
              <w:t>Pericial, fotografías, bitácoras, testimonios</w:t>
            </w:r>
          </w:p>
        </w:tc>
        <w:tc>
          <w:tcPr>
            <w:tcW w:type="dxa" w:w="2448"/>
            <w:vAlign w:val="center"/>
            <w:shd w:fill="F7F8FA"/>
          </w:tcPr>
          <w:p>
            <w:pPr>
              <w:spacing w:after="40" w:line="240" w:lineRule="auto"/>
            </w:pPr>
            <w:r/>
            <w:r>
              <w:rPr>
                <w:rFonts w:ascii="Garamond" w:hAnsi="Garamond"/>
                <w:b w:val="0"/>
                <w:color w:val="222222"/>
                <w:sz w:val="17"/>
              </w:rPr>
              <w:t>Norma que tipifica la conducta</w:t>
            </w:r>
          </w:p>
        </w:tc>
        <w:tc>
          <w:tcPr>
            <w:tcW w:type="dxa" w:w="2448"/>
            <w:vAlign w:val="center"/>
            <w:shd w:fill="F7F8FA"/>
          </w:tcPr>
          <w:p>
            <w:pPr>
              <w:spacing w:after="40" w:line="240" w:lineRule="auto"/>
            </w:pPr>
            <w:r/>
            <w:r>
              <w:rPr>
                <w:rFonts w:ascii="Garamond" w:hAnsi="Garamond"/>
                <w:b w:val="0"/>
                <w:color w:val="222222"/>
                <w:sz w:val="17"/>
              </w:rPr>
              <w:t>La autoridad puede tener por acreditada la infracción.</w:t>
            </w:r>
          </w:p>
        </w:tc>
      </w:tr>
      <w:tr>
        <w:tc>
          <w:tcPr>
            <w:tcW w:type="dxa" w:w="2448"/>
            <w:vAlign w:val="center"/>
          </w:tcPr>
          <w:p>
            <w:pPr>
              <w:spacing w:after="40" w:line="240" w:lineRule="auto"/>
            </w:pPr>
            <w:r/>
            <w:r>
              <w:rPr>
                <w:rFonts w:ascii="Garamond" w:hAnsi="Garamond"/>
                <w:b w:val="0"/>
                <w:color w:val="222222"/>
                <w:sz w:val="17"/>
              </w:rPr>
              <w:t>Daño o perjuicio</w:t>
            </w:r>
          </w:p>
        </w:tc>
        <w:tc>
          <w:tcPr>
            <w:tcW w:type="dxa" w:w="2880"/>
            <w:vAlign w:val="center"/>
          </w:tcPr>
          <w:p>
            <w:pPr>
              <w:spacing w:after="40" w:line="240" w:lineRule="auto"/>
            </w:pPr>
            <w:r/>
            <w:r>
              <w:rPr>
                <w:rFonts w:ascii="Garamond" w:hAnsi="Garamond"/>
                <w:b w:val="0"/>
                <w:color w:val="222222"/>
                <w:sz w:val="17"/>
              </w:rPr>
              <w:t>Contabilidad, dictamen, documentos</w:t>
            </w:r>
          </w:p>
        </w:tc>
        <w:tc>
          <w:tcPr>
            <w:tcW w:type="dxa" w:w="2448"/>
            <w:vAlign w:val="center"/>
          </w:tcPr>
          <w:p>
            <w:pPr>
              <w:spacing w:after="40" w:line="240" w:lineRule="auto"/>
            </w:pPr>
            <w:r/>
            <w:r>
              <w:rPr>
                <w:rFonts w:ascii="Garamond" w:hAnsi="Garamond"/>
                <w:b w:val="0"/>
                <w:color w:val="222222"/>
                <w:sz w:val="17"/>
              </w:rPr>
              <w:t>Norma de reparación/sanción</w:t>
            </w:r>
          </w:p>
        </w:tc>
        <w:tc>
          <w:tcPr>
            <w:tcW w:type="dxa" w:w="2448"/>
            <w:vAlign w:val="center"/>
          </w:tcPr>
          <w:p>
            <w:pPr>
              <w:spacing w:after="40" w:line="240" w:lineRule="auto"/>
            </w:pPr>
            <w:r/>
            <w:r>
              <w:rPr>
                <w:rFonts w:ascii="Garamond" w:hAnsi="Garamond"/>
                <w:b w:val="0"/>
                <w:color w:val="222222"/>
                <w:sz w:val="17"/>
              </w:rPr>
              <w:t>Dificulta cuantificación y pretensión.</w:t>
            </w:r>
          </w:p>
        </w:tc>
      </w:tr>
    </w:tbl>
    <w:p>
      <w:pPr>
        <w:spacing w:after="20"/>
      </w:pPr>
    </w:p>
    <w:p>
      <w:pPr>
        <w:pStyle w:val="Ttulo2"/>
      </w:pPr>
      <w:r>
        <w:t>12.2 Prueba documental</w:t>
      </w:r>
    </w:p>
    <w:p>
      <w:r>
        <w:t>En asuntos administrativos la documental suele ser central. El abogado debe distinguir documentos públicos, privados, copias, constancias electrónicas y documentos generados por la propia autoridad. No basta anexar cien documentos: debe explicarse su relación con cada hecho controvertido.</w:t>
      </w:r>
    </w:p>
    <w:p>
      <w:pPr>
        <w:pStyle w:val="Ttulo2"/>
      </w:pPr>
      <w:r>
        <w:t>12.3 Prueba pericial</w:t>
      </w:r>
    </w:p>
    <w:p>
      <w:r>
        <w:t>La pericial es útil cuando el tribunal no puede resolver el punto con conocimiento jurídico ordinario: contabilidad, ingeniería, valuación, informática forense, grafoscopía, medicina, química, medio ambiente, etc. El cuestionario debe formularse desde el hecho que se pretende demostrar, no desde la conclusión jurídica que se quiere obtener.</w:t>
      </w:r>
    </w:p>
    <w:p>
      <w:pPr>
        <w:pStyle w:val="Ttulo2"/>
      </w:pPr>
      <w:r>
        <w:t>12.4 Evidencia digital</w:t>
      </w:r>
    </w:p>
    <w:p>
      <w:r>
        <w:t>• Conserva archivo original y no solo captura de pantalla.</w:t>
      </w:r>
    </w:p>
    <w:p>
      <w:r>
        <w:t>• Registra fecha, fuente, URL o sistema, usuario y mecanismo de obtención cuando sea relevante.</w:t>
      </w:r>
    </w:p>
    <w:p>
      <w:r>
        <w:t>• Conserva metadatos cuando puedan ser objeto de controversia.</w:t>
      </w:r>
    </w:p>
    <w:p>
      <w:r>
        <w:t>• Para correos y buzón tributario, conserva acuses y constancias completas.</w:t>
      </w:r>
    </w:p>
    <w:p>
      <w:r>
        <w:t>• Si la autenticidad es controvertida, considera pericial informática y cadena de conservación.</w:t>
      </w:r>
    </w:p>
    <w:p>
      <w:pPr>
        <w:pStyle w:val="Ttulo2"/>
      </w:pPr>
      <w:r>
        <w:t>12.5 Técnica de argumentación</w:t>
      </w:r>
    </w:p>
    <w:p>
      <w:r>
        <w:t>Usa la secuencia: regla → hecho acreditado → aplicación → contradicción → consecuencia. Un argumento administrativo fuerte no necesita adjetivos; necesita trazabilidad.</w:t>
      </w:r>
    </w:p>
    <w:p>
      <w:pPr>
        <w:pStyle w:val="Ttulo1"/>
      </w:pPr>
      <w:r>
        <w:t>13. MEDIDAS CAUTELARES Y SUSPENSIÓN EN SEDE CONTENCIOSA</w:t>
      </w:r>
    </w:p>
    <w:p>
      <w:pPr>
        <w:pStyle w:val="Ttulo2"/>
      </w:pPr>
      <w:r>
        <w:t>13.1 Objetivo</w:t>
      </w:r>
    </w:p>
    <w:p>
      <w:r>
        <w:t>La medida cautelar busca preservar la materia del litigio o evitar que la ejecución del acto vuelva inútil una eventual sentencia favorable, dentro de los límites legales. Debe explicarse el acto que se pretende detener, el riesgo de consumación, la urgencia y las condiciones jurídicas de la medida.</w:t>
      </w:r>
    </w:p>
    <w:p>
      <w:pPr>
        <w:pStyle w:val="Ttulo2"/>
      </w:pPr>
      <w:r>
        <w:t>13.2 Estructura de la petición cautelar</w:t>
      </w:r>
    </w:p>
    <w:p>
      <w:r>
        <w:t>1. Identifica el acto y la autoridad ejecutora.</w:t>
      </w:r>
    </w:p>
    <w:p>
      <w:r>
        <w:t>2. Explica el estado actual de ejecución.</w:t>
      </w:r>
    </w:p>
    <w:p>
      <w:r>
        <w:t>3. Señala el daño o riesgo concreto.</w:t>
      </w:r>
    </w:p>
    <w:p>
      <w:r>
        <w:t>4. Explica por qué la medida conserva la materia del juicio.</w:t>
      </w:r>
    </w:p>
    <w:p>
      <w:r>
        <w:t>5. Indica que no se afecta indebidamente el interés público o a terceros, cuando la ley lo exija.</w:t>
      </w:r>
    </w:p>
    <w:p>
      <w:r>
        <w:t>6. Ofrece garantía o caución cuando sea procedente.</w:t>
      </w:r>
    </w:p>
    <w:p>
      <w:r>
        <w:t>7. Pide una medida concreta y ejecutable.</w:t>
      </w:r>
    </w:p>
    <w:p>
      <w:pPr>
        <w:pStyle w:val="Ttulo2"/>
      </w:pPr>
      <w:r>
        <w:t>13.3 Errores comunes</w:t>
      </w:r>
    </w:p>
    <w:p>
      <w:r>
        <w:t>• Pedir “suspensión de todo” sin identificar actos concretos.</w:t>
      </w:r>
    </w:p>
    <w:p>
      <w:r>
        <w:t>• No explicar qué ocurrirá si la autoridad continúa ejecutando.</w:t>
      </w:r>
    </w:p>
    <w:p>
      <w:r>
        <w:t>• Confundir suspensión con sentencia definitiva.</w:t>
      </w:r>
    </w:p>
    <w:p>
      <w:r>
        <w:t>• No atender la garantía requerida.</w:t>
      </w:r>
    </w:p>
    <w:p>
      <w:r>
        <w:t>• Solicitar una medida que produzca anticipadamente el efecto final del juicio sin justificar su procedencia.</w:t>
      </w:r>
    </w:p>
    <w:p>
      <w:pPr>
        <w:pStyle w:val="Ttulo1"/>
      </w:pPr>
      <w:r>
        <w:t>14. INCIDENTES, ALEGATOS Y RECURSOS EN EL JUICIO</w:t>
      </w:r>
    </w:p>
    <w:p>
      <w:pPr>
        <w:pStyle w:val="Ttulo2"/>
      </w:pPr>
      <w:r>
        <w:t>14.1 Incidentes</w:t>
      </w:r>
    </w:p>
    <w:p>
      <w:r>
        <w:t>Los incidentes deben plantearse únicamente cuando existe una cuestión procesal que requiere decisión específica y la ley permite su tramitación. Antes de promoverlos verifica si la cuestión puede resolverse dentro de la controversia principal; un incidente innecesario consume tiempo y puede distraer la teoría del caso.</w:t>
      </w:r>
    </w:p>
    <w:p>
      <w:pPr>
        <w:pStyle w:val="Ttulo2"/>
      </w:pPr>
      <w:r>
        <w:t>14.2 Alegatos</w:t>
      </w:r>
    </w:p>
    <w:p>
      <w:r>
        <w:t>Los alegatos no son una repetición de la demanda. Su función práctica es ordenar el expediente para la decisión: qué hechos quedaron probados, qué norma resulta aplicable, qué argumentos de la contraparte no superaron la prueba y qué efecto debe producirse en la sentencia.</w:t>
      </w:r>
    </w:p>
    <w:tbl>
      <w:tblPr>
        <w:tblW w:type="auto" w:w="0"/>
        <w:jc w:val="center"/>
        <w:tblLook w:firstColumn="1" w:firstRow="1" w:lastColumn="0" w:lastRow="0" w:noHBand="0" w:noVBand="1" w:val="04A0"/>
      </w:tblPr>
      <w:tblGrid>
        <w:gridCol w:w="4932"/>
        <w:gridCol w:w="4932"/>
      </w:tblGrid>
      <w:tr>
        <w:tc>
          <w:tcPr>
            <w:tcW w:type="dxa" w:w="2088"/>
            <w:vAlign w:val="center"/>
            <w:shd w:fill="1A2B4A"/>
          </w:tcPr>
          <w:p>
            <w:pPr>
              <w:spacing w:after="40" w:line="240" w:lineRule="auto"/>
            </w:pPr>
            <w:r/>
            <w:r>
              <w:rPr>
                <w:rFonts w:ascii="Garamond" w:hAnsi="Garamond"/>
                <w:b/>
                <w:color w:val="FFFFFF"/>
                <w:sz w:val="17"/>
              </w:rPr>
              <w:t>Bloque</w:t>
            </w:r>
          </w:p>
        </w:tc>
        <w:tc>
          <w:tcPr>
            <w:tcW w:type="dxa" w:w="7704"/>
            <w:vAlign w:val="center"/>
            <w:shd w:fill="1A2B4A"/>
          </w:tcPr>
          <w:p>
            <w:pPr>
              <w:spacing w:after="40" w:line="240" w:lineRule="auto"/>
            </w:pPr>
            <w:r/>
            <w:r>
              <w:rPr>
                <w:rFonts w:ascii="Garamond" w:hAnsi="Garamond"/>
                <w:b/>
                <w:color w:val="FFFFFF"/>
                <w:sz w:val="17"/>
              </w:rPr>
              <w:t>Contenido</w:t>
            </w:r>
          </w:p>
        </w:tc>
      </w:tr>
      <w:tr>
        <w:tc>
          <w:tcPr>
            <w:tcW w:type="dxa" w:w="2088"/>
            <w:vAlign w:val="center"/>
          </w:tcPr>
          <w:p>
            <w:pPr>
              <w:spacing w:after="40" w:line="240" w:lineRule="auto"/>
            </w:pPr>
            <w:r/>
            <w:r>
              <w:rPr>
                <w:rFonts w:ascii="Garamond" w:hAnsi="Garamond"/>
                <w:b w:val="0"/>
                <w:color w:val="222222"/>
                <w:sz w:val="17"/>
              </w:rPr>
              <w:t>1. Controversia</w:t>
            </w:r>
          </w:p>
        </w:tc>
        <w:tc>
          <w:tcPr>
            <w:tcW w:type="dxa" w:w="7704"/>
            <w:vAlign w:val="center"/>
          </w:tcPr>
          <w:p>
            <w:pPr>
              <w:spacing w:after="40" w:line="240" w:lineRule="auto"/>
            </w:pPr>
            <w:r/>
            <w:r>
              <w:rPr>
                <w:rFonts w:ascii="Garamond" w:hAnsi="Garamond"/>
                <w:b w:val="0"/>
                <w:color w:val="222222"/>
                <w:sz w:val="17"/>
              </w:rPr>
              <w:t>Qué se está resolviendo.</w:t>
            </w:r>
          </w:p>
        </w:tc>
      </w:tr>
      <w:tr>
        <w:tc>
          <w:tcPr>
            <w:tcW w:type="dxa" w:w="2088"/>
            <w:vAlign w:val="center"/>
            <w:shd w:fill="F7F8FA"/>
          </w:tcPr>
          <w:p>
            <w:pPr>
              <w:spacing w:after="40" w:line="240" w:lineRule="auto"/>
            </w:pPr>
            <w:r/>
            <w:r>
              <w:rPr>
                <w:rFonts w:ascii="Garamond" w:hAnsi="Garamond"/>
                <w:b w:val="0"/>
                <w:color w:val="222222"/>
                <w:sz w:val="17"/>
              </w:rPr>
              <w:t>2. Hechos probados</w:t>
            </w:r>
          </w:p>
        </w:tc>
        <w:tc>
          <w:tcPr>
            <w:tcW w:type="dxa" w:w="7704"/>
            <w:vAlign w:val="center"/>
            <w:shd w:fill="F7F8FA"/>
          </w:tcPr>
          <w:p>
            <w:pPr>
              <w:spacing w:after="40" w:line="240" w:lineRule="auto"/>
            </w:pPr>
            <w:r/>
            <w:r>
              <w:rPr>
                <w:rFonts w:ascii="Garamond" w:hAnsi="Garamond"/>
                <w:b w:val="0"/>
                <w:color w:val="222222"/>
                <w:sz w:val="17"/>
              </w:rPr>
              <w:t>Solo los que tienen respaldo en autos.</w:t>
            </w:r>
          </w:p>
        </w:tc>
      </w:tr>
      <w:tr>
        <w:tc>
          <w:tcPr>
            <w:tcW w:type="dxa" w:w="2088"/>
            <w:vAlign w:val="center"/>
          </w:tcPr>
          <w:p>
            <w:pPr>
              <w:spacing w:after="40" w:line="240" w:lineRule="auto"/>
            </w:pPr>
            <w:r/>
            <w:r>
              <w:rPr>
                <w:rFonts w:ascii="Garamond" w:hAnsi="Garamond"/>
                <w:b w:val="0"/>
                <w:color w:val="222222"/>
                <w:sz w:val="17"/>
              </w:rPr>
              <w:t>3. Norma</w:t>
            </w:r>
          </w:p>
        </w:tc>
        <w:tc>
          <w:tcPr>
            <w:tcW w:type="dxa" w:w="7704"/>
            <w:vAlign w:val="center"/>
          </w:tcPr>
          <w:p>
            <w:pPr>
              <w:spacing w:after="40" w:line="240" w:lineRule="auto"/>
            </w:pPr>
            <w:r/>
            <w:r>
              <w:rPr>
                <w:rFonts w:ascii="Garamond" w:hAnsi="Garamond"/>
                <w:b w:val="0"/>
                <w:color w:val="222222"/>
                <w:sz w:val="17"/>
              </w:rPr>
              <w:t>Disposición aplicable y su alcance.</w:t>
            </w:r>
          </w:p>
        </w:tc>
      </w:tr>
      <w:tr>
        <w:tc>
          <w:tcPr>
            <w:tcW w:type="dxa" w:w="2088"/>
            <w:vAlign w:val="center"/>
            <w:shd w:fill="F7F8FA"/>
          </w:tcPr>
          <w:p>
            <w:pPr>
              <w:spacing w:after="40" w:line="240" w:lineRule="auto"/>
            </w:pPr>
            <w:r/>
            <w:r>
              <w:rPr>
                <w:rFonts w:ascii="Garamond" w:hAnsi="Garamond"/>
                <w:b w:val="0"/>
                <w:color w:val="222222"/>
                <w:sz w:val="17"/>
              </w:rPr>
              <w:t>4. Argumento</w:t>
            </w:r>
          </w:p>
        </w:tc>
        <w:tc>
          <w:tcPr>
            <w:tcW w:type="dxa" w:w="7704"/>
            <w:vAlign w:val="center"/>
            <w:shd w:fill="F7F8FA"/>
          </w:tcPr>
          <w:p>
            <w:pPr>
              <w:spacing w:after="40" w:line="240" w:lineRule="auto"/>
            </w:pPr>
            <w:r/>
            <w:r>
              <w:rPr>
                <w:rFonts w:ascii="Garamond" w:hAnsi="Garamond"/>
                <w:b w:val="0"/>
                <w:color w:val="222222"/>
                <w:sz w:val="17"/>
              </w:rPr>
              <w:t>Aplicación de la norma al hecho.</w:t>
            </w:r>
          </w:p>
        </w:tc>
      </w:tr>
      <w:tr>
        <w:tc>
          <w:tcPr>
            <w:tcW w:type="dxa" w:w="2088"/>
            <w:vAlign w:val="center"/>
          </w:tcPr>
          <w:p>
            <w:pPr>
              <w:spacing w:after="40" w:line="240" w:lineRule="auto"/>
            </w:pPr>
            <w:r/>
            <w:r>
              <w:rPr>
                <w:rFonts w:ascii="Garamond" w:hAnsi="Garamond"/>
                <w:b w:val="0"/>
                <w:color w:val="222222"/>
                <w:sz w:val="17"/>
              </w:rPr>
              <w:t>5. Respuesta</w:t>
            </w:r>
          </w:p>
        </w:tc>
        <w:tc>
          <w:tcPr>
            <w:tcW w:type="dxa" w:w="7704"/>
            <w:vAlign w:val="center"/>
          </w:tcPr>
          <w:p>
            <w:pPr>
              <w:spacing w:after="40" w:line="240" w:lineRule="auto"/>
            </w:pPr>
            <w:r/>
            <w:r>
              <w:rPr>
                <w:rFonts w:ascii="Garamond" w:hAnsi="Garamond"/>
                <w:b w:val="0"/>
                <w:color w:val="222222"/>
                <w:sz w:val="17"/>
              </w:rPr>
              <w:t>Por qué no prospera la defensa de la contraparte.</w:t>
            </w:r>
          </w:p>
        </w:tc>
      </w:tr>
      <w:tr>
        <w:tc>
          <w:tcPr>
            <w:tcW w:type="dxa" w:w="2088"/>
            <w:vAlign w:val="center"/>
            <w:shd w:fill="F7F8FA"/>
          </w:tcPr>
          <w:p>
            <w:pPr>
              <w:spacing w:after="40" w:line="240" w:lineRule="auto"/>
            </w:pPr>
            <w:r/>
            <w:r>
              <w:rPr>
                <w:rFonts w:ascii="Garamond" w:hAnsi="Garamond"/>
                <w:b w:val="0"/>
                <w:color w:val="222222"/>
                <w:sz w:val="17"/>
              </w:rPr>
              <w:t>6. Petición</w:t>
            </w:r>
          </w:p>
        </w:tc>
        <w:tc>
          <w:tcPr>
            <w:tcW w:type="dxa" w:w="7704"/>
            <w:vAlign w:val="center"/>
            <w:shd w:fill="F7F8FA"/>
          </w:tcPr>
          <w:p>
            <w:pPr>
              <w:spacing w:after="40" w:line="240" w:lineRule="auto"/>
            </w:pPr>
            <w:r/>
            <w:r>
              <w:rPr>
                <w:rFonts w:ascii="Garamond" w:hAnsi="Garamond"/>
                <w:b w:val="0"/>
                <w:color w:val="222222"/>
                <w:sz w:val="17"/>
              </w:rPr>
              <w:t>Efecto concreto que se solicita.</w:t>
            </w:r>
          </w:p>
        </w:tc>
      </w:tr>
    </w:tbl>
    <w:p>
      <w:pPr>
        <w:spacing w:after="20"/>
      </w:pPr>
    </w:p>
    <w:p>
      <w:pPr>
        <w:pStyle w:val="Ttulo2"/>
      </w:pPr>
      <w:r>
        <w:t>14.3 Recursos</w:t>
      </w:r>
    </w:p>
    <w:p>
      <w:r>
        <w:t>La procedencia, plazo y autoridad competente dependen de la resolución y de la vía. En materia contenciosa deben revisarse los recursos previstos por la LFPCA y las reformas vigentes. En amparo, la Ley de Amparo regula revisión, queja y reclamación en los supuestos correspondientes.</w:t>
      </w:r>
    </w:p>
    <w:p>
      <w:pPr>
        <w:pStyle w:val="Ttulo1"/>
      </w:pPr>
      <w:r>
        <w:t>15. AMPARO EN MATERIA ADMINISTRATIVA Y FISCAL</w:t>
      </w:r>
    </w:p>
    <w:p>
      <w:pPr>
        <w:pStyle w:val="Ttulo2"/>
      </w:pPr>
      <w:r>
        <w:t>15.1 No todo acto administrativo va directo a amparo</w:t>
      </w:r>
    </w:p>
    <w:p>
      <w:r>
        <w:t>El amparo es un medio de control constitucional. La estrategia depende de la naturaleza del acto, la existencia de un medio ordinario de defensa, la definitividad, el tipo de autoridad y las excepciones previstas por la Ley de Amparo. La guía de estudio aportada enfatiza precisamente la necesidad de analizar procedencia e improcedencia antes de promover.</w:t>
      </w:r>
    </w:p>
    <w:p>
      <w:pPr>
        <w:pStyle w:val="Ttulo2"/>
      </w:pPr>
      <w:r>
        <w:t>15.2 Amparo indirecto</w:t>
      </w:r>
    </w:p>
    <w:p>
      <w:r>
        <w:t>En términos generales, procede frente a determinados actos de autoridades administrativas y otros supuestos previstos en la Ley de Amparo, especialmente cuando no se trata de una sentencia definitiva de tribunal que deba combatirse por amparo directo. La clasificación debe hacerse caso por caso.</w:t>
      </w:r>
    </w:p>
    <w:p>
      <w:pPr>
        <w:pStyle w:val="Ttulo2"/>
      </w:pPr>
      <w:r>
        <w:t>15.3 Amparo directo</w:t>
      </w:r>
    </w:p>
    <w:p>
      <w:r>
        <w:t>El amparo directo se relaciona principalmente con sentencias definitivas, laudos y resoluciones que ponen fin al juicio, en los supuestos constitucionales y legales. En litigios administrativos suele aparecer después de una sentencia del tribunal competente, si se actualizan los requisitos legales.</w:t>
      </w:r>
    </w:p>
    <w:p>
      <w:pPr>
        <w:pStyle w:val="Ttulo2"/>
      </w:pPr>
      <w:r>
        <w:t>15.4 Improcedencia y definitividad</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No conviertas la definitividad en una fórmula automática. La Ley de Amparo contiene excepciones y supuestos específicos. Antes de concluir que debe agotarse un recurso, identifica qué acto se reclama, qué medio existe, si es idóneo y si la propia Ley de Amparo contempla una excepción.</w:t>
            </w:r>
          </w:p>
        </w:tc>
      </w:tr>
    </w:tbl>
    <w:p>
      <w:pPr>
        <w:spacing w:after="20"/>
      </w:pPr>
    </w:p>
    <w:p>
      <w:pPr>
        <w:pStyle w:val="Ttulo2"/>
      </w:pPr>
      <w:r>
        <w:t>15.5 Suspensión en amparo</w:t>
      </w:r>
    </w:p>
    <w:p>
      <w:r>
        <w:t>La suspensión tiene su propio régimen en la Ley de Amparo. La solicitud debe relacionarse con el acto reclamado, su ejecución y los requisitos legales de procedencia. El texto vigente consultado incorpora reformas recientes, por lo que deben revisarse especialmente los artículos relativos a interés legítimo, suspensión y cumplimiento.</w:t>
      </w:r>
    </w:p>
    <w:p>
      <w:pPr>
        <w:pStyle w:val="Ttulo1"/>
      </w:pPr>
      <w:r>
        <w:t>16. LITIGACIÓN ADMINISTRATIVA EN JALISCO</w:t>
      </w:r>
    </w:p>
    <w:p>
      <w:pPr>
        <w:pStyle w:val="Ttulo2"/>
      </w:pPr>
      <w:r>
        <w:t>16.1 Marco local</w:t>
      </w:r>
    </w:p>
    <w:p>
      <w:r>
        <w:t>Para asuntos de competencia estatal o municipal en Jalisco no basta con aplicar legislación federal. Deben revisarse, según la materia, la Ley del Procedimiento Administrativo del Estado de Jalisco, la Ley de Justicia Administrativa del Estado de Jalisco, la Ley para los Servidores Públicos del Estado de Jalisco y sus Municipios, la Ley de Responsabilidades Políticas y Administrativas del Estado de Jalisco, la Ley Orgánica del Poder Ejecutivo y la legislación especial de la actividad regulada.</w:t>
      </w:r>
    </w:p>
    <w:tbl>
      <w:tblPr>
        <w:tblW w:type="auto" w:w="0"/>
        <w:jc w:val="center"/>
        <w:tblLook w:firstColumn="1" w:firstRow="1" w:lastColumn="0" w:lastRow="0" w:noHBand="0" w:noVBand="1" w:val="04A0"/>
      </w:tblPr>
      <w:tblGrid>
        <w:gridCol w:w="3288"/>
        <w:gridCol w:w="3288"/>
        <w:gridCol w:w="3288"/>
      </w:tblGrid>
      <w:tr>
        <w:tc>
          <w:tcPr>
            <w:tcW w:type="dxa" w:w="3168"/>
            <w:vAlign w:val="center"/>
            <w:shd w:fill="1A2B4A"/>
          </w:tcPr>
          <w:p>
            <w:pPr>
              <w:spacing w:after="40" w:line="240" w:lineRule="auto"/>
            </w:pPr>
            <w:r/>
            <w:r>
              <w:rPr>
                <w:rFonts w:ascii="Garamond" w:hAnsi="Garamond"/>
                <w:b/>
                <w:color w:val="FFFFFF"/>
                <w:sz w:val="17"/>
              </w:rPr>
              <w:t>Ordenamiento estatal</w:t>
            </w:r>
          </w:p>
        </w:tc>
        <w:tc>
          <w:tcPr>
            <w:tcW w:type="dxa" w:w="3024"/>
            <w:vAlign w:val="center"/>
            <w:shd w:fill="1A2B4A"/>
          </w:tcPr>
          <w:p>
            <w:pPr>
              <w:spacing w:after="40" w:line="240" w:lineRule="auto"/>
            </w:pPr>
            <w:r/>
            <w:r>
              <w:rPr>
                <w:rFonts w:ascii="Garamond" w:hAnsi="Garamond"/>
                <w:b/>
                <w:color w:val="FFFFFF"/>
                <w:sz w:val="17"/>
              </w:rPr>
              <w:t>Situación reportada por el Congreso de Jalisco</w:t>
            </w:r>
          </w:p>
        </w:tc>
        <w:tc>
          <w:tcPr>
            <w:tcW w:type="dxa" w:w="3888"/>
            <w:vAlign w:val="center"/>
            <w:shd w:fill="1A2B4A"/>
          </w:tcPr>
          <w:p>
            <w:pPr>
              <w:spacing w:after="40" w:line="240" w:lineRule="auto"/>
            </w:pPr>
            <w:r/>
            <w:r>
              <w:rPr>
                <w:rFonts w:ascii="Garamond" w:hAnsi="Garamond"/>
                <w:b/>
                <w:color w:val="FFFFFF"/>
                <w:sz w:val="17"/>
              </w:rPr>
              <w:t>Uso en litigación</w:t>
            </w:r>
          </w:p>
        </w:tc>
      </w:tr>
      <w:tr>
        <w:tc>
          <w:tcPr>
            <w:tcW w:type="dxa" w:w="3168"/>
            <w:vAlign w:val="center"/>
          </w:tcPr>
          <w:p>
            <w:pPr>
              <w:spacing w:after="40" w:line="240" w:lineRule="auto"/>
            </w:pPr>
            <w:r/>
            <w:r>
              <w:rPr>
                <w:rFonts w:ascii="Garamond" w:hAnsi="Garamond"/>
                <w:b w:val="0"/>
                <w:color w:val="222222"/>
                <w:sz w:val="17"/>
              </w:rPr>
              <w:t>Ley del Procedimiento Administrativo del Estado de Jalisco</w:t>
            </w:r>
          </w:p>
        </w:tc>
        <w:tc>
          <w:tcPr>
            <w:tcW w:type="dxa" w:w="3024"/>
            <w:vAlign w:val="center"/>
          </w:tcPr>
          <w:p>
            <w:pPr>
              <w:spacing w:after="40" w:line="240" w:lineRule="auto"/>
            </w:pPr>
            <w:r/>
            <w:r>
              <w:rPr>
                <w:rFonts w:ascii="Garamond" w:hAnsi="Garamond"/>
                <w:b w:val="0"/>
                <w:color w:val="222222"/>
                <w:sz w:val="17"/>
              </w:rPr>
              <w:t>Última modificación listada: 02/06/2026</w:t>
            </w:r>
          </w:p>
        </w:tc>
        <w:tc>
          <w:tcPr>
            <w:tcW w:type="dxa" w:w="3888"/>
            <w:vAlign w:val="center"/>
          </w:tcPr>
          <w:p>
            <w:pPr>
              <w:spacing w:after="40" w:line="240" w:lineRule="auto"/>
            </w:pPr>
            <w:r/>
            <w:r>
              <w:rPr>
                <w:rFonts w:ascii="Garamond" w:hAnsi="Garamond"/>
                <w:b w:val="0"/>
                <w:color w:val="222222"/>
                <w:sz w:val="17"/>
              </w:rPr>
              <w:t>Actos y procedimientos administrativos estatales, según su ámbito.</w:t>
            </w:r>
          </w:p>
        </w:tc>
      </w:tr>
      <w:tr>
        <w:tc>
          <w:tcPr>
            <w:tcW w:type="dxa" w:w="3168"/>
            <w:vAlign w:val="center"/>
            <w:shd w:fill="F7F8FA"/>
          </w:tcPr>
          <w:p>
            <w:pPr>
              <w:spacing w:after="40" w:line="240" w:lineRule="auto"/>
            </w:pPr>
            <w:r/>
            <w:r>
              <w:rPr>
                <w:rFonts w:ascii="Garamond" w:hAnsi="Garamond"/>
                <w:b w:val="0"/>
                <w:color w:val="222222"/>
                <w:sz w:val="17"/>
              </w:rPr>
              <w:t>Ley de Justicia Administrativa del Estado de Jalisco</w:t>
            </w:r>
          </w:p>
        </w:tc>
        <w:tc>
          <w:tcPr>
            <w:tcW w:type="dxa" w:w="3024"/>
            <w:vAlign w:val="center"/>
            <w:shd w:fill="F7F8FA"/>
          </w:tcPr>
          <w:p>
            <w:pPr>
              <w:spacing w:after="40" w:line="240" w:lineRule="auto"/>
            </w:pPr>
            <w:r/>
            <w:r>
              <w:rPr>
                <w:rFonts w:ascii="Garamond" w:hAnsi="Garamond"/>
                <w:b w:val="0"/>
                <w:color w:val="222222"/>
                <w:sz w:val="17"/>
              </w:rPr>
              <w:t>Última modificación listada: 20/08/2026</w:t>
            </w:r>
          </w:p>
        </w:tc>
        <w:tc>
          <w:tcPr>
            <w:tcW w:type="dxa" w:w="3888"/>
            <w:vAlign w:val="center"/>
            <w:shd w:fill="F7F8FA"/>
          </w:tcPr>
          <w:p>
            <w:pPr>
              <w:spacing w:after="40" w:line="240" w:lineRule="auto"/>
            </w:pPr>
            <w:r/>
            <w:r>
              <w:rPr>
                <w:rFonts w:ascii="Garamond" w:hAnsi="Garamond"/>
                <w:b w:val="0"/>
                <w:color w:val="222222"/>
                <w:sz w:val="17"/>
              </w:rPr>
              <w:t>Juicio ante la jurisdicción administrativa local.</w:t>
            </w:r>
          </w:p>
        </w:tc>
      </w:tr>
      <w:tr>
        <w:tc>
          <w:tcPr>
            <w:tcW w:type="dxa" w:w="3168"/>
            <w:vAlign w:val="center"/>
          </w:tcPr>
          <w:p>
            <w:pPr>
              <w:spacing w:after="40" w:line="240" w:lineRule="auto"/>
            </w:pPr>
            <w:r/>
            <w:r>
              <w:rPr>
                <w:rFonts w:ascii="Garamond" w:hAnsi="Garamond"/>
                <w:b w:val="0"/>
                <w:color w:val="222222"/>
                <w:sz w:val="17"/>
              </w:rPr>
              <w:t>Ley para los Servidores Públicos del Estado de Jalisco y sus Municipios</w:t>
            </w:r>
          </w:p>
        </w:tc>
        <w:tc>
          <w:tcPr>
            <w:tcW w:type="dxa" w:w="3024"/>
            <w:vAlign w:val="center"/>
          </w:tcPr>
          <w:p>
            <w:pPr>
              <w:spacing w:after="40" w:line="240" w:lineRule="auto"/>
            </w:pPr>
            <w:r/>
            <w:r>
              <w:rPr>
                <w:rFonts w:ascii="Garamond" w:hAnsi="Garamond"/>
                <w:b w:val="0"/>
                <w:color w:val="222222"/>
                <w:sz w:val="17"/>
              </w:rPr>
              <w:t>Última modificación listada: 01/06/2023</w:t>
            </w:r>
          </w:p>
        </w:tc>
        <w:tc>
          <w:tcPr>
            <w:tcW w:type="dxa" w:w="3888"/>
            <w:vAlign w:val="center"/>
          </w:tcPr>
          <w:p>
            <w:pPr>
              <w:spacing w:after="40" w:line="240" w:lineRule="auto"/>
            </w:pPr>
            <w:r/>
            <w:r>
              <w:rPr>
                <w:rFonts w:ascii="Garamond" w:hAnsi="Garamond"/>
                <w:b w:val="0"/>
                <w:color w:val="222222"/>
                <w:sz w:val="17"/>
              </w:rPr>
              <w:t>Relaciones y régimen de servidores públicos, según materia.</w:t>
            </w:r>
          </w:p>
        </w:tc>
      </w:tr>
      <w:tr>
        <w:tc>
          <w:tcPr>
            <w:tcW w:type="dxa" w:w="3168"/>
            <w:vAlign w:val="center"/>
            <w:shd w:fill="F7F8FA"/>
          </w:tcPr>
          <w:p>
            <w:pPr>
              <w:spacing w:after="40" w:line="240" w:lineRule="auto"/>
            </w:pPr>
            <w:r/>
            <w:r>
              <w:rPr>
                <w:rFonts w:ascii="Garamond" w:hAnsi="Garamond"/>
                <w:b w:val="0"/>
                <w:color w:val="222222"/>
                <w:sz w:val="17"/>
              </w:rPr>
              <w:t>Ley de Responsabilidades Políticas y Administrativas del Estado de Jalisco</w:t>
            </w:r>
          </w:p>
        </w:tc>
        <w:tc>
          <w:tcPr>
            <w:tcW w:type="dxa" w:w="3024"/>
            <w:vAlign w:val="center"/>
            <w:shd w:fill="F7F8FA"/>
          </w:tcPr>
          <w:p>
            <w:pPr>
              <w:spacing w:after="40" w:line="240" w:lineRule="auto"/>
            </w:pPr>
            <w:r/>
            <w:r>
              <w:rPr>
                <w:rFonts w:ascii="Garamond" w:hAnsi="Garamond"/>
                <w:b w:val="0"/>
                <w:color w:val="222222"/>
                <w:sz w:val="17"/>
              </w:rPr>
              <w:t>Última modificación listada: 14/03/2023</w:t>
            </w:r>
          </w:p>
        </w:tc>
        <w:tc>
          <w:tcPr>
            <w:tcW w:type="dxa" w:w="3888"/>
            <w:vAlign w:val="center"/>
            <w:shd w:fill="F7F8FA"/>
          </w:tcPr>
          <w:p>
            <w:pPr>
              <w:spacing w:after="40" w:line="240" w:lineRule="auto"/>
            </w:pPr>
            <w:r/>
            <w:r>
              <w:rPr>
                <w:rFonts w:ascii="Garamond" w:hAnsi="Garamond"/>
                <w:b w:val="0"/>
                <w:color w:val="222222"/>
                <w:sz w:val="17"/>
              </w:rPr>
              <w:t>Responsabilidades y régimen local.</w:t>
            </w:r>
          </w:p>
        </w:tc>
      </w:tr>
      <w:tr>
        <w:tc>
          <w:tcPr>
            <w:tcW w:type="dxa" w:w="3168"/>
            <w:vAlign w:val="center"/>
          </w:tcPr>
          <w:p>
            <w:pPr>
              <w:spacing w:after="40" w:line="240" w:lineRule="auto"/>
            </w:pPr>
            <w:r/>
            <w:r>
              <w:rPr>
                <w:rFonts w:ascii="Garamond" w:hAnsi="Garamond"/>
                <w:b w:val="0"/>
                <w:color w:val="222222"/>
                <w:sz w:val="17"/>
              </w:rPr>
              <w:t>Ley Orgánica del Poder Ejecutivo del Estado de Jalisco</w:t>
            </w:r>
          </w:p>
        </w:tc>
        <w:tc>
          <w:tcPr>
            <w:tcW w:type="dxa" w:w="3024"/>
            <w:vAlign w:val="center"/>
          </w:tcPr>
          <w:p>
            <w:pPr>
              <w:spacing w:after="40" w:line="240" w:lineRule="auto"/>
            </w:pPr>
            <w:r/>
            <w:r>
              <w:rPr>
                <w:rFonts w:ascii="Garamond" w:hAnsi="Garamond"/>
                <w:b w:val="0"/>
                <w:color w:val="222222"/>
                <w:sz w:val="17"/>
              </w:rPr>
              <w:t>Última modificación listada: 19/09/2026</w:t>
            </w:r>
          </w:p>
        </w:tc>
        <w:tc>
          <w:tcPr>
            <w:tcW w:type="dxa" w:w="3888"/>
            <w:vAlign w:val="center"/>
          </w:tcPr>
          <w:p>
            <w:pPr>
              <w:spacing w:after="40" w:line="240" w:lineRule="auto"/>
            </w:pPr>
            <w:r/>
            <w:r>
              <w:rPr>
                <w:rFonts w:ascii="Garamond" w:hAnsi="Garamond"/>
                <w:b w:val="0"/>
                <w:color w:val="222222"/>
                <w:sz w:val="17"/>
              </w:rPr>
              <w:t>Competencia y organización del Ejecutivo estatal.</w:t>
            </w:r>
          </w:p>
        </w:tc>
      </w:tr>
    </w:tbl>
    <w:p>
      <w:pPr>
        <w:spacing w:after="20"/>
      </w:pPr>
    </w:p>
    <w:p>
      <w:pPr>
        <w:pStyle w:val="Ttulo2"/>
      </w:pPr>
      <w:r>
        <w:t>16.2 Ruta práctica en Jalisco</w:t>
      </w:r>
    </w:p>
    <w:p>
      <w:r>
        <w:t>1. Identificar si el acto proviene del Estado, municipio, organismo público o autoridad federal.</w:t>
      </w:r>
    </w:p>
    <w:p>
      <w:r>
        <w:t>2. Localizar la ley especial y la norma competencial.</w:t>
      </w:r>
    </w:p>
    <w:p>
      <w:r>
        <w:t>3. Revisar la Ley del Procedimiento Administrativo local si resulta aplicable.</w:t>
      </w:r>
    </w:p>
    <w:p>
      <w:r>
        <w:t>4. Identificar el medio de defensa administrativo, si existe.</w:t>
      </w:r>
    </w:p>
    <w:p>
      <w:r>
        <w:t>5. Determinar competencia y plazo del Tribunal de Justicia Administrativa del Estado de Jalisco.</w:t>
      </w:r>
    </w:p>
    <w:p>
      <w:r>
        <w:t>6. Analizar suspensión/medidas cautelares.</w:t>
      </w:r>
    </w:p>
    <w:p>
      <w:r>
        <w:t>7. Si existe sentencia, revisar recursos y, en su caso, amparo.</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El portal legislativo del Congreso de Jalisco reporta para 2026 modificaciones recientes a la Ley del Procedimiento Administrativo y a la Ley de Justicia Administrativa. En asuntos locales, usa siempre la versión vigente del portal oficial antes de presentar.</w:t>
            </w:r>
          </w:p>
        </w:tc>
      </w:tr>
    </w:tbl>
    <w:p>
      <w:pPr>
        <w:spacing w:after="20"/>
      </w:pPr>
    </w:p>
    <w:p>
      <w:pPr>
        <w:pStyle w:val="Ttulo1"/>
      </w:pPr>
      <w:r>
        <w:t>17. ESTRATEGIA INTEGRAL DEL LITIGANTE</w:t>
      </w:r>
    </w:p>
    <w:p>
      <w:pPr>
        <w:pStyle w:val="Ttulo2"/>
      </w:pPr>
      <w:r>
        <w:t>17.1 La teoría del caso administrativa</w:t>
      </w:r>
    </w:p>
    <w:p>
      <w:r>
        <w:t>Construye una teoría de caso de una sola frase: “La autoridad realizó X acto, pero Y norma exigía Z; el expediente demuestra A y B; por ello debe producirse C”. Si no puedes formularla, todavía no tienes definido el problema jurídico.</w:t>
      </w:r>
    </w:p>
    <w:p>
      <w:pPr>
        <w:pStyle w:val="Ttulo2"/>
      </w:pPr>
      <w:r>
        <w:t>17.2 Matriz de ataque</w:t>
      </w:r>
    </w:p>
    <w:tbl>
      <w:tblPr>
        <w:tblW w:type="auto" w:w="0"/>
        <w:jc w:val="center"/>
        <w:tblLook w:firstColumn="1" w:firstRow="1" w:lastColumn="0" w:lastRow="0" w:noHBand="0" w:noVBand="1" w:val="04A0"/>
      </w:tblPr>
      <w:tblGrid>
        <w:gridCol w:w="4932"/>
        <w:gridCol w:w="4932"/>
      </w:tblGrid>
      <w:tr>
        <w:tc>
          <w:tcPr>
            <w:tcW w:type="dxa" w:w="2520"/>
            <w:vAlign w:val="center"/>
            <w:shd w:fill="1A2B4A"/>
          </w:tcPr>
          <w:p>
            <w:pPr>
              <w:spacing w:after="40" w:line="240" w:lineRule="auto"/>
            </w:pPr>
            <w:r/>
            <w:r>
              <w:rPr>
                <w:rFonts w:ascii="Garamond" w:hAnsi="Garamond"/>
                <w:b/>
                <w:color w:val="FFFFFF"/>
                <w:sz w:val="17"/>
              </w:rPr>
              <w:t>Eje</w:t>
            </w:r>
          </w:p>
        </w:tc>
        <w:tc>
          <w:tcPr>
            <w:tcW w:type="dxa" w:w="7272"/>
            <w:vAlign w:val="center"/>
            <w:shd w:fill="1A2B4A"/>
          </w:tcPr>
          <w:p>
            <w:pPr>
              <w:spacing w:after="40" w:line="240" w:lineRule="auto"/>
            </w:pPr>
            <w:r/>
            <w:r>
              <w:rPr>
                <w:rFonts w:ascii="Garamond" w:hAnsi="Garamond"/>
                <w:b/>
                <w:color w:val="FFFFFF"/>
                <w:sz w:val="17"/>
              </w:rPr>
              <w:t>Pregunta</w:t>
            </w:r>
          </w:p>
        </w:tc>
      </w:tr>
      <w:tr>
        <w:tc>
          <w:tcPr>
            <w:tcW w:type="dxa" w:w="2520"/>
            <w:vAlign w:val="center"/>
          </w:tcPr>
          <w:p>
            <w:pPr>
              <w:spacing w:after="40" w:line="240" w:lineRule="auto"/>
            </w:pPr>
            <w:r/>
            <w:r>
              <w:rPr>
                <w:rFonts w:ascii="Garamond" w:hAnsi="Garamond"/>
                <w:b w:val="0"/>
                <w:color w:val="222222"/>
                <w:sz w:val="17"/>
              </w:rPr>
              <w:t>Competencia</w:t>
            </w:r>
          </w:p>
        </w:tc>
        <w:tc>
          <w:tcPr>
            <w:tcW w:type="dxa" w:w="7272"/>
            <w:vAlign w:val="center"/>
          </w:tcPr>
          <w:p>
            <w:pPr>
              <w:spacing w:after="40" w:line="240" w:lineRule="auto"/>
            </w:pPr>
            <w:r/>
            <w:r>
              <w:rPr>
                <w:rFonts w:ascii="Garamond" w:hAnsi="Garamond"/>
                <w:b w:val="0"/>
                <w:color w:val="222222"/>
                <w:sz w:val="17"/>
              </w:rPr>
              <w:t>¿Quién podía decidir?</w:t>
            </w:r>
          </w:p>
        </w:tc>
      </w:tr>
      <w:tr>
        <w:tc>
          <w:tcPr>
            <w:tcW w:type="dxa" w:w="2520"/>
            <w:vAlign w:val="center"/>
            <w:shd w:fill="F7F8FA"/>
          </w:tcPr>
          <w:p>
            <w:pPr>
              <w:spacing w:after="40" w:line="240" w:lineRule="auto"/>
            </w:pPr>
            <w:r/>
            <w:r>
              <w:rPr>
                <w:rFonts w:ascii="Garamond" w:hAnsi="Garamond"/>
                <w:b w:val="0"/>
                <w:color w:val="222222"/>
                <w:sz w:val="17"/>
              </w:rPr>
              <w:t>Forma</w:t>
            </w:r>
          </w:p>
        </w:tc>
        <w:tc>
          <w:tcPr>
            <w:tcW w:type="dxa" w:w="7272"/>
            <w:vAlign w:val="center"/>
            <w:shd w:fill="F7F8FA"/>
          </w:tcPr>
          <w:p>
            <w:pPr>
              <w:spacing w:after="40" w:line="240" w:lineRule="auto"/>
            </w:pPr>
            <w:r/>
            <w:r>
              <w:rPr>
                <w:rFonts w:ascii="Garamond" w:hAnsi="Garamond"/>
                <w:b w:val="0"/>
                <w:color w:val="222222"/>
                <w:sz w:val="17"/>
              </w:rPr>
              <w:t>¿Cómo debía emitirse y notificarse?</w:t>
            </w:r>
          </w:p>
        </w:tc>
      </w:tr>
      <w:tr>
        <w:tc>
          <w:tcPr>
            <w:tcW w:type="dxa" w:w="2520"/>
            <w:vAlign w:val="center"/>
          </w:tcPr>
          <w:p>
            <w:pPr>
              <w:spacing w:after="40" w:line="240" w:lineRule="auto"/>
            </w:pPr>
            <w:r/>
            <w:r>
              <w:rPr>
                <w:rFonts w:ascii="Garamond" w:hAnsi="Garamond"/>
                <w:b w:val="0"/>
                <w:color w:val="222222"/>
                <w:sz w:val="17"/>
              </w:rPr>
              <w:t>Procedimiento</w:t>
            </w:r>
          </w:p>
        </w:tc>
        <w:tc>
          <w:tcPr>
            <w:tcW w:type="dxa" w:w="7272"/>
            <w:vAlign w:val="center"/>
          </w:tcPr>
          <w:p>
            <w:pPr>
              <w:spacing w:after="40" w:line="240" w:lineRule="auto"/>
            </w:pPr>
            <w:r/>
            <w:r>
              <w:rPr>
                <w:rFonts w:ascii="Garamond" w:hAnsi="Garamond"/>
                <w:b w:val="0"/>
                <w:color w:val="222222"/>
                <w:sz w:val="17"/>
              </w:rPr>
              <w:t>¿Qué etapas eran obligatorias?</w:t>
            </w:r>
          </w:p>
        </w:tc>
      </w:tr>
      <w:tr>
        <w:tc>
          <w:tcPr>
            <w:tcW w:type="dxa" w:w="2520"/>
            <w:vAlign w:val="center"/>
            <w:shd w:fill="F7F8FA"/>
          </w:tcPr>
          <w:p>
            <w:pPr>
              <w:spacing w:after="40" w:line="240" w:lineRule="auto"/>
            </w:pPr>
            <w:r/>
            <w:r>
              <w:rPr>
                <w:rFonts w:ascii="Garamond" w:hAnsi="Garamond"/>
                <w:b w:val="0"/>
                <w:color w:val="222222"/>
                <w:sz w:val="17"/>
              </w:rPr>
              <w:t>Hechos</w:t>
            </w:r>
          </w:p>
        </w:tc>
        <w:tc>
          <w:tcPr>
            <w:tcW w:type="dxa" w:w="7272"/>
            <w:vAlign w:val="center"/>
            <w:shd w:fill="F7F8FA"/>
          </w:tcPr>
          <w:p>
            <w:pPr>
              <w:spacing w:after="40" w:line="240" w:lineRule="auto"/>
            </w:pPr>
            <w:r/>
            <w:r>
              <w:rPr>
                <w:rFonts w:ascii="Garamond" w:hAnsi="Garamond"/>
                <w:b w:val="0"/>
                <w:color w:val="222222"/>
                <w:sz w:val="17"/>
              </w:rPr>
              <w:t>¿Qué hechos están realmente acreditados?</w:t>
            </w:r>
          </w:p>
        </w:tc>
      </w:tr>
      <w:tr>
        <w:tc>
          <w:tcPr>
            <w:tcW w:type="dxa" w:w="2520"/>
            <w:vAlign w:val="center"/>
          </w:tcPr>
          <w:p>
            <w:pPr>
              <w:spacing w:after="40" w:line="240" w:lineRule="auto"/>
            </w:pPr>
            <w:r/>
            <w:r>
              <w:rPr>
                <w:rFonts w:ascii="Garamond" w:hAnsi="Garamond"/>
                <w:b w:val="0"/>
                <w:color w:val="222222"/>
                <w:sz w:val="17"/>
              </w:rPr>
              <w:t>Norma sustantiva</w:t>
            </w:r>
          </w:p>
        </w:tc>
        <w:tc>
          <w:tcPr>
            <w:tcW w:type="dxa" w:w="7272"/>
            <w:vAlign w:val="center"/>
          </w:tcPr>
          <w:p>
            <w:pPr>
              <w:spacing w:after="40" w:line="240" w:lineRule="auto"/>
            </w:pPr>
            <w:r/>
            <w:r>
              <w:rPr>
                <w:rFonts w:ascii="Garamond" w:hAnsi="Garamond"/>
                <w:b w:val="0"/>
                <w:color w:val="222222"/>
                <w:sz w:val="17"/>
              </w:rPr>
              <w:t>¿La conducta encuadra en la obligación/infracción?</w:t>
            </w:r>
          </w:p>
        </w:tc>
      </w:tr>
      <w:tr>
        <w:tc>
          <w:tcPr>
            <w:tcW w:type="dxa" w:w="2520"/>
            <w:vAlign w:val="center"/>
            <w:shd w:fill="F7F8FA"/>
          </w:tcPr>
          <w:p>
            <w:pPr>
              <w:spacing w:after="40" w:line="240" w:lineRule="auto"/>
            </w:pPr>
            <w:r/>
            <w:r>
              <w:rPr>
                <w:rFonts w:ascii="Garamond" w:hAnsi="Garamond"/>
                <w:b w:val="0"/>
                <w:color w:val="222222"/>
                <w:sz w:val="17"/>
              </w:rPr>
              <w:t>Motivación</w:t>
            </w:r>
          </w:p>
        </w:tc>
        <w:tc>
          <w:tcPr>
            <w:tcW w:type="dxa" w:w="7272"/>
            <w:vAlign w:val="center"/>
            <w:shd w:fill="F7F8FA"/>
          </w:tcPr>
          <w:p>
            <w:pPr>
              <w:spacing w:after="40" w:line="240" w:lineRule="auto"/>
            </w:pPr>
            <w:r/>
            <w:r>
              <w:rPr>
                <w:rFonts w:ascii="Garamond" w:hAnsi="Garamond"/>
                <w:b w:val="0"/>
                <w:color w:val="222222"/>
                <w:sz w:val="17"/>
              </w:rPr>
              <w:t>¿La autoridad explicó la conexión norma-hecho?</w:t>
            </w:r>
          </w:p>
        </w:tc>
      </w:tr>
      <w:tr>
        <w:tc>
          <w:tcPr>
            <w:tcW w:type="dxa" w:w="2520"/>
            <w:vAlign w:val="center"/>
          </w:tcPr>
          <w:p>
            <w:pPr>
              <w:spacing w:after="40" w:line="240" w:lineRule="auto"/>
            </w:pPr>
            <w:r/>
            <w:r>
              <w:rPr>
                <w:rFonts w:ascii="Garamond" w:hAnsi="Garamond"/>
                <w:b w:val="0"/>
                <w:color w:val="222222"/>
                <w:sz w:val="17"/>
              </w:rPr>
              <w:t>Sanción/efecto</w:t>
            </w:r>
          </w:p>
        </w:tc>
        <w:tc>
          <w:tcPr>
            <w:tcW w:type="dxa" w:w="7272"/>
            <w:vAlign w:val="center"/>
          </w:tcPr>
          <w:p>
            <w:pPr>
              <w:spacing w:after="40" w:line="240" w:lineRule="auto"/>
            </w:pPr>
            <w:r/>
            <w:r>
              <w:rPr>
                <w:rFonts w:ascii="Garamond" w:hAnsi="Garamond"/>
                <w:b w:val="0"/>
                <w:color w:val="222222"/>
                <w:sz w:val="17"/>
              </w:rPr>
              <w:t>¿La consecuencia está prevista e individualizada?</w:t>
            </w:r>
          </w:p>
        </w:tc>
      </w:tr>
      <w:tr>
        <w:tc>
          <w:tcPr>
            <w:tcW w:type="dxa" w:w="2520"/>
            <w:vAlign w:val="center"/>
            <w:shd w:fill="F7F8FA"/>
          </w:tcPr>
          <w:p>
            <w:pPr>
              <w:spacing w:after="40" w:line="240" w:lineRule="auto"/>
            </w:pPr>
            <w:r/>
            <w:r>
              <w:rPr>
                <w:rFonts w:ascii="Garamond" w:hAnsi="Garamond"/>
                <w:b w:val="0"/>
                <w:color w:val="222222"/>
                <w:sz w:val="17"/>
              </w:rPr>
              <w:t>Ejecución</w:t>
            </w:r>
          </w:p>
        </w:tc>
        <w:tc>
          <w:tcPr>
            <w:tcW w:type="dxa" w:w="7272"/>
            <w:vAlign w:val="center"/>
            <w:shd w:fill="F7F8FA"/>
          </w:tcPr>
          <w:p>
            <w:pPr>
              <w:spacing w:after="40" w:line="240" w:lineRule="auto"/>
            </w:pPr>
            <w:r/>
            <w:r>
              <w:rPr>
                <w:rFonts w:ascii="Garamond" w:hAnsi="Garamond"/>
                <w:b w:val="0"/>
                <w:color w:val="222222"/>
                <w:sz w:val="17"/>
              </w:rPr>
              <w:t>¿La autoridad puede ejecutar ahora?</w:t>
            </w:r>
          </w:p>
        </w:tc>
      </w:tr>
      <w:tr>
        <w:tc>
          <w:tcPr>
            <w:tcW w:type="dxa" w:w="2520"/>
            <w:vAlign w:val="center"/>
          </w:tcPr>
          <w:p>
            <w:pPr>
              <w:spacing w:after="40" w:line="240" w:lineRule="auto"/>
            </w:pPr>
            <w:r/>
            <w:r>
              <w:rPr>
                <w:rFonts w:ascii="Garamond" w:hAnsi="Garamond"/>
                <w:b w:val="0"/>
                <w:color w:val="222222"/>
                <w:sz w:val="17"/>
              </w:rPr>
              <w:t>Vía</w:t>
            </w:r>
          </w:p>
        </w:tc>
        <w:tc>
          <w:tcPr>
            <w:tcW w:type="dxa" w:w="7272"/>
            <w:vAlign w:val="center"/>
          </w:tcPr>
          <w:p>
            <w:pPr>
              <w:spacing w:after="40" w:line="240" w:lineRule="auto"/>
            </w:pPr>
            <w:r/>
            <w:r>
              <w:rPr>
                <w:rFonts w:ascii="Garamond" w:hAnsi="Garamond"/>
                <w:b w:val="0"/>
                <w:color w:val="222222"/>
                <w:sz w:val="17"/>
              </w:rPr>
              <w:t>¿Cuál es el medio idóneo y cuál es el plazo?</w:t>
            </w:r>
          </w:p>
        </w:tc>
      </w:tr>
    </w:tbl>
    <w:p>
      <w:pPr>
        <w:spacing w:after="20"/>
      </w:pPr>
    </w:p>
    <w:p>
      <w:pPr>
        <w:pStyle w:val="Ttulo2"/>
      </w:pPr>
      <w:r>
        <w:t>17.3 Negociar o litigar</w:t>
      </w:r>
    </w:p>
    <w:p>
      <w:r>
        <w:t>La decisión debe basarse en el expediente y en los riesgos jurídicos, económicos y de tiempo. Negociar puede ser razonable cuando la ley permite terminación, reducción, convenio o regularización; litigar puede ser necesario cuando existe una afectación que requiere control jurisdiccional o cuando la autoridad pretende ejecutar un acto que se considera ilegal. El manual no sustituye el análisis económico del cliente.</w:t>
      </w:r>
    </w:p>
    <w:p>
      <w:pPr>
        <w:pStyle w:val="Ttulo2"/>
      </w:pPr>
      <w:r>
        <w:t>17.4 Control profesional del expediente</w:t>
      </w:r>
    </w:p>
    <w:p>
      <w:r>
        <w:t>• Una carpeta cronológica.</w:t>
      </w:r>
    </w:p>
    <w:p>
      <w:r>
        <w:t>• Una carpeta de pruebas.</w:t>
      </w:r>
    </w:p>
    <w:p>
      <w:r>
        <w:t>• Una hoja de plazos con fecha de notificación y fecha límite.</w:t>
      </w:r>
    </w:p>
    <w:p>
      <w:r>
        <w:t>• Una matriz de agravios/conceptos de impugnación.</w:t>
      </w:r>
    </w:p>
    <w:p>
      <w:r>
        <w:t>• Un índice del expediente administrativo.</w:t>
      </w:r>
    </w:p>
    <w:p>
      <w:r>
        <w:t>• Una versión editable y otra PDF firmada de cada promoción.</w:t>
      </w:r>
    </w:p>
    <w:p>
      <w:r>
        <w:t>• Acuse de recepción de cada escrito.</w:t>
      </w:r>
    </w:p>
    <w:p>
      <w:pPr>
        <w:pStyle w:val="Ttulo1"/>
      </w:pPr>
      <w:r>
        <w:t>18. MODELOS PRÁCTICOS DE ESCRITOS</w:t>
      </w:r>
    </w:p>
    <w:p>
      <w:pPr>
        <w:pStyle w:val="Ttulo2"/>
      </w:pPr>
      <w:r>
        <w:t>18.1 Modelo base de recurso de revisión LFPA</w:t>
      </w:r>
    </w:p>
    <w:p>
      <w:r>
        <w:t>C. [AUTORIDAD COMPETENTE].</w:t>
        <w:br/>
        <w:t>P R E S E N T E.</w:t>
        <w:br/>
        <w:br/>
        <w:t>[Nombre], por mi propio derecho / en representación de [persona], personalidad que acredito con [documento], señalando como domicilio [domicilio], y autorizando a [personas], comparezco para exponer:</w:t>
      </w:r>
    </w:p>
    <w:p>
      <w:r>
        <w:t>Que dentro del plazo legal interpongo RECURSO DE REVISIÓN en contra de [acto], notificado el [fecha], con fundamento en los artículos aplicables de la Ley Federal de Procedimiento Administrativo.</w:t>
      </w:r>
    </w:p>
    <w:p>
      <w:r>
        <w:t>I. ACTO IMPUGNADO. Identificación precisa del acto.</w:t>
        <w:br/>
        <w:t>II. OPORTUNIDAD. Fecha de notificación y cómputo.</w:t>
        <w:br/>
        <w:t>III. HECHOS. Cronología breve.</w:t>
        <w:br/>
        <w:t>IV. AGRAVIOS. Primero. [Acto + norma + contradicción + consecuencia]. Segundo. [ídem].</w:t>
        <w:br/>
        <w:t>V. PRUEBAS. Relación de cada prueba con el hecho que acredita.</w:t>
        <w:br/>
        <w:t>VI. SUSPENSIÓN. Solicitud y fundamentos, si procede.</w:t>
        <w:br/>
        <w:t>VII. PETICIONES. Admitir; reconocer personalidad; tener por ofrecidas las pruebas; conceder suspensión cuando proceda; y resolver dejando sin efectos/modificando el acto.</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Este modelo es una estructura de trabajo. Debe adaptarse al acto concreto y a la ley especial; no debe presentarse con artículos genéricos sin comprobar competencia y procedencia.</w:t>
            </w:r>
          </w:p>
        </w:tc>
      </w:tr>
    </w:tbl>
    <w:p>
      <w:pPr>
        <w:spacing w:after="20"/>
      </w:pPr>
    </w:p>
    <w:p>
      <w:pPr>
        <w:pStyle w:val="Ttulo2"/>
      </w:pPr>
      <w:r>
        <w:t>18.2 Modelo base de recurso de revocación fiscal</w:t>
      </w:r>
    </w:p>
    <w:p>
      <w:r>
        <w:t>C. AUTORIDAD FISCAL COMPETENTE.</w:t>
        <w:br/>
        <w:t>[Contribuyente], por conducto de [representante], comparezco y expongo: interpongo RECURSO DE REVOCACIÓN contra [resolución/acto], notificado el [fecha].</w:t>
      </w:r>
    </w:p>
    <w:p>
      <w:r>
        <w:t>ACTO IMPUGNADO. [Identificación].</w:t>
        <w:br/>
        <w:t>OPORTUNIDAD. [Cómputo].</w:t>
        <w:br/>
        <w:t>HECHOS. [Cronología].</w:t>
        <w:br/>
        <w:t>AGRAVIOS. [competencia / notificación / procedimiento / determinación / cálculo / prescripción, según corresponda].</w:t>
        <w:br/>
        <w:t>PRUEBAS. [documentales, pericial, etc.].</w:t>
        <w:br/>
        <w:t>PUNTOS PETITORIOS. [admisión, valoración, nulidad/modificación y demás efectos procedentes].</w:t>
      </w:r>
    </w:p>
    <w:p>
      <w:pPr>
        <w:pStyle w:val="Ttulo2"/>
      </w:pPr>
      <w:r>
        <w:t>18.3 Modelo base de demanda contenciosa</w:t>
      </w:r>
    </w:p>
    <w:p>
      <w:r>
        <w:t>I. Nombre y domicilio.</w:t>
        <w:br/>
        <w:t>II. Autoridades demandadas.</w:t>
        <w:br/>
        <w:t>III. Tercero interesado, cuando proceda.</w:t>
        <w:br/>
        <w:t>IV. Acto impugnado.</w:t>
        <w:br/>
        <w:t>V. Hechos.</w:t>
        <w:br/>
        <w:t>VI. Pruebas.</w:t>
        <w:br/>
        <w:t>VII. Conceptos de impugnación.</w:t>
        <w:br/>
        <w:t>VIII. Pretensión y efectos solicitados.</w:t>
        <w:br/>
        <w:t>IX. Medida cautelar/suspensión, si procede.</w:t>
        <w:br/>
        <w:t>X. Puntos petitorios.</w:t>
      </w:r>
    </w:p>
    <w:p>
      <w:pPr>
        <w:pStyle w:val="Ttulo2"/>
      </w:pPr>
      <w:r>
        <w:t>18.4 Modelo base de petición cautelar</w:t>
      </w:r>
    </w:p>
    <w:p>
      <w:r>
        <w:t>Se solicita la medida respecto de [acto], porque su ejecución produciría [riesgo concreto], haciendo [difícil/imposible] restituir la situación jurídica si la sentencia resulta favorable. La medida solicitada es [concreta], no prejuzga sobre el fondo y se propone bajo las condiciones y garantía que determine el órgano jurisdiccional conforme a la ley aplicable.</w:t>
      </w:r>
    </w:p>
    <w:p>
      <w:pPr>
        <w:pStyle w:val="Ttulo2"/>
      </w:pPr>
      <w:r>
        <w:t>18.5 Modelo base de alegatos</w:t>
      </w:r>
    </w:p>
    <w:p>
      <w:r>
        <w:t>PRIMERO. La controversia consiste en determinar si [pregunta jurídica].</w:t>
        <w:br/>
        <w:t>SEGUNDO. El expediente acredita [hechos], mediante [pruebas].</w:t>
        <w:br/>
        <w:t>TERCERO. La norma aplicable exige [regla].</w:t>
        <w:br/>
        <w:t>CUARTO. La autoridad no acreditó [punto], o su resolución incurre en [vicio].</w:t>
        <w:br/>
        <w:t>QUINTO. En consecuencia, procede [efecto jurídico].</w:t>
      </w:r>
    </w:p>
    <w:p>
      <w:pPr>
        <w:pStyle w:val="Ttulo1"/>
      </w:pPr>
      <w:r>
        <w:t>19. CHECKLISTS Y CONTROL DE PLAZOS</w:t>
      </w:r>
    </w:p>
    <w:p>
      <w:pPr>
        <w:pStyle w:val="Ttulo2"/>
      </w:pPr>
      <w:r>
        <w:t>19.1 Checklist de emergencia: recibí una resolución</w:t>
      </w:r>
    </w:p>
    <w:tbl>
      <w:tblPr>
        <w:tblW w:type="auto" w:w="0"/>
        <w:jc w:val="center"/>
        <w:tblLook w:firstColumn="1" w:firstRow="1" w:lastColumn="0" w:lastRow="0" w:noHBand="0" w:noVBand="1" w:val="04A0"/>
      </w:tblPr>
      <w:tblGrid>
        <w:gridCol w:w="4932"/>
        <w:gridCol w:w="4932"/>
      </w:tblGrid>
      <w:tr>
        <w:tc>
          <w:tcPr>
            <w:tcW w:type="dxa" w:w="6912"/>
            <w:vAlign w:val="center"/>
            <w:shd w:fill="1A2B4A"/>
          </w:tcPr>
          <w:p>
            <w:pPr>
              <w:spacing w:after="40" w:line="240" w:lineRule="auto"/>
            </w:pPr>
            <w:r/>
            <w:r>
              <w:rPr>
                <w:rFonts w:ascii="Garamond" w:hAnsi="Garamond"/>
                <w:b/>
                <w:color w:val="FFFFFF"/>
                <w:sz w:val="17"/>
              </w:rPr>
              <w:t>Paso</w:t>
            </w:r>
          </w:p>
        </w:tc>
        <w:tc>
          <w:tcPr>
            <w:tcW w:type="dxa" w:w="2304"/>
            <w:vAlign w:val="center"/>
            <w:shd w:fill="1A2B4A"/>
          </w:tcPr>
          <w:p>
            <w:pPr>
              <w:spacing w:after="40" w:line="240" w:lineRule="auto"/>
            </w:pPr>
            <w:r/>
            <w:r>
              <w:rPr>
                <w:rFonts w:ascii="Garamond" w:hAnsi="Garamond"/>
                <w:b/>
                <w:color w:val="FFFFFF"/>
                <w:sz w:val="17"/>
              </w:rPr>
              <w:t>Sí/No</w:t>
            </w:r>
          </w:p>
        </w:tc>
      </w:tr>
      <w:tr>
        <w:tc>
          <w:tcPr>
            <w:tcW w:type="dxa" w:w="6912"/>
            <w:vAlign w:val="center"/>
          </w:tcPr>
          <w:p>
            <w:pPr>
              <w:spacing w:after="40" w:line="240" w:lineRule="auto"/>
            </w:pPr>
            <w:r/>
            <w:r>
              <w:rPr>
                <w:rFonts w:ascii="Garamond" w:hAnsi="Garamond"/>
                <w:b w:val="0"/>
                <w:color w:val="222222"/>
                <w:sz w:val="17"/>
              </w:rPr>
              <w:t>¿Tengo el documento completo?</w:t>
            </w:r>
          </w:p>
        </w:tc>
        <w:tc>
          <w:tcPr>
            <w:tcW w:type="dxa" w:w="2304"/>
            <w:vAlign w:val="center"/>
          </w:tcPr>
          <w:p>
            <w:pPr>
              <w:spacing w:after="40" w:line="240" w:lineRule="auto"/>
            </w:pPr>
            <w:r/>
            <w:r>
              <w:rPr>
                <w:rFonts w:ascii="Garamond" w:hAnsi="Garamond"/>
                <w:b w:val="0"/>
                <w:color w:val="222222"/>
                <w:sz w:val="17"/>
              </w:rPr>
            </w:r>
          </w:p>
        </w:tc>
      </w:tr>
      <w:tr>
        <w:tc>
          <w:tcPr>
            <w:tcW w:type="dxa" w:w="6912"/>
            <w:vAlign w:val="center"/>
            <w:shd w:fill="F7F8FA"/>
          </w:tcPr>
          <w:p>
            <w:pPr>
              <w:spacing w:after="40" w:line="240" w:lineRule="auto"/>
            </w:pPr>
            <w:r/>
            <w:r>
              <w:rPr>
                <w:rFonts w:ascii="Garamond" w:hAnsi="Garamond"/>
                <w:b w:val="0"/>
                <w:color w:val="222222"/>
                <w:sz w:val="17"/>
              </w:rPr>
              <w:t>¿Sé quién lo emitió?</w:t>
            </w:r>
          </w:p>
        </w:tc>
        <w:tc>
          <w:tcPr>
            <w:tcW w:type="dxa" w:w="2304"/>
            <w:vAlign w:val="center"/>
            <w:shd w:fill="F7F8FA"/>
          </w:tcPr>
          <w:p>
            <w:pPr>
              <w:spacing w:after="40" w:line="240" w:lineRule="auto"/>
            </w:pPr>
            <w:r/>
            <w:r>
              <w:rPr>
                <w:rFonts w:ascii="Garamond" w:hAnsi="Garamond"/>
                <w:b w:val="0"/>
                <w:color w:val="222222"/>
                <w:sz w:val="17"/>
              </w:rPr>
            </w:r>
          </w:p>
        </w:tc>
      </w:tr>
      <w:tr>
        <w:tc>
          <w:tcPr>
            <w:tcW w:type="dxa" w:w="6912"/>
            <w:vAlign w:val="center"/>
          </w:tcPr>
          <w:p>
            <w:pPr>
              <w:spacing w:after="40" w:line="240" w:lineRule="auto"/>
            </w:pPr>
            <w:r/>
            <w:r>
              <w:rPr>
                <w:rFonts w:ascii="Garamond" w:hAnsi="Garamond"/>
                <w:b w:val="0"/>
                <w:color w:val="222222"/>
                <w:sz w:val="17"/>
              </w:rPr>
              <w:t>¿Sé qué norma le da competencia?</w:t>
            </w:r>
          </w:p>
        </w:tc>
        <w:tc>
          <w:tcPr>
            <w:tcW w:type="dxa" w:w="2304"/>
            <w:vAlign w:val="center"/>
          </w:tcPr>
          <w:p>
            <w:pPr>
              <w:spacing w:after="40" w:line="240" w:lineRule="auto"/>
            </w:pPr>
            <w:r/>
            <w:r>
              <w:rPr>
                <w:rFonts w:ascii="Garamond" w:hAnsi="Garamond"/>
                <w:b w:val="0"/>
                <w:color w:val="222222"/>
                <w:sz w:val="17"/>
              </w:rPr>
            </w:r>
          </w:p>
        </w:tc>
      </w:tr>
      <w:tr>
        <w:tc>
          <w:tcPr>
            <w:tcW w:type="dxa" w:w="6912"/>
            <w:vAlign w:val="center"/>
            <w:shd w:fill="F7F8FA"/>
          </w:tcPr>
          <w:p>
            <w:pPr>
              <w:spacing w:after="40" w:line="240" w:lineRule="auto"/>
            </w:pPr>
            <w:r/>
            <w:r>
              <w:rPr>
                <w:rFonts w:ascii="Garamond" w:hAnsi="Garamond"/>
                <w:b w:val="0"/>
                <w:color w:val="222222"/>
                <w:sz w:val="17"/>
              </w:rPr>
              <w:t>¿Tengo constancia de notificación?</w:t>
            </w:r>
          </w:p>
        </w:tc>
        <w:tc>
          <w:tcPr>
            <w:tcW w:type="dxa" w:w="2304"/>
            <w:vAlign w:val="center"/>
            <w:shd w:fill="F7F8FA"/>
          </w:tcPr>
          <w:p>
            <w:pPr>
              <w:spacing w:after="40" w:line="240" w:lineRule="auto"/>
            </w:pPr>
            <w:r/>
            <w:r>
              <w:rPr>
                <w:rFonts w:ascii="Garamond" w:hAnsi="Garamond"/>
                <w:b w:val="0"/>
                <w:color w:val="222222"/>
                <w:sz w:val="17"/>
              </w:rPr>
            </w:r>
          </w:p>
        </w:tc>
      </w:tr>
      <w:tr>
        <w:tc>
          <w:tcPr>
            <w:tcW w:type="dxa" w:w="6912"/>
            <w:vAlign w:val="center"/>
          </w:tcPr>
          <w:p>
            <w:pPr>
              <w:spacing w:after="40" w:line="240" w:lineRule="auto"/>
            </w:pPr>
            <w:r/>
            <w:r>
              <w:rPr>
                <w:rFonts w:ascii="Garamond" w:hAnsi="Garamond"/>
                <w:b w:val="0"/>
                <w:color w:val="222222"/>
                <w:sz w:val="17"/>
              </w:rPr>
              <w:t>¿Sé cuándo surtió efectos?</w:t>
            </w:r>
          </w:p>
        </w:tc>
        <w:tc>
          <w:tcPr>
            <w:tcW w:type="dxa" w:w="2304"/>
            <w:vAlign w:val="center"/>
          </w:tcPr>
          <w:p>
            <w:pPr>
              <w:spacing w:after="40" w:line="240" w:lineRule="auto"/>
            </w:pPr>
            <w:r/>
            <w:r>
              <w:rPr>
                <w:rFonts w:ascii="Garamond" w:hAnsi="Garamond"/>
                <w:b w:val="0"/>
                <w:color w:val="222222"/>
                <w:sz w:val="17"/>
              </w:rPr>
            </w:r>
          </w:p>
        </w:tc>
      </w:tr>
      <w:tr>
        <w:tc>
          <w:tcPr>
            <w:tcW w:type="dxa" w:w="6912"/>
            <w:vAlign w:val="center"/>
            <w:shd w:fill="F7F8FA"/>
          </w:tcPr>
          <w:p>
            <w:pPr>
              <w:spacing w:after="40" w:line="240" w:lineRule="auto"/>
            </w:pPr>
            <w:r/>
            <w:r>
              <w:rPr>
                <w:rFonts w:ascii="Garamond" w:hAnsi="Garamond"/>
                <w:b w:val="0"/>
                <w:color w:val="222222"/>
                <w:sz w:val="17"/>
              </w:rPr>
              <w:t>¿Identifiqué la vía de defensa?</w:t>
            </w:r>
          </w:p>
        </w:tc>
        <w:tc>
          <w:tcPr>
            <w:tcW w:type="dxa" w:w="2304"/>
            <w:vAlign w:val="center"/>
            <w:shd w:fill="F7F8FA"/>
          </w:tcPr>
          <w:p>
            <w:pPr>
              <w:spacing w:after="40" w:line="240" w:lineRule="auto"/>
            </w:pPr>
            <w:r/>
            <w:r>
              <w:rPr>
                <w:rFonts w:ascii="Garamond" w:hAnsi="Garamond"/>
                <w:b w:val="0"/>
                <w:color w:val="222222"/>
                <w:sz w:val="17"/>
              </w:rPr>
            </w:r>
          </w:p>
        </w:tc>
      </w:tr>
      <w:tr>
        <w:tc>
          <w:tcPr>
            <w:tcW w:type="dxa" w:w="6912"/>
            <w:vAlign w:val="center"/>
          </w:tcPr>
          <w:p>
            <w:pPr>
              <w:spacing w:after="40" w:line="240" w:lineRule="auto"/>
            </w:pPr>
            <w:r/>
            <w:r>
              <w:rPr>
                <w:rFonts w:ascii="Garamond" w:hAnsi="Garamond"/>
                <w:b w:val="0"/>
                <w:color w:val="222222"/>
                <w:sz w:val="17"/>
              </w:rPr>
              <w:t>¿Calculé el último día?</w:t>
            </w:r>
          </w:p>
        </w:tc>
        <w:tc>
          <w:tcPr>
            <w:tcW w:type="dxa" w:w="2304"/>
            <w:vAlign w:val="center"/>
          </w:tcPr>
          <w:p>
            <w:pPr>
              <w:spacing w:after="40" w:line="240" w:lineRule="auto"/>
            </w:pPr>
            <w:r/>
            <w:r>
              <w:rPr>
                <w:rFonts w:ascii="Garamond" w:hAnsi="Garamond"/>
                <w:b w:val="0"/>
                <w:color w:val="222222"/>
                <w:sz w:val="17"/>
              </w:rPr>
            </w:r>
          </w:p>
        </w:tc>
      </w:tr>
      <w:tr>
        <w:tc>
          <w:tcPr>
            <w:tcW w:type="dxa" w:w="6912"/>
            <w:vAlign w:val="center"/>
            <w:shd w:fill="F7F8FA"/>
          </w:tcPr>
          <w:p>
            <w:pPr>
              <w:spacing w:after="40" w:line="240" w:lineRule="auto"/>
            </w:pPr>
            <w:r/>
            <w:r>
              <w:rPr>
                <w:rFonts w:ascii="Garamond" w:hAnsi="Garamond"/>
                <w:b w:val="0"/>
                <w:color w:val="222222"/>
                <w:sz w:val="17"/>
              </w:rPr>
              <w:t>¿Revisé suspensión/medida cautelar?</w:t>
            </w:r>
          </w:p>
        </w:tc>
        <w:tc>
          <w:tcPr>
            <w:tcW w:type="dxa" w:w="2304"/>
            <w:vAlign w:val="center"/>
            <w:shd w:fill="F7F8FA"/>
          </w:tcPr>
          <w:p>
            <w:pPr>
              <w:spacing w:after="40" w:line="240" w:lineRule="auto"/>
            </w:pPr>
            <w:r/>
            <w:r>
              <w:rPr>
                <w:rFonts w:ascii="Garamond" w:hAnsi="Garamond"/>
                <w:b w:val="0"/>
                <w:color w:val="222222"/>
                <w:sz w:val="17"/>
              </w:rPr>
            </w:r>
          </w:p>
        </w:tc>
      </w:tr>
      <w:tr>
        <w:tc>
          <w:tcPr>
            <w:tcW w:type="dxa" w:w="6912"/>
            <w:vAlign w:val="center"/>
          </w:tcPr>
          <w:p>
            <w:pPr>
              <w:spacing w:after="40" w:line="240" w:lineRule="auto"/>
            </w:pPr>
            <w:r/>
            <w:r>
              <w:rPr>
                <w:rFonts w:ascii="Garamond" w:hAnsi="Garamond"/>
                <w:b w:val="0"/>
                <w:color w:val="222222"/>
                <w:sz w:val="17"/>
              </w:rPr>
              <w:t>¿Tengo personalidad acreditada?</w:t>
            </w:r>
          </w:p>
        </w:tc>
        <w:tc>
          <w:tcPr>
            <w:tcW w:type="dxa" w:w="2304"/>
            <w:vAlign w:val="center"/>
          </w:tcPr>
          <w:p>
            <w:pPr>
              <w:spacing w:after="40" w:line="240" w:lineRule="auto"/>
            </w:pPr>
            <w:r/>
            <w:r>
              <w:rPr>
                <w:rFonts w:ascii="Garamond" w:hAnsi="Garamond"/>
                <w:b w:val="0"/>
                <w:color w:val="222222"/>
                <w:sz w:val="17"/>
              </w:rPr>
            </w:r>
          </w:p>
        </w:tc>
      </w:tr>
      <w:tr>
        <w:tc>
          <w:tcPr>
            <w:tcW w:type="dxa" w:w="6912"/>
            <w:vAlign w:val="center"/>
            <w:shd w:fill="F7F8FA"/>
          </w:tcPr>
          <w:p>
            <w:pPr>
              <w:spacing w:after="40" w:line="240" w:lineRule="auto"/>
            </w:pPr>
            <w:r/>
            <w:r>
              <w:rPr>
                <w:rFonts w:ascii="Garamond" w:hAnsi="Garamond"/>
                <w:b w:val="0"/>
                <w:color w:val="222222"/>
                <w:sz w:val="17"/>
              </w:rPr>
              <w:t>¿Tengo las pruebas?</w:t>
            </w:r>
          </w:p>
        </w:tc>
        <w:tc>
          <w:tcPr>
            <w:tcW w:type="dxa" w:w="2304"/>
            <w:vAlign w:val="center"/>
            <w:shd w:fill="F7F8FA"/>
          </w:tcPr>
          <w:p>
            <w:pPr>
              <w:spacing w:after="40" w:line="240" w:lineRule="auto"/>
            </w:pPr>
            <w:r/>
            <w:r>
              <w:rPr>
                <w:rFonts w:ascii="Garamond" w:hAnsi="Garamond"/>
                <w:b w:val="0"/>
                <w:color w:val="222222"/>
                <w:sz w:val="17"/>
              </w:rPr>
            </w:r>
          </w:p>
        </w:tc>
      </w:tr>
      <w:tr>
        <w:tc>
          <w:tcPr>
            <w:tcW w:type="dxa" w:w="6912"/>
            <w:vAlign w:val="center"/>
          </w:tcPr>
          <w:p>
            <w:pPr>
              <w:spacing w:after="40" w:line="240" w:lineRule="auto"/>
            </w:pPr>
            <w:r/>
            <w:r>
              <w:rPr>
                <w:rFonts w:ascii="Garamond" w:hAnsi="Garamond"/>
                <w:b w:val="0"/>
                <w:color w:val="222222"/>
                <w:sz w:val="17"/>
              </w:rPr>
              <w:t>¿Existe un recurso o juicio previo?</w:t>
            </w:r>
          </w:p>
        </w:tc>
        <w:tc>
          <w:tcPr>
            <w:tcW w:type="dxa" w:w="2304"/>
            <w:vAlign w:val="center"/>
          </w:tcPr>
          <w:p>
            <w:pPr>
              <w:spacing w:after="40" w:line="240" w:lineRule="auto"/>
            </w:pPr>
            <w:r/>
            <w:r>
              <w:rPr>
                <w:rFonts w:ascii="Garamond" w:hAnsi="Garamond"/>
                <w:b w:val="0"/>
                <w:color w:val="222222"/>
                <w:sz w:val="17"/>
              </w:rPr>
            </w:r>
          </w:p>
        </w:tc>
      </w:tr>
    </w:tbl>
    <w:p>
      <w:pPr>
        <w:spacing w:after="20"/>
      </w:pPr>
    </w:p>
    <w:p>
      <w:pPr>
        <w:pStyle w:val="Ttulo2"/>
      </w:pPr>
      <w:r>
        <w:t>19.2 Control de plazos</w:t>
      </w:r>
    </w:p>
    <w:p>
      <w:r>
        <w:t>Registra siempre: fecha del acto; fecha de notificación; fecha en que surtió efectos; primer día del cómputo; días inhábiles; último día; medio de presentación; hora límite y acuse. En asuntos electrónicos agrega evidencia del sistema de presentación.</w:t>
      </w:r>
    </w:p>
    <w:p>
      <w:pPr>
        <w:pStyle w:val="Ttulo2"/>
      </w:pPr>
      <w:r>
        <w:t>19.3 Tabla rápida de plazos federales relevantes</w:t>
      </w:r>
    </w:p>
    <w:tbl>
      <w:tblPr>
        <w:tblW w:type="auto" w:w="0"/>
        <w:jc w:val="center"/>
        <w:tblLook w:firstColumn="1" w:firstRow="1" w:lastColumn="0" w:lastRow="0" w:noHBand="0" w:noVBand="1" w:val="04A0"/>
      </w:tblPr>
      <w:tblGrid>
        <w:gridCol w:w="3288"/>
        <w:gridCol w:w="3288"/>
        <w:gridCol w:w="3288"/>
      </w:tblGrid>
      <w:tr>
        <w:tc>
          <w:tcPr>
            <w:tcW w:type="dxa" w:w="3168"/>
            <w:vAlign w:val="center"/>
            <w:shd w:fill="1A2B4A"/>
          </w:tcPr>
          <w:p>
            <w:pPr>
              <w:spacing w:after="40" w:line="240" w:lineRule="auto"/>
            </w:pPr>
            <w:r/>
            <w:r>
              <w:rPr>
                <w:rFonts w:ascii="Garamond" w:hAnsi="Garamond"/>
                <w:b/>
                <w:color w:val="FFFFFF"/>
                <w:sz w:val="17"/>
              </w:rPr>
              <w:t>Medio / actuación</w:t>
            </w:r>
          </w:p>
        </w:tc>
        <w:tc>
          <w:tcPr>
            <w:tcW w:type="dxa" w:w="2232"/>
            <w:vAlign w:val="center"/>
            <w:shd w:fill="1A2B4A"/>
          </w:tcPr>
          <w:p>
            <w:pPr>
              <w:spacing w:after="40" w:line="240" w:lineRule="auto"/>
            </w:pPr>
            <w:r/>
            <w:r>
              <w:rPr>
                <w:rFonts w:ascii="Garamond" w:hAnsi="Garamond"/>
                <w:b/>
                <w:color w:val="FFFFFF"/>
                <w:sz w:val="17"/>
              </w:rPr>
              <w:t>Referencia</w:t>
            </w:r>
          </w:p>
        </w:tc>
        <w:tc>
          <w:tcPr>
            <w:tcW w:type="dxa" w:w="3816"/>
            <w:vAlign w:val="center"/>
            <w:shd w:fill="1A2B4A"/>
          </w:tcPr>
          <w:p>
            <w:pPr>
              <w:spacing w:after="40" w:line="240" w:lineRule="auto"/>
            </w:pPr>
            <w:r/>
            <w:r>
              <w:rPr>
                <w:rFonts w:ascii="Garamond" w:hAnsi="Garamond"/>
                <w:b/>
                <w:color w:val="FFFFFF"/>
                <w:sz w:val="17"/>
              </w:rPr>
              <w:t>Plazo general</w:t>
            </w:r>
          </w:p>
        </w:tc>
      </w:tr>
      <w:tr>
        <w:tc>
          <w:tcPr>
            <w:tcW w:type="dxa" w:w="3168"/>
            <w:vAlign w:val="center"/>
          </w:tcPr>
          <w:p>
            <w:pPr>
              <w:spacing w:after="40" w:line="240" w:lineRule="auto"/>
            </w:pPr>
            <w:r/>
            <w:r>
              <w:rPr>
                <w:rFonts w:ascii="Garamond" w:hAnsi="Garamond"/>
                <w:b w:val="0"/>
                <w:color w:val="222222"/>
                <w:sz w:val="17"/>
              </w:rPr>
              <w:t>Recurso de revisión LFPA</w:t>
            </w:r>
          </w:p>
        </w:tc>
        <w:tc>
          <w:tcPr>
            <w:tcW w:type="dxa" w:w="2232"/>
            <w:vAlign w:val="center"/>
          </w:tcPr>
          <w:p>
            <w:pPr>
              <w:spacing w:after="40" w:line="240" w:lineRule="auto"/>
            </w:pPr>
            <w:r/>
            <w:r>
              <w:rPr>
                <w:rFonts w:ascii="Garamond" w:hAnsi="Garamond"/>
                <w:b w:val="0"/>
                <w:color w:val="222222"/>
                <w:sz w:val="17"/>
              </w:rPr>
              <w:t>LFPA art. 85</w:t>
            </w:r>
          </w:p>
        </w:tc>
        <w:tc>
          <w:tcPr>
            <w:tcW w:type="dxa" w:w="3816"/>
            <w:vAlign w:val="center"/>
          </w:tcPr>
          <w:p>
            <w:pPr>
              <w:spacing w:after="40" w:line="240" w:lineRule="auto"/>
            </w:pPr>
            <w:r/>
            <w:r>
              <w:rPr>
                <w:rFonts w:ascii="Garamond" w:hAnsi="Garamond"/>
                <w:b w:val="0"/>
                <w:color w:val="222222"/>
                <w:sz w:val="17"/>
              </w:rPr>
              <w:t>15 días desde el día siguiente a que surte efectos la notificación.</w:t>
            </w:r>
          </w:p>
        </w:tc>
      </w:tr>
      <w:tr>
        <w:tc>
          <w:tcPr>
            <w:tcW w:type="dxa" w:w="3168"/>
            <w:vAlign w:val="center"/>
            <w:shd w:fill="F7F8FA"/>
          </w:tcPr>
          <w:p>
            <w:pPr>
              <w:spacing w:after="40" w:line="240" w:lineRule="auto"/>
            </w:pPr>
            <w:r/>
            <w:r>
              <w:rPr>
                <w:rFonts w:ascii="Garamond" w:hAnsi="Garamond"/>
                <w:b w:val="0"/>
                <w:color w:val="222222"/>
                <w:sz w:val="17"/>
              </w:rPr>
              <w:t>Recurso de revocación fiscal</w:t>
            </w:r>
          </w:p>
        </w:tc>
        <w:tc>
          <w:tcPr>
            <w:tcW w:type="dxa" w:w="2232"/>
            <w:vAlign w:val="center"/>
            <w:shd w:fill="F7F8FA"/>
          </w:tcPr>
          <w:p>
            <w:pPr>
              <w:spacing w:after="40" w:line="240" w:lineRule="auto"/>
            </w:pPr>
            <w:r/>
            <w:r>
              <w:rPr>
                <w:rFonts w:ascii="Garamond" w:hAnsi="Garamond"/>
                <w:b w:val="0"/>
                <w:color w:val="222222"/>
                <w:sz w:val="17"/>
              </w:rPr>
              <w:t>CFF art. 121</w:t>
            </w:r>
          </w:p>
        </w:tc>
        <w:tc>
          <w:tcPr>
            <w:tcW w:type="dxa" w:w="3816"/>
            <w:vAlign w:val="center"/>
            <w:shd w:fill="F7F8FA"/>
          </w:tcPr>
          <w:p>
            <w:pPr>
              <w:spacing w:after="40" w:line="240" w:lineRule="auto"/>
            </w:pPr>
            <w:r/>
            <w:r>
              <w:rPr>
                <w:rFonts w:ascii="Garamond" w:hAnsi="Garamond"/>
                <w:b w:val="0"/>
                <w:color w:val="222222"/>
                <w:sz w:val="17"/>
              </w:rPr>
              <w:t>30 días desde que surte efectos la notificación, salvo excepciones.</w:t>
            </w:r>
          </w:p>
        </w:tc>
      </w:tr>
      <w:tr>
        <w:tc>
          <w:tcPr>
            <w:tcW w:type="dxa" w:w="3168"/>
            <w:vAlign w:val="center"/>
          </w:tcPr>
          <w:p>
            <w:pPr>
              <w:spacing w:after="40" w:line="240" w:lineRule="auto"/>
            </w:pPr>
            <w:r/>
            <w:r>
              <w:rPr>
                <w:rFonts w:ascii="Garamond" w:hAnsi="Garamond"/>
                <w:b w:val="0"/>
                <w:color w:val="222222"/>
                <w:sz w:val="17"/>
              </w:rPr>
              <w:t>Demanda contenciosa federal</w:t>
            </w:r>
          </w:p>
        </w:tc>
        <w:tc>
          <w:tcPr>
            <w:tcW w:type="dxa" w:w="2232"/>
            <w:vAlign w:val="center"/>
          </w:tcPr>
          <w:p>
            <w:pPr>
              <w:spacing w:after="40" w:line="240" w:lineRule="auto"/>
            </w:pPr>
            <w:r/>
            <w:r>
              <w:rPr>
                <w:rFonts w:ascii="Garamond" w:hAnsi="Garamond"/>
                <w:b w:val="0"/>
                <w:color w:val="222222"/>
                <w:sz w:val="17"/>
              </w:rPr>
              <w:t>LFPCA art. 13</w:t>
            </w:r>
          </w:p>
        </w:tc>
        <w:tc>
          <w:tcPr>
            <w:tcW w:type="dxa" w:w="3816"/>
            <w:vAlign w:val="center"/>
          </w:tcPr>
          <w:p>
            <w:pPr>
              <w:spacing w:after="40" w:line="240" w:lineRule="auto"/>
            </w:pPr>
            <w:r/>
            <w:r>
              <w:rPr>
                <w:rFonts w:ascii="Garamond" w:hAnsi="Garamond"/>
                <w:b w:val="0"/>
                <w:color w:val="222222"/>
                <w:sz w:val="17"/>
              </w:rPr>
              <w:t>30 días en el supuesto general.</w:t>
            </w:r>
          </w:p>
        </w:tc>
      </w:tr>
      <w:tr>
        <w:tc>
          <w:tcPr>
            <w:tcW w:type="dxa" w:w="3168"/>
            <w:vAlign w:val="center"/>
            <w:shd w:fill="F7F8FA"/>
          </w:tcPr>
          <w:p>
            <w:pPr>
              <w:spacing w:after="40" w:line="240" w:lineRule="auto"/>
            </w:pPr>
            <w:r/>
            <w:r>
              <w:rPr>
                <w:rFonts w:ascii="Garamond" w:hAnsi="Garamond"/>
                <w:b w:val="0"/>
                <w:color w:val="222222"/>
                <w:sz w:val="17"/>
              </w:rPr>
              <w:t>Sanciones LFPA</w:t>
            </w:r>
          </w:p>
        </w:tc>
        <w:tc>
          <w:tcPr>
            <w:tcW w:type="dxa" w:w="2232"/>
            <w:vAlign w:val="center"/>
            <w:shd w:fill="F7F8FA"/>
          </w:tcPr>
          <w:p>
            <w:pPr>
              <w:spacing w:after="40" w:line="240" w:lineRule="auto"/>
            </w:pPr>
            <w:r/>
            <w:r>
              <w:rPr>
                <w:rFonts w:ascii="Garamond" w:hAnsi="Garamond"/>
                <w:b w:val="0"/>
                <w:color w:val="222222"/>
                <w:sz w:val="17"/>
              </w:rPr>
              <w:t>LFPA art. 79</w:t>
            </w:r>
          </w:p>
        </w:tc>
        <w:tc>
          <w:tcPr>
            <w:tcW w:type="dxa" w:w="3816"/>
            <w:vAlign w:val="center"/>
            <w:shd w:fill="F7F8FA"/>
          </w:tcPr>
          <w:p>
            <w:pPr>
              <w:spacing w:after="40" w:line="240" w:lineRule="auto"/>
            </w:pPr>
            <w:r/>
            <w:r>
              <w:rPr>
                <w:rFonts w:ascii="Garamond" w:hAnsi="Garamond"/>
                <w:b w:val="0"/>
                <w:color w:val="222222"/>
                <w:sz w:val="17"/>
              </w:rPr>
              <w:t>Prescripción general de 5 años, salvo ley especial.</w:t>
            </w:r>
          </w:p>
        </w:tc>
      </w:tr>
      <w:tr>
        <w:tc>
          <w:tcPr>
            <w:tcW w:type="dxa" w:w="3168"/>
            <w:vAlign w:val="center"/>
          </w:tcPr>
          <w:p>
            <w:pPr>
              <w:spacing w:after="40" w:line="240" w:lineRule="auto"/>
            </w:pPr>
            <w:r/>
            <w:r>
              <w:rPr>
                <w:rFonts w:ascii="Garamond" w:hAnsi="Garamond"/>
                <w:b w:val="0"/>
                <w:color w:val="222222"/>
                <w:sz w:val="17"/>
              </w:rPr>
              <w:t>Facultades fiscales</w:t>
            </w:r>
          </w:p>
        </w:tc>
        <w:tc>
          <w:tcPr>
            <w:tcW w:type="dxa" w:w="2232"/>
            <w:vAlign w:val="center"/>
          </w:tcPr>
          <w:p>
            <w:pPr>
              <w:spacing w:after="40" w:line="240" w:lineRule="auto"/>
            </w:pPr>
            <w:r/>
            <w:r>
              <w:rPr>
                <w:rFonts w:ascii="Garamond" w:hAnsi="Garamond"/>
                <w:b w:val="0"/>
                <w:color w:val="222222"/>
                <w:sz w:val="17"/>
              </w:rPr>
              <w:t>CFF art. 67</w:t>
            </w:r>
          </w:p>
        </w:tc>
        <w:tc>
          <w:tcPr>
            <w:tcW w:type="dxa" w:w="3816"/>
            <w:vAlign w:val="center"/>
          </w:tcPr>
          <w:p>
            <w:pPr>
              <w:spacing w:after="40" w:line="240" w:lineRule="auto"/>
            </w:pPr>
            <w:r/>
            <w:r>
              <w:rPr>
                <w:rFonts w:ascii="Garamond" w:hAnsi="Garamond"/>
                <w:b w:val="0"/>
                <w:color w:val="222222"/>
                <w:sz w:val="17"/>
              </w:rPr>
              <w:t>Reglas generales de extinción de facultades en 5 años, con excepciones.</w:t>
            </w:r>
          </w:p>
        </w:tc>
      </w:tr>
      <w:tr>
        <w:tc>
          <w:tcPr>
            <w:tcW w:type="dxa" w:w="3168"/>
            <w:vAlign w:val="center"/>
            <w:shd w:fill="F7F8FA"/>
          </w:tcPr>
          <w:p>
            <w:pPr>
              <w:spacing w:after="40" w:line="240" w:lineRule="auto"/>
            </w:pPr>
            <w:r/>
            <w:r>
              <w:rPr>
                <w:rFonts w:ascii="Garamond" w:hAnsi="Garamond"/>
                <w:b w:val="0"/>
                <w:color w:val="222222"/>
                <w:sz w:val="17"/>
              </w:rPr>
              <w:t>Crédito fiscal</w:t>
            </w:r>
          </w:p>
        </w:tc>
        <w:tc>
          <w:tcPr>
            <w:tcW w:type="dxa" w:w="2232"/>
            <w:vAlign w:val="center"/>
            <w:shd w:fill="F7F8FA"/>
          </w:tcPr>
          <w:p>
            <w:pPr>
              <w:spacing w:after="40" w:line="240" w:lineRule="auto"/>
            </w:pPr>
            <w:r/>
            <w:r>
              <w:rPr>
                <w:rFonts w:ascii="Garamond" w:hAnsi="Garamond"/>
                <w:b w:val="0"/>
                <w:color w:val="222222"/>
                <w:sz w:val="17"/>
              </w:rPr>
              <w:t>CFF art. 146</w:t>
            </w:r>
          </w:p>
        </w:tc>
        <w:tc>
          <w:tcPr>
            <w:tcW w:type="dxa" w:w="3816"/>
            <w:vAlign w:val="center"/>
            <w:shd w:fill="F7F8FA"/>
          </w:tcPr>
          <w:p>
            <w:pPr>
              <w:spacing w:after="40" w:line="240" w:lineRule="auto"/>
            </w:pPr>
            <w:r/>
            <w:r>
              <w:rPr>
                <w:rFonts w:ascii="Garamond" w:hAnsi="Garamond"/>
                <w:b w:val="0"/>
                <w:color w:val="222222"/>
                <w:sz w:val="17"/>
              </w:rPr>
              <w:t>Prescripción general de 5 años, con reglas de interrupción/suspensión.</w:t>
            </w:r>
          </w:p>
        </w:tc>
      </w:tr>
    </w:tbl>
    <w:p>
      <w:pPr>
        <w:spacing w:after="20"/>
      </w:pP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Los plazos de esta tabla son orientativos y no sustituyen el cómputo del expediente. En materia fiscal y contenciosa existen excepciones, actos con reglas especiales y reformas recientes.</w:t>
            </w:r>
          </w:p>
        </w:tc>
      </w:tr>
    </w:tbl>
    <w:p>
      <w:pPr>
        <w:spacing w:after="20"/>
      </w:pPr>
    </w:p>
    <w:p>
      <w:pPr>
        <w:pStyle w:val="Ttulo1"/>
      </w:pPr>
      <w:r>
        <w:t>20. CUADROS COMPARATIVOS Y RUTAS RÁPIDAS</w:t>
      </w:r>
    </w:p>
    <w:p>
      <w:pPr>
        <w:pStyle w:val="Ttulo2"/>
      </w:pPr>
      <w:r>
        <w:t>20.1 Revisión administrativa vs. revocación fiscal vs. contencioso</w:t>
      </w:r>
    </w:p>
    <w:tbl>
      <w:tblPr>
        <w:tblW w:type="auto" w:w="0"/>
        <w:jc w:val="center"/>
        <w:tblLook w:firstColumn="1" w:firstRow="1" w:lastColumn="0" w:lastRow="0" w:noHBand="0" w:noVBand="1" w:val="04A0"/>
      </w:tblPr>
      <w:tblGrid>
        <w:gridCol w:w="2466"/>
        <w:gridCol w:w="2466"/>
        <w:gridCol w:w="2466"/>
        <w:gridCol w:w="2466"/>
      </w:tblGrid>
      <w:tr>
        <w:tc>
          <w:tcPr>
            <w:tcW w:type="dxa" w:w="2016"/>
            <w:vAlign w:val="center"/>
            <w:shd w:fill="1A2B4A"/>
          </w:tcPr>
          <w:p>
            <w:pPr>
              <w:spacing w:after="40" w:line="240" w:lineRule="auto"/>
            </w:pPr>
            <w:r/>
            <w:r>
              <w:rPr>
                <w:rFonts w:ascii="Garamond" w:hAnsi="Garamond"/>
                <w:b/>
                <w:color w:val="FFFFFF"/>
                <w:sz w:val="16"/>
              </w:rPr>
              <w:t>Característica</w:t>
            </w:r>
          </w:p>
        </w:tc>
        <w:tc>
          <w:tcPr>
            <w:tcW w:type="dxa" w:w="2520"/>
            <w:vAlign w:val="center"/>
            <w:shd w:fill="1A2B4A"/>
          </w:tcPr>
          <w:p>
            <w:pPr>
              <w:spacing w:after="40" w:line="240" w:lineRule="auto"/>
            </w:pPr>
            <w:r/>
            <w:r>
              <w:rPr>
                <w:rFonts w:ascii="Garamond" w:hAnsi="Garamond"/>
                <w:b/>
                <w:color w:val="FFFFFF"/>
                <w:sz w:val="16"/>
              </w:rPr>
              <w:t>Revisión LFPA</w:t>
            </w:r>
          </w:p>
        </w:tc>
        <w:tc>
          <w:tcPr>
            <w:tcW w:type="dxa" w:w="2520"/>
            <w:vAlign w:val="center"/>
            <w:shd w:fill="1A2B4A"/>
          </w:tcPr>
          <w:p>
            <w:pPr>
              <w:spacing w:after="40" w:line="240" w:lineRule="auto"/>
            </w:pPr>
            <w:r/>
            <w:r>
              <w:rPr>
                <w:rFonts w:ascii="Garamond" w:hAnsi="Garamond"/>
                <w:b/>
                <w:color w:val="FFFFFF"/>
                <w:sz w:val="16"/>
              </w:rPr>
              <w:t>Revocación CFF</w:t>
            </w:r>
          </w:p>
        </w:tc>
        <w:tc>
          <w:tcPr>
            <w:tcW w:type="dxa" w:w="2520"/>
            <w:vAlign w:val="center"/>
            <w:shd w:fill="1A2B4A"/>
          </w:tcPr>
          <w:p>
            <w:pPr>
              <w:spacing w:after="40" w:line="240" w:lineRule="auto"/>
            </w:pPr>
            <w:r/>
            <w:r>
              <w:rPr>
                <w:rFonts w:ascii="Garamond" w:hAnsi="Garamond"/>
                <w:b/>
                <w:color w:val="FFFFFF"/>
                <w:sz w:val="16"/>
              </w:rPr>
              <w:t>Contencioso federal</w:t>
            </w:r>
          </w:p>
        </w:tc>
      </w:tr>
      <w:tr>
        <w:tc>
          <w:tcPr>
            <w:tcW w:type="dxa" w:w="2016"/>
            <w:vAlign w:val="center"/>
          </w:tcPr>
          <w:p>
            <w:pPr>
              <w:spacing w:after="40" w:line="240" w:lineRule="auto"/>
            </w:pPr>
            <w:r/>
            <w:r>
              <w:rPr>
                <w:rFonts w:ascii="Garamond" w:hAnsi="Garamond"/>
                <w:b w:val="0"/>
                <w:color w:val="222222"/>
                <w:sz w:val="16"/>
              </w:rPr>
              <w:t>Naturaleza</w:t>
            </w:r>
          </w:p>
        </w:tc>
        <w:tc>
          <w:tcPr>
            <w:tcW w:type="dxa" w:w="2520"/>
            <w:vAlign w:val="center"/>
          </w:tcPr>
          <w:p>
            <w:pPr>
              <w:spacing w:after="40" w:line="240" w:lineRule="auto"/>
            </w:pPr>
            <w:r/>
            <w:r>
              <w:rPr>
                <w:rFonts w:ascii="Garamond" w:hAnsi="Garamond"/>
                <w:b w:val="0"/>
                <w:color w:val="222222"/>
                <w:sz w:val="16"/>
              </w:rPr>
              <w:t>Administrativa</w:t>
            </w:r>
          </w:p>
        </w:tc>
        <w:tc>
          <w:tcPr>
            <w:tcW w:type="dxa" w:w="2520"/>
            <w:vAlign w:val="center"/>
          </w:tcPr>
          <w:p>
            <w:pPr>
              <w:spacing w:after="40" w:line="240" w:lineRule="auto"/>
            </w:pPr>
            <w:r/>
            <w:r>
              <w:rPr>
                <w:rFonts w:ascii="Garamond" w:hAnsi="Garamond"/>
                <w:b w:val="0"/>
                <w:color w:val="222222"/>
                <w:sz w:val="16"/>
              </w:rPr>
              <w:t>Administrativa fiscal</w:t>
            </w:r>
          </w:p>
        </w:tc>
        <w:tc>
          <w:tcPr>
            <w:tcW w:type="dxa" w:w="2520"/>
            <w:vAlign w:val="center"/>
          </w:tcPr>
          <w:p>
            <w:pPr>
              <w:spacing w:after="40" w:line="240" w:lineRule="auto"/>
            </w:pPr>
            <w:r/>
            <w:r>
              <w:rPr>
                <w:rFonts w:ascii="Garamond" w:hAnsi="Garamond"/>
                <w:b w:val="0"/>
                <w:color w:val="222222"/>
                <w:sz w:val="16"/>
              </w:rPr>
              <w:t>Jurisdiccional</w:t>
            </w:r>
          </w:p>
        </w:tc>
      </w:tr>
      <w:tr>
        <w:tc>
          <w:tcPr>
            <w:tcW w:type="dxa" w:w="2016"/>
            <w:vAlign w:val="center"/>
            <w:shd w:fill="F7F8FA"/>
          </w:tcPr>
          <w:p>
            <w:pPr>
              <w:spacing w:after="40" w:line="240" w:lineRule="auto"/>
            </w:pPr>
            <w:r/>
            <w:r>
              <w:rPr>
                <w:rFonts w:ascii="Garamond" w:hAnsi="Garamond"/>
                <w:b w:val="0"/>
                <w:color w:val="222222"/>
                <w:sz w:val="16"/>
              </w:rPr>
              <w:t>Autoridad</w:t>
            </w:r>
          </w:p>
        </w:tc>
        <w:tc>
          <w:tcPr>
            <w:tcW w:type="dxa" w:w="2520"/>
            <w:vAlign w:val="center"/>
            <w:shd w:fill="F7F8FA"/>
          </w:tcPr>
          <w:p>
            <w:pPr>
              <w:spacing w:after="40" w:line="240" w:lineRule="auto"/>
            </w:pPr>
            <w:r/>
            <w:r>
              <w:rPr>
                <w:rFonts w:ascii="Garamond" w:hAnsi="Garamond"/>
                <w:b w:val="0"/>
                <w:color w:val="222222"/>
                <w:sz w:val="16"/>
              </w:rPr>
              <w:t>Órgano administrativo/superior</w:t>
            </w:r>
          </w:p>
        </w:tc>
        <w:tc>
          <w:tcPr>
            <w:tcW w:type="dxa" w:w="2520"/>
            <w:vAlign w:val="center"/>
            <w:shd w:fill="F7F8FA"/>
          </w:tcPr>
          <w:p>
            <w:pPr>
              <w:spacing w:after="40" w:line="240" w:lineRule="auto"/>
            </w:pPr>
            <w:r/>
            <w:r>
              <w:rPr>
                <w:rFonts w:ascii="Garamond" w:hAnsi="Garamond"/>
                <w:b w:val="0"/>
                <w:color w:val="222222"/>
                <w:sz w:val="16"/>
              </w:rPr>
              <w:t>Autoridad fiscal</w:t>
            </w:r>
          </w:p>
        </w:tc>
        <w:tc>
          <w:tcPr>
            <w:tcW w:type="dxa" w:w="2520"/>
            <w:vAlign w:val="center"/>
            <w:shd w:fill="F7F8FA"/>
          </w:tcPr>
          <w:p>
            <w:pPr>
              <w:spacing w:after="40" w:line="240" w:lineRule="auto"/>
            </w:pPr>
            <w:r/>
            <w:r>
              <w:rPr>
                <w:rFonts w:ascii="Garamond" w:hAnsi="Garamond"/>
                <w:b w:val="0"/>
                <w:color w:val="222222"/>
                <w:sz w:val="16"/>
              </w:rPr>
              <w:t>TFJA</w:t>
            </w:r>
          </w:p>
        </w:tc>
      </w:tr>
      <w:tr>
        <w:tc>
          <w:tcPr>
            <w:tcW w:type="dxa" w:w="2016"/>
            <w:vAlign w:val="center"/>
          </w:tcPr>
          <w:p>
            <w:pPr>
              <w:spacing w:after="40" w:line="240" w:lineRule="auto"/>
            </w:pPr>
            <w:r/>
            <w:r>
              <w:rPr>
                <w:rFonts w:ascii="Garamond" w:hAnsi="Garamond"/>
                <w:b w:val="0"/>
                <w:color w:val="222222"/>
                <w:sz w:val="16"/>
              </w:rPr>
              <w:t>Plazo general</w:t>
            </w:r>
          </w:p>
        </w:tc>
        <w:tc>
          <w:tcPr>
            <w:tcW w:type="dxa" w:w="2520"/>
            <w:vAlign w:val="center"/>
          </w:tcPr>
          <w:p>
            <w:pPr>
              <w:spacing w:after="40" w:line="240" w:lineRule="auto"/>
            </w:pPr>
            <w:r/>
            <w:r>
              <w:rPr>
                <w:rFonts w:ascii="Garamond" w:hAnsi="Garamond"/>
                <w:b w:val="0"/>
                <w:color w:val="222222"/>
                <w:sz w:val="16"/>
              </w:rPr>
              <w:t>15 días</w:t>
            </w:r>
          </w:p>
        </w:tc>
        <w:tc>
          <w:tcPr>
            <w:tcW w:type="dxa" w:w="2520"/>
            <w:vAlign w:val="center"/>
          </w:tcPr>
          <w:p>
            <w:pPr>
              <w:spacing w:after="40" w:line="240" w:lineRule="auto"/>
            </w:pPr>
            <w:r/>
            <w:r>
              <w:rPr>
                <w:rFonts w:ascii="Garamond" w:hAnsi="Garamond"/>
                <w:b w:val="0"/>
                <w:color w:val="222222"/>
                <w:sz w:val="16"/>
              </w:rPr>
              <w:t>30 días</w:t>
            </w:r>
          </w:p>
        </w:tc>
        <w:tc>
          <w:tcPr>
            <w:tcW w:type="dxa" w:w="2520"/>
            <w:vAlign w:val="center"/>
          </w:tcPr>
          <w:p>
            <w:pPr>
              <w:spacing w:after="40" w:line="240" w:lineRule="auto"/>
            </w:pPr>
            <w:r/>
            <w:r>
              <w:rPr>
                <w:rFonts w:ascii="Garamond" w:hAnsi="Garamond"/>
                <w:b w:val="0"/>
                <w:color w:val="222222"/>
                <w:sz w:val="16"/>
              </w:rPr>
              <w:t>30 días</w:t>
            </w:r>
          </w:p>
        </w:tc>
      </w:tr>
      <w:tr>
        <w:tc>
          <w:tcPr>
            <w:tcW w:type="dxa" w:w="2016"/>
            <w:vAlign w:val="center"/>
            <w:shd w:fill="F7F8FA"/>
          </w:tcPr>
          <w:p>
            <w:pPr>
              <w:spacing w:after="40" w:line="240" w:lineRule="auto"/>
            </w:pPr>
            <w:r/>
            <w:r>
              <w:rPr>
                <w:rFonts w:ascii="Garamond" w:hAnsi="Garamond"/>
                <w:b w:val="0"/>
                <w:color w:val="222222"/>
                <w:sz w:val="16"/>
              </w:rPr>
              <w:t>Objeto</w:t>
            </w:r>
          </w:p>
        </w:tc>
        <w:tc>
          <w:tcPr>
            <w:tcW w:type="dxa" w:w="2520"/>
            <w:vAlign w:val="center"/>
            <w:shd w:fill="F7F8FA"/>
          </w:tcPr>
          <w:p>
            <w:pPr>
              <w:spacing w:after="40" w:line="240" w:lineRule="auto"/>
            </w:pPr>
            <w:r/>
            <w:r>
              <w:rPr>
                <w:rFonts w:ascii="Garamond" w:hAnsi="Garamond"/>
                <w:b w:val="0"/>
                <w:color w:val="222222"/>
                <w:sz w:val="16"/>
              </w:rPr>
              <w:t>Actos finales dentro de LFPA</w:t>
            </w:r>
          </w:p>
        </w:tc>
        <w:tc>
          <w:tcPr>
            <w:tcW w:type="dxa" w:w="2520"/>
            <w:vAlign w:val="center"/>
            <w:shd w:fill="F7F8FA"/>
          </w:tcPr>
          <w:p>
            <w:pPr>
              <w:spacing w:after="40" w:line="240" w:lineRule="auto"/>
            </w:pPr>
            <w:r/>
            <w:r>
              <w:rPr>
                <w:rFonts w:ascii="Garamond" w:hAnsi="Garamond"/>
                <w:b w:val="0"/>
                <w:color w:val="222222"/>
                <w:sz w:val="16"/>
              </w:rPr>
              <w:t>Actos/resoluciones fiscales procedentes</w:t>
            </w:r>
          </w:p>
        </w:tc>
        <w:tc>
          <w:tcPr>
            <w:tcW w:type="dxa" w:w="2520"/>
            <w:vAlign w:val="center"/>
            <w:shd w:fill="F7F8FA"/>
          </w:tcPr>
          <w:p>
            <w:pPr>
              <w:spacing w:after="40" w:line="240" w:lineRule="auto"/>
            </w:pPr>
            <w:r/>
            <w:r>
              <w:rPr>
                <w:rFonts w:ascii="Garamond" w:hAnsi="Garamond"/>
                <w:b w:val="0"/>
                <w:color w:val="222222"/>
                <w:sz w:val="16"/>
              </w:rPr>
              <w:t>Resoluciones/actos dentro de competencia del Tribunal</w:t>
            </w:r>
          </w:p>
        </w:tc>
      </w:tr>
      <w:tr>
        <w:tc>
          <w:tcPr>
            <w:tcW w:type="dxa" w:w="2016"/>
            <w:vAlign w:val="center"/>
          </w:tcPr>
          <w:p>
            <w:pPr>
              <w:spacing w:after="40" w:line="240" w:lineRule="auto"/>
            </w:pPr>
            <w:r/>
            <w:r>
              <w:rPr>
                <w:rFonts w:ascii="Garamond" w:hAnsi="Garamond"/>
                <w:b w:val="0"/>
                <w:color w:val="222222"/>
                <w:sz w:val="16"/>
              </w:rPr>
              <w:t>Pruebas</w:t>
            </w:r>
          </w:p>
        </w:tc>
        <w:tc>
          <w:tcPr>
            <w:tcW w:type="dxa" w:w="2520"/>
            <w:vAlign w:val="center"/>
          </w:tcPr>
          <w:p>
            <w:pPr>
              <w:spacing w:after="40" w:line="240" w:lineRule="auto"/>
            </w:pPr>
            <w:r/>
            <w:r>
              <w:rPr>
                <w:rFonts w:ascii="Garamond" w:hAnsi="Garamond"/>
                <w:b w:val="0"/>
                <w:color w:val="222222"/>
                <w:sz w:val="16"/>
              </w:rPr>
              <w:t>Sí, conforme LFPA</w:t>
            </w:r>
          </w:p>
        </w:tc>
        <w:tc>
          <w:tcPr>
            <w:tcW w:type="dxa" w:w="2520"/>
            <w:vAlign w:val="center"/>
          </w:tcPr>
          <w:p>
            <w:pPr>
              <w:spacing w:after="40" w:line="240" w:lineRule="auto"/>
            </w:pPr>
            <w:r/>
            <w:r>
              <w:rPr>
                <w:rFonts w:ascii="Garamond" w:hAnsi="Garamond"/>
                <w:b w:val="0"/>
                <w:color w:val="222222"/>
                <w:sz w:val="16"/>
              </w:rPr>
              <w:t>Sí, conforme CFF</w:t>
            </w:r>
          </w:p>
        </w:tc>
        <w:tc>
          <w:tcPr>
            <w:tcW w:type="dxa" w:w="2520"/>
            <w:vAlign w:val="center"/>
          </w:tcPr>
          <w:p>
            <w:pPr>
              <w:spacing w:after="40" w:line="240" w:lineRule="auto"/>
            </w:pPr>
            <w:r/>
            <w:r>
              <w:rPr>
                <w:rFonts w:ascii="Garamond" w:hAnsi="Garamond"/>
                <w:b w:val="0"/>
                <w:color w:val="222222"/>
                <w:sz w:val="16"/>
              </w:rPr>
              <w:t>Sí, conforme LFPCA</w:t>
            </w:r>
          </w:p>
        </w:tc>
      </w:tr>
      <w:tr>
        <w:tc>
          <w:tcPr>
            <w:tcW w:type="dxa" w:w="2016"/>
            <w:vAlign w:val="center"/>
            <w:shd w:fill="F7F8FA"/>
          </w:tcPr>
          <w:p>
            <w:pPr>
              <w:spacing w:after="40" w:line="240" w:lineRule="auto"/>
            </w:pPr>
            <w:r/>
            <w:r>
              <w:rPr>
                <w:rFonts w:ascii="Garamond" w:hAnsi="Garamond"/>
                <w:b w:val="0"/>
                <w:color w:val="222222"/>
                <w:sz w:val="16"/>
              </w:rPr>
              <w:t>Cautelar</w:t>
            </w:r>
          </w:p>
        </w:tc>
        <w:tc>
          <w:tcPr>
            <w:tcW w:type="dxa" w:w="2520"/>
            <w:vAlign w:val="center"/>
            <w:shd w:fill="F7F8FA"/>
          </w:tcPr>
          <w:p>
            <w:pPr>
              <w:spacing w:after="40" w:line="240" w:lineRule="auto"/>
            </w:pPr>
            <w:r/>
            <w:r>
              <w:rPr>
                <w:rFonts w:ascii="Garamond" w:hAnsi="Garamond"/>
                <w:b w:val="0"/>
                <w:color w:val="222222"/>
                <w:sz w:val="16"/>
              </w:rPr>
              <w:t>Suspensión art. 87, requisitos</w:t>
            </w:r>
          </w:p>
        </w:tc>
        <w:tc>
          <w:tcPr>
            <w:tcW w:type="dxa" w:w="2520"/>
            <w:vAlign w:val="center"/>
            <w:shd w:fill="F7F8FA"/>
          </w:tcPr>
          <w:p>
            <w:pPr>
              <w:spacing w:after="40" w:line="240" w:lineRule="auto"/>
            </w:pPr>
            <w:r/>
            <w:r>
              <w:rPr>
                <w:rFonts w:ascii="Garamond" w:hAnsi="Garamond"/>
                <w:b w:val="0"/>
                <w:color w:val="222222"/>
                <w:sz w:val="16"/>
              </w:rPr>
              <w:t>Suspensión/garantía según CFF</w:t>
            </w:r>
          </w:p>
        </w:tc>
        <w:tc>
          <w:tcPr>
            <w:tcW w:type="dxa" w:w="2520"/>
            <w:vAlign w:val="center"/>
            <w:shd w:fill="F7F8FA"/>
          </w:tcPr>
          <w:p>
            <w:pPr>
              <w:spacing w:after="40" w:line="240" w:lineRule="auto"/>
            </w:pPr>
            <w:r/>
            <w:r>
              <w:rPr>
                <w:rFonts w:ascii="Garamond" w:hAnsi="Garamond"/>
                <w:b w:val="0"/>
                <w:color w:val="222222"/>
                <w:sz w:val="16"/>
              </w:rPr>
              <w:t>Medidas cautelares/suspensión conforme LFPCA</w:t>
            </w:r>
          </w:p>
        </w:tc>
      </w:tr>
    </w:tbl>
    <w:p>
      <w:pPr>
        <w:spacing w:after="20"/>
      </w:pPr>
    </w:p>
    <w:p>
      <w:pPr>
        <w:pStyle w:val="Ttulo2"/>
      </w:pPr>
      <w:r>
        <w:t>20.2 Ruta del caso administrativo</w:t>
      </w:r>
    </w:p>
    <w:p>
      <w:r>
        <w:t>HECHO → IDENTIFICAR AUTORIDAD → IDENTIFICAR ACTO → NOTIFICACIÓN → COMPETENCIA → LEY ESPECIAL → PLAZO → RECURSO O JUICIO → PRUEBAS → CAUTELAR → SENTENCIA/RESOLUCIÓN → EJECUCIÓN.</w:t>
      </w:r>
    </w:p>
    <w:p>
      <w:pPr>
        <w:pStyle w:val="Ttulo2"/>
      </w:pPr>
      <w:r>
        <w:t>20.3 Ruta del caso fiscal</w:t>
      </w:r>
    </w:p>
    <w:p>
      <w:r>
        <w:t>CRÉDITO/ACTO → NOTIFICACIÓN → EXIGIBILIDAD → REVOCACIÓN O JUICIO → GARANTÍA → PAE → EMBARGO → DEFENSA DEL ACTO DE EJECUCIÓN → SENTENCIA/RESOLUCIÓN → CUMPLIMIENTO.</w:t>
      </w:r>
    </w:p>
    <w:p>
      <w:pPr>
        <w:pStyle w:val="Ttulo2"/>
      </w:pPr>
      <w:r>
        <w:t>20.4 Ruta del servidor público</w:t>
      </w:r>
    </w:p>
    <w:p>
      <w:r>
        <w:t>DENUNCIA/DETECCIÓN → INVESTIGACIÓN → CALIFICACIÓN → INFORME DE PRESUNTA RESPONSABILIDAD → SUBSTANCIACIÓN → AUDIENCIA → PRUEBAS → ALEGATOS → RESOLUCIÓN/SENTENCIA → MEDIO DE DEFENSA.</w:t>
      </w:r>
    </w:p>
    <w:p>
      <w:pPr>
        <w:pStyle w:val="Ttulo1"/>
      </w:pPr>
      <w:r>
        <w:t>21. FACULTADES DE COMPROBACIÓN FISCAL: DE LA REVISIÓN AL CRÉDITO</w:t>
      </w:r>
    </w:p>
    <w:p>
      <w:pPr>
        <w:pStyle w:val="Ttulo2"/>
      </w:pPr>
      <w:r>
        <w:t>21.1 Identificar qué procedimiento fiscal se está desarrollando</w:t>
      </w:r>
    </w:p>
    <w:p>
      <w:r>
        <w:t>En materia fiscal no todas las actuaciones del SAT producen de inmediato un crédito fiscal. El abogado debe ubicar la etapa: requerimiento de información, revisión de gabinete, visita domiciliaria, revisión electrónica, determinación provisional o resolución definitiva. La defensa cambia según el acto y el momento.</w:t>
      </w:r>
    </w:p>
    <w:tbl>
      <w:tblPr>
        <w:tblW w:type="auto" w:w="0"/>
        <w:jc w:val="center"/>
        <w:tblLook w:firstColumn="1" w:firstRow="1" w:lastColumn="0" w:lastRow="0" w:noHBand="0" w:noVBand="1" w:val="04A0"/>
      </w:tblPr>
      <w:tblGrid>
        <w:gridCol w:w="3288"/>
        <w:gridCol w:w="3288"/>
        <w:gridCol w:w="3288"/>
      </w:tblGrid>
      <w:tr>
        <w:tc>
          <w:tcPr>
            <w:tcW w:type="dxa" w:w="2160"/>
            <w:vAlign w:val="center"/>
            <w:shd w:fill="1A2B4A"/>
          </w:tcPr>
          <w:p>
            <w:pPr>
              <w:spacing w:after="40" w:line="240" w:lineRule="auto"/>
            </w:pPr>
            <w:r/>
            <w:r>
              <w:rPr>
                <w:rFonts w:ascii="Garamond" w:hAnsi="Garamond"/>
                <w:b/>
                <w:color w:val="FFFFFF"/>
                <w:sz w:val="17"/>
              </w:rPr>
              <w:t>Etapa</w:t>
            </w:r>
          </w:p>
        </w:tc>
        <w:tc>
          <w:tcPr>
            <w:tcW w:type="dxa" w:w="3312"/>
            <w:vAlign w:val="center"/>
            <w:shd w:fill="1A2B4A"/>
          </w:tcPr>
          <w:p>
            <w:pPr>
              <w:spacing w:after="40" w:line="240" w:lineRule="auto"/>
            </w:pPr>
            <w:r/>
            <w:r>
              <w:rPr>
                <w:rFonts w:ascii="Garamond" w:hAnsi="Garamond"/>
                <w:b/>
                <w:color w:val="FFFFFF"/>
                <w:sz w:val="17"/>
              </w:rPr>
              <w:t>Documento típico</w:t>
            </w:r>
          </w:p>
        </w:tc>
        <w:tc>
          <w:tcPr>
            <w:tcW w:type="dxa" w:w="4464"/>
            <w:vAlign w:val="center"/>
            <w:shd w:fill="1A2B4A"/>
          </w:tcPr>
          <w:p>
            <w:pPr>
              <w:spacing w:after="40" w:line="240" w:lineRule="auto"/>
            </w:pPr>
            <w:r/>
            <w:r>
              <w:rPr>
                <w:rFonts w:ascii="Garamond" w:hAnsi="Garamond"/>
                <w:b/>
                <w:color w:val="FFFFFF"/>
                <w:sz w:val="17"/>
              </w:rPr>
              <w:t>Pregunta de defensa</w:t>
            </w:r>
          </w:p>
        </w:tc>
      </w:tr>
      <w:tr>
        <w:tc>
          <w:tcPr>
            <w:tcW w:type="dxa" w:w="2160"/>
            <w:vAlign w:val="center"/>
          </w:tcPr>
          <w:p>
            <w:pPr>
              <w:spacing w:after="40" w:line="240" w:lineRule="auto"/>
            </w:pPr>
            <w:r/>
            <w:r>
              <w:rPr>
                <w:rFonts w:ascii="Garamond" w:hAnsi="Garamond"/>
                <w:b w:val="0"/>
                <w:color w:val="222222"/>
                <w:sz w:val="17"/>
              </w:rPr>
              <w:t>Inicio</w:t>
            </w:r>
          </w:p>
        </w:tc>
        <w:tc>
          <w:tcPr>
            <w:tcW w:type="dxa" w:w="3312"/>
            <w:vAlign w:val="center"/>
          </w:tcPr>
          <w:p>
            <w:pPr>
              <w:spacing w:after="40" w:line="240" w:lineRule="auto"/>
            </w:pPr>
            <w:r/>
            <w:r>
              <w:rPr>
                <w:rFonts w:ascii="Garamond" w:hAnsi="Garamond"/>
                <w:b w:val="0"/>
                <w:color w:val="222222"/>
                <w:sz w:val="17"/>
              </w:rPr>
              <w:t>Orden/requerimiento</w:t>
            </w:r>
          </w:p>
        </w:tc>
        <w:tc>
          <w:tcPr>
            <w:tcW w:type="dxa" w:w="4464"/>
            <w:vAlign w:val="center"/>
          </w:tcPr>
          <w:p>
            <w:pPr>
              <w:spacing w:after="40" w:line="240" w:lineRule="auto"/>
            </w:pPr>
            <w:r/>
            <w:r>
              <w:rPr>
                <w:rFonts w:ascii="Garamond" w:hAnsi="Garamond"/>
                <w:b w:val="0"/>
                <w:color w:val="222222"/>
                <w:sz w:val="17"/>
              </w:rPr>
              <w:t>¿La autoridad es competente y la orden cumple la ley?</w:t>
            </w:r>
          </w:p>
        </w:tc>
      </w:tr>
      <w:tr>
        <w:tc>
          <w:tcPr>
            <w:tcW w:type="dxa" w:w="2160"/>
            <w:vAlign w:val="center"/>
            <w:shd w:fill="F7F8FA"/>
          </w:tcPr>
          <w:p>
            <w:pPr>
              <w:spacing w:after="40" w:line="240" w:lineRule="auto"/>
            </w:pPr>
            <w:r/>
            <w:r>
              <w:rPr>
                <w:rFonts w:ascii="Garamond" w:hAnsi="Garamond"/>
                <w:b w:val="0"/>
                <w:color w:val="222222"/>
                <w:sz w:val="17"/>
              </w:rPr>
              <w:t>Desarrollo</w:t>
            </w:r>
          </w:p>
        </w:tc>
        <w:tc>
          <w:tcPr>
            <w:tcW w:type="dxa" w:w="3312"/>
            <w:vAlign w:val="center"/>
            <w:shd w:fill="F7F8FA"/>
          </w:tcPr>
          <w:p>
            <w:pPr>
              <w:spacing w:after="40" w:line="240" w:lineRule="auto"/>
            </w:pPr>
            <w:r/>
            <w:r>
              <w:rPr>
                <w:rFonts w:ascii="Garamond" w:hAnsi="Garamond"/>
                <w:b w:val="0"/>
                <w:color w:val="222222"/>
                <w:sz w:val="17"/>
              </w:rPr>
              <w:t>Actas, requerimientos, oficio de observaciones</w:t>
            </w:r>
          </w:p>
        </w:tc>
        <w:tc>
          <w:tcPr>
            <w:tcW w:type="dxa" w:w="4464"/>
            <w:vAlign w:val="center"/>
            <w:shd w:fill="F7F8FA"/>
          </w:tcPr>
          <w:p>
            <w:pPr>
              <w:spacing w:after="40" w:line="240" w:lineRule="auto"/>
            </w:pPr>
            <w:r/>
            <w:r>
              <w:rPr>
                <w:rFonts w:ascii="Garamond" w:hAnsi="Garamond"/>
                <w:b w:val="0"/>
                <w:color w:val="222222"/>
                <w:sz w:val="17"/>
              </w:rPr>
              <w:t>¿Se respetaron plazos y oportunidad para aportar pruebas?</w:t>
            </w:r>
          </w:p>
        </w:tc>
      </w:tr>
      <w:tr>
        <w:tc>
          <w:tcPr>
            <w:tcW w:type="dxa" w:w="2160"/>
            <w:vAlign w:val="center"/>
          </w:tcPr>
          <w:p>
            <w:pPr>
              <w:spacing w:after="40" w:line="240" w:lineRule="auto"/>
            </w:pPr>
            <w:r/>
            <w:r>
              <w:rPr>
                <w:rFonts w:ascii="Garamond" w:hAnsi="Garamond"/>
                <w:b w:val="0"/>
                <w:color w:val="222222"/>
                <w:sz w:val="17"/>
              </w:rPr>
              <w:t>Preliquidación/propuesta</w:t>
            </w:r>
          </w:p>
        </w:tc>
        <w:tc>
          <w:tcPr>
            <w:tcW w:type="dxa" w:w="3312"/>
            <w:vAlign w:val="center"/>
          </w:tcPr>
          <w:p>
            <w:pPr>
              <w:spacing w:after="40" w:line="240" w:lineRule="auto"/>
            </w:pPr>
            <w:r/>
            <w:r>
              <w:rPr>
                <w:rFonts w:ascii="Garamond" w:hAnsi="Garamond"/>
                <w:b w:val="0"/>
                <w:color w:val="222222"/>
                <w:sz w:val="17"/>
              </w:rPr>
              <w:t>Resolución provisional o propuesta</w:t>
            </w:r>
          </w:p>
        </w:tc>
        <w:tc>
          <w:tcPr>
            <w:tcW w:type="dxa" w:w="4464"/>
            <w:vAlign w:val="center"/>
          </w:tcPr>
          <w:p>
            <w:pPr>
              <w:spacing w:after="40" w:line="240" w:lineRule="auto"/>
            </w:pPr>
            <w:r/>
            <w:r>
              <w:rPr>
                <w:rFonts w:ascii="Garamond" w:hAnsi="Garamond"/>
                <w:b w:val="0"/>
                <w:color w:val="222222"/>
                <w:sz w:val="17"/>
              </w:rPr>
              <w:t>¿Es definitiva o aún forma parte de la comprobación?</w:t>
            </w:r>
          </w:p>
        </w:tc>
      </w:tr>
      <w:tr>
        <w:tc>
          <w:tcPr>
            <w:tcW w:type="dxa" w:w="2160"/>
            <w:vAlign w:val="center"/>
            <w:shd w:fill="F7F8FA"/>
          </w:tcPr>
          <w:p>
            <w:pPr>
              <w:spacing w:after="40" w:line="240" w:lineRule="auto"/>
            </w:pPr>
            <w:r/>
            <w:r>
              <w:rPr>
                <w:rFonts w:ascii="Garamond" w:hAnsi="Garamond"/>
                <w:b w:val="0"/>
                <w:color w:val="222222"/>
                <w:sz w:val="17"/>
              </w:rPr>
              <w:t>Determinación</w:t>
            </w:r>
          </w:p>
        </w:tc>
        <w:tc>
          <w:tcPr>
            <w:tcW w:type="dxa" w:w="3312"/>
            <w:vAlign w:val="center"/>
            <w:shd w:fill="F7F8FA"/>
          </w:tcPr>
          <w:p>
            <w:pPr>
              <w:spacing w:after="40" w:line="240" w:lineRule="auto"/>
            </w:pPr>
            <w:r/>
            <w:r>
              <w:rPr>
                <w:rFonts w:ascii="Garamond" w:hAnsi="Garamond"/>
                <w:b w:val="0"/>
                <w:color w:val="222222"/>
                <w:sz w:val="17"/>
              </w:rPr>
              <w:t>Resolución determinante</w:t>
            </w:r>
          </w:p>
        </w:tc>
        <w:tc>
          <w:tcPr>
            <w:tcW w:type="dxa" w:w="4464"/>
            <w:vAlign w:val="center"/>
            <w:shd w:fill="F7F8FA"/>
          </w:tcPr>
          <w:p>
            <w:pPr>
              <w:spacing w:after="40" w:line="240" w:lineRule="auto"/>
            </w:pPr>
            <w:r/>
            <w:r>
              <w:rPr>
                <w:rFonts w:ascii="Garamond" w:hAnsi="Garamond"/>
                <w:b w:val="0"/>
                <w:color w:val="222222"/>
                <w:sz w:val="17"/>
              </w:rPr>
              <w:t>¿Existe crédito, periodo, conceptos y motivación suficientes?</w:t>
            </w:r>
          </w:p>
        </w:tc>
      </w:tr>
      <w:tr>
        <w:tc>
          <w:tcPr>
            <w:tcW w:type="dxa" w:w="2160"/>
            <w:vAlign w:val="center"/>
          </w:tcPr>
          <w:p>
            <w:pPr>
              <w:spacing w:after="40" w:line="240" w:lineRule="auto"/>
            </w:pPr>
            <w:r/>
            <w:r>
              <w:rPr>
                <w:rFonts w:ascii="Garamond" w:hAnsi="Garamond"/>
                <w:b w:val="0"/>
                <w:color w:val="222222"/>
                <w:sz w:val="17"/>
              </w:rPr>
              <w:t>Cobro</w:t>
            </w:r>
          </w:p>
        </w:tc>
        <w:tc>
          <w:tcPr>
            <w:tcW w:type="dxa" w:w="3312"/>
            <w:vAlign w:val="center"/>
          </w:tcPr>
          <w:p>
            <w:pPr>
              <w:spacing w:after="40" w:line="240" w:lineRule="auto"/>
            </w:pPr>
            <w:r/>
            <w:r>
              <w:rPr>
                <w:rFonts w:ascii="Garamond" w:hAnsi="Garamond"/>
                <w:b w:val="0"/>
                <w:color w:val="222222"/>
                <w:sz w:val="17"/>
              </w:rPr>
              <w:t>Mandamiento/acta de embargo</w:t>
            </w:r>
          </w:p>
        </w:tc>
        <w:tc>
          <w:tcPr>
            <w:tcW w:type="dxa" w:w="4464"/>
            <w:vAlign w:val="center"/>
          </w:tcPr>
          <w:p>
            <w:pPr>
              <w:spacing w:after="40" w:line="240" w:lineRule="auto"/>
            </w:pPr>
            <w:r/>
            <w:r>
              <w:rPr>
                <w:rFonts w:ascii="Garamond" w:hAnsi="Garamond"/>
                <w:b w:val="0"/>
                <w:color w:val="222222"/>
                <w:sz w:val="17"/>
              </w:rPr>
              <w:t>¿El crédito es exigible y el PAE se ajusta al CFF?</w:t>
            </w:r>
          </w:p>
        </w:tc>
      </w:tr>
    </w:tbl>
    <w:p>
      <w:pPr>
        <w:spacing w:after="20"/>
      </w:pPr>
    </w:p>
    <w:p>
      <w:pPr>
        <w:pStyle w:val="Ttulo2"/>
      </w:pPr>
      <w:r>
        <w:t>21.2 Oficio de observaciones y respuesta</w:t>
      </w:r>
    </w:p>
    <w:p>
      <w:r>
        <w:t>La respuesta al oficio de observaciones debe construirse como una contestación probatoria. Para cada observación identifica: hecho que la autoridad considera demostrado, documento que utilizó, norma aplicada, cantidad determinada y prueba que contradice o explica la observación. No conviene responder con argumentos jurídicos generales si la controversia es contable o documental.</w:t>
      </w:r>
    </w:p>
    <w:p>
      <w:pPr>
        <w:pStyle w:val="Ttulo2"/>
      </w:pPr>
      <w:r>
        <w:t>21.3 Revisión electrónica</w:t>
      </w:r>
    </w:p>
    <w:p>
      <w:r>
        <w:t>Cuando la fiscalización se desarrolla mediante medios electrónicos, el expediente digital se vuelve parte central de la defensa. Conserva las comunicaciones, acuses, documentos enviados y constancias de recepción. Una captura aislada puede no demostrar el contenido íntegro ni la fecha jurídicamente relevante.</w:t>
      </w:r>
    </w:p>
    <w:p>
      <w:pPr>
        <w:pStyle w:val="Ttulo2"/>
      </w:pPr>
      <w:r>
        <w:t>21.4 Resolución determinante</w:t>
      </w:r>
    </w:p>
    <w:p>
      <w:r>
        <w:t>Una vez emitida la resolución, revisa en orden: competencia, notificación, plazo de ejercicio de facultades, procedimiento, hechos, cálculo, fundamentación, motivación, individualización de multas y accesorios. Después decide entre recurso de revocación, juicio contencioso u otra vía específica.</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No confundas “tener razón en el fondo” con “tener una vía abierta”. Un buen argumento presentado fuera de plazo puede quedar sin estudio. El calendario procesal es parte de la teoría del caso.</w:t>
            </w:r>
          </w:p>
        </w:tc>
      </w:tr>
    </w:tbl>
    <w:p>
      <w:pPr>
        <w:spacing w:after="20"/>
      </w:pPr>
    </w:p>
    <w:p>
      <w:pPr>
        <w:pStyle w:val="Ttulo1"/>
      </w:pPr>
      <w:r>
        <w:t>22. NOTIFICACIONES, SILENCIO ADMINISTRATIVO Y NEGATIVA FICTA</w:t>
      </w:r>
    </w:p>
    <w:p>
      <w:pPr>
        <w:pStyle w:val="Ttulo2"/>
      </w:pPr>
      <w:r>
        <w:t>22.1 La notificación como hecho procesal</w:t>
      </w:r>
    </w:p>
    <w:p>
      <w:r>
        <w:t>La fecha del documento y la fecha en que se notificó no son necesariamente la misma. El cómputo debe partir del momento que establezca la ley aplicable. Por ello, toda entrevista debe pedir el sobre, acuse, constancia electrónica, correo, buzón o acta mediante la cual se recibió el acto.</w:t>
      </w:r>
    </w:p>
    <w:tbl>
      <w:tblPr>
        <w:tblW w:type="auto" w:w="0"/>
        <w:jc w:val="center"/>
        <w:tblLook w:firstColumn="1" w:firstRow="1" w:lastColumn="0" w:lastRow="0" w:noHBand="0" w:noVBand="1" w:val="04A0"/>
      </w:tblPr>
      <w:tblGrid>
        <w:gridCol w:w="4932"/>
        <w:gridCol w:w="4932"/>
      </w:tblGrid>
      <w:tr>
        <w:tc>
          <w:tcPr>
            <w:tcW w:type="dxa" w:w="2448"/>
            <w:vAlign w:val="center"/>
            <w:shd w:fill="1A2B4A"/>
          </w:tcPr>
          <w:p>
            <w:pPr>
              <w:spacing w:after="40" w:line="240" w:lineRule="auto"/>
            </w:pPr>
            <w:r/>
            <w:r>
              <w:rPr>
                <w:rFonts w:ascii="Garamond" w:hAnsi="Garamond"/>
                <w:b/>
                <w:color w:val="FFFFFF"/>
                <w:sz w:val="17"/>
              </w:rPr>
              <w:t>Revisión</w:t>
            </w:r>
          </w:p>
        </w:tc>
        <w:tc>
          <w:tcPr>
            <w:tcW w:type="dxa" w:w="7344"/>
            <w:vAlign w:val="center"/>
            <w:shd w:fill="1A2B4A"/>
          </w:tcPr>
          <w:p>
            <w:pPr>
              <w:spacing w:after="40" w:line="240" w:lineRule="auto"/>
            </w:pPr>
            <w:r/>
            <w:r>
              <w:rPr>
                <w:rFonts w:ascii="Garamond" w:hAnsi="Garamond"/>
                <w:b/>
                <w:color w:val="FFFFFF"/>
                <w:sz w:val="17"/>
              </w:rPr>
              <w:t>Qué comprobar</w:t>
            </w:r>
          </w:p>
        </w:tc>
      </w:tr>
      <w:tr>
        <w:tc>
          <w:tcPr>
            <w:tcW w:type="dxa" w:w="2448"/>
            <w:vAlign w:val="center"/>
          </w:tcPr>
          <w:p>
            <w:pPr>
              <w:spacing w:after="40" w:line="240" w:lineRule="auto"/>
            </w:pPr>
            <w:r/>
            <w:r>
              <w:rPr>
                <w:rFonts w:ascii="Garamond" w:hAnsi="Garamond"/>
                <w:b w:val="0"/>
                <w:color w:val="222222"/>
                <w:sz w:val="17"/>
              </w:rPr>
              <w:t>Autoridad notificadora</w:t>
            </w:r>
          </w:p>
        </w:tc>
        <w:tc>
          <w:tcPr>
            <w:tcW w:type="dxa" w:w="7344"/>
            <w:vAlign w:val="center"/>
          </w:tcPr>
          <w:p>
            <w:pPr>
              <w:spacing w:after="40" w:line="240" w:lineRule="auto"/>
            </w:pPr>
            <w:r/>
            <w:r>
              <w:rPr>
                <w:rFonts w:ascii="Garamond" w:hAnsi="Garamond"/>
                <w:b w:val="0"/>
                <w:color w:val="222222"/>
                <w:sz w:val="17"/>
              </w:rPr>
              <w:t>¿Tenía facultad para notificar?</w:t>
            </w:r>
          </w:p>
        </w:tc>
      </w:tr>
      <w:tr>
        <w:tc>
          <w:tcPr>
            <w:tcW w:type="dxa" w:w="2448"/>
            <w:vAlign w:val="center"/>
            <w:shd w:fill="F7F8FA"/>
          </w:tcPr>
          <w:p>
            <w:pPr>
              <w:spacing w:after="40" w:line="240" w:lineRule="auto"/>
            </w:pPr>
            <w:r/>
            <w:r>
              <w:rPr>
                <w:rFonts w:ascii="Garamond" w:hAnsi="Garamond"/>
                <w:b w:val="0"/>
                <w:color w:val="222222"/>
                <w:sz w:val="17"/>
              </w:rPr>
              <w:t>Medio</w:t>
            </w:r>
          </w:p>
        </w:tc>
        <w:tc>
          <w:tcPr>
            <w:tcW w:type="dxa" w:w="7344"/>
            <w:vAlign w:val="center"/>
            <w:shd w:fill="F7F8FA"/>
          </w:tcPr>
          <w:p>
            <w:pPr>
              <w:spacing w:after="40" w:line="240" w:lineRule="auto"/>
            </w:pPr>
            <w:r/>
            <w:r>
              <w:rPr>
                <w:rFonts w:ascii="Garamond" w:hAnsi="Garamond"/>
                <w:b w:val="0"/>
                <w:color w:val="222222"/>
                <w:sz w:val="17"/>
              </w:rPr>
              <w:t>¿El medio utilizado está permitido?</w:t>
            </w:r>
          </w:p>
        </w:tc>
      </w:tr>
      <w:tr>
        <w:tc>
          <w:tcPr>
            <w:tcW w:type="dxa" w:w="2448"/>
            <w:vAlign w:val="center"/>
          </w:tcPr>
          <w:p>
            <w:pPr>
              <w:spacing w:after="40" w:line="240" w:lineRule="auto"/>
            </w:pPr>
            <w:r/>
            <w:r>
              <w:rPr>
                <w:rFonts w:ascii="Garamond" w:hAnsi="Garamond"/>
                <w:b w:val="0"/>
                <w:color w:val="222222"/>
                <w:sz w:val="17"/>
              </w:rPr>
              <w:t>Domicilio/canal</w:t>
            </w:r>
          </w:p>
        </w:tc>
        <w:tc>
          <w:tcPr>
            <w:tcW w:type="dxa" w:w="7344"/>
            <w:vAlign w:val="center"/>
          </w:tcPr>
          <w:p>
            <w:pPr>
              <w:spacing w:after="40" w:line="240" w:lineRule="auto"/>
            </w:pPr>
            <w:r/>
            <w:r>
              <w:rPr>
                <w:rFonts w:ascii="Garamond" w:hAnsi="Garamond"/>
                <w:b w:val="0"/>
                <w:color w:val="222222"/>
                <w:sz w:val="17"/>
              </w:rPr>
              <w:t>¿Es el legalmente señalado?</w:t>
            </w:r>
          </w:p>
        </w:tc>
      </w:tr>
      <w:tr>
        <w:tc>
          <w:tcPr>
            <w:tcW w:type="dxa" w:w="2448"/>
            <w:vAlign w:val="center"/>
            <w:shd w:fill="F7F8FA"/>
          </w:tcPr>
          <w:p>
            <w:pPr>
              <w:spacing w:after="40" w:line="240" w:lineRule="auto"/>
            </w:pPr>
            <w:r/>
            <w:r>
              <w:rPr>
                <w:rFonts w:ascii="Garamond" w:hAnsi="Garamond"/>
                <w:b w:val="0"/>
                <w:color w:val="222222"/>
                <w:sz w:val="17"/>
              </w:rPr>
              <w:t>Contenido</w:t>
            </w:r>
          </w:p>
        </w:tc>
        <w:tc>
          <w:tcPr>
            <w:tcW w:type="dxa" w:w="7344"/>
            <w:vAlign w:val="center"/>
            <w:shd w:fill="F7F8FA"/>
          </w:tcPr>
          <w:p>
            <w:pPr>
              <w:spacing w:after="40" w:line="240" w:lineRule="auto"/>
            </w:pPr>
            <w:r/>
            <w:r>
              <w:rPr>
                <w:rFonts w:ascii="Garamond" w:hAnsi="Garamond"/>
                <w:b w:val="0"/>
                <w:color w:val="222222"/>
                <w:sz w:val="17"/>
              </w:rPr>
              <w:t>¿Se entregó el acto completo?</w:t>
            </w:r>
          </w:p>
        </w:tc>
      </w:tr>
      <w:tr>
        <w:tc>
          <w:tcPr>
            <w:tcW w:type="dxa" w:w="2448"/>
            <w:vAlign w:val="center"/>
          </w:tcPr>
          <w:p>
            <w:pPr>
              <w:spacing w:after="40" w:line="240" w:lineRule="auto"/>
            </w:pPr>
            <w:r/>
            <w:r>
              <w:rPr>
                <w:rFonts w:ascii="Garamond" w:hAnsi="Garamond"/>
                <w:b w:val="0"/>
                <w:color w:val="222222"/>
                <w:sz w:val="17"/>
              </w:rPr>
              <w:t>Fecha</w:t>
            </w:r>
          </w:p>
        </w:tc>
        <w:tc>
          <w:tcPr>
            <w:tcW w:type="dxa" w:w="7344"/>
            <w:vAlign w:val="center"/>
          </w:tcPr>
          <w:p>
            <w:pPr>
              <w:spacing w:after="40" w:line="240" w:lineRule="auto"/>
            </w:pPr>
            <w:r/>
            <w:r>
              <w:rPr>
                <w:rFonts w:ascii="Garamond" w:hAnsi="Garamond"/>
                <w:b w:val="0"/>
                <w:color w:val="222222"/>
                <w:sz w:val="17"/>
              </w:rPr>
              <w:t>¿Cuándo se practicó y cuándo surtió efectos?</w:t>
            </w:r>
          </w:p>
        </w:tc>
      </w:tr>
      <w:tr>
        <w:tc>
          <w:tcPr>
            <w:tcW w:type="dxa" w:w="2448"/>
            <w:vAlign w:val="center"/>
            <w:shd w:fill="F7F8FA"/>
          </w:tcPr>
          <w:p>
            <w:pPr>
              <w:spacing w:after="40" w:line="240" w:lineRule="auto"/>
            </w:pPr>
            <w:r/>
            <w:r>
              <w:rPr>
                <w:rFonts w:ascii="Garamond" w:hAnsi="Garamond"/>
                <w:b w:val="0"/>
                <w:color w:val="222222"/>
                <w:sz w:val="17"/>
              </w:rPr>
              <w:t>Constancia</w:t>
            </w:r>
          </w:p>
        </w:tc>
        <w:tc>
          <w:tcPr>
            <w:tcW w:type="dxa" w:w="7344"/>
            <w:vAlign w:val="center"/>
            <w:shd w:fill="F7F8FA"/>
          </w:tcPr>
          <w:p>
            <w:pPr>
              <w:spacing w:after="40" w:line="240" w:lineRule="auto"/>
            </w:pPr>
            <w:r/>
            <w:r>
              <w:rPr>
                <w:rFonts w:ascii="Garamond" w:hAnsi="Garamond"/>
                <w:b w:val="0"/>
                <w:color w:val="222222"/>
                <w:sz w:val="17"/>
              </w:rPr>
              <w:t>¿Existe evidencia suficiente para reconstruir la diligencia?</w:t>
            </w:r>
          </w:p>
        </w:tc>
      </w:tr>
    </w:tbl>
    <w:p>
      <w:pPr>
        <w:spacing w:after="20"/>
      </w:pPr>
    </w:p>
    <w:p>
      <w:pPr>
        <w:pStyle w:val="Ttulo2"/>
      </w:pPr>
      <w:r>
        <w:t>22.2 Silencio administrativo</w:t>
      </w:r>
    </w:p>
    <w:p>
      <w:r>
        <w:t>La falta de respuesta no siempre significa lo mismo. Dependiendo de la ley, puede producir negativa ficta, positiva ficta, caducidad u otra consecuencia. El abogado debe localizar la disposición específica antes de afirmar que existe un acto impugnable.</w:t>
      </w:r>
    </w:p>
    <w:p>
      <w:pPr>
        <w:pStyle w:val="Ttulo2"/>
      </w:pPr>
      <w:r>
        <w:t>22.3 Estrategia ante negativa ficta</w:t>
      </w:r>
    </w:p>
    <w:p>
      <w:r>
        <w:t>1. Conservar la solicitud original y su acuse.</w:t>
      </w:r>
    </w:p>
    <w:p>
      <w:r>
        <w:t>2. Identificar el plazo legal de resolución.</w:t>
      </w:r>
    </w:p>
    <w:p>
      <w:r>
        <w:t>3. Comprobar que la autoridad estaba obligada a resolver.</w:t>
      </w:r>
    </w:p>
    <w:p>
      <w:r>
        <w:t>4. Determinar qué efecto produce el silencio conforme a la ley aplicable.</w:t>
      </w:r>
    </w:p>
    <w:p>
      <w:r>
        <w:t>5. Identificar el medio de defensa y el plazo para promoverlo.</w:t>
      </w:r>
    </w:p>
    <w:p>
      <w:r>
        <w:t>6. Solicitar, cuando proceda, constancia de la falta de resolución.</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La LFPA establece una regla general de negativa ficta cuando transcurre el plazo aplicable sin resolución, salvo que otra norma disponga algo distinto. La ley especial puede cambiar completamente esta consecuencia.</w:t>
            </w:r>
          </w:p>
        </w:tc>
      </w:tr>
    </w:tbl>
    <w:p>
      <w:pPr>
        <w:spacing w:after="20"/>
      </w:pPr>
    </w:p>
    <w:p>
      <w:pPr>
        <w:pStyle w:val="Ttulo1"/>
      </w:pPr>
      <w:r>
        <w:t>23. SANCIONES ADMINISTRATIVAS: TIPICIDAD, PROPORCIONALIDAD E INDIVIDUALIZACIÓN</w:t>
      </w:r>
    </w:p>
    <w:p>
      <w:pPr>
        <w:pStyle w:val="Ttulo2"/>
      </w:pPr>
      <w:r>
        <w:t>23.1 Tipicidad administrativa</w:t>
      </w:r>
    </w:p>
    <w:p>
      <w:r>
        <w:t>La autoridad no debe construir una infracción únicamente a partir de una conducta que le parece irregular. Debe identificar la disposición que establece la obligación o prohibición, los elementos que la integran y la forma en que los hechos acreditados encuadran en ella.</w:t>
      </w:r>
    </w:p>
    <w:p>
      <w:pPr>
        <w:pStyle w:val="Ttulo2"/>
      </w:pPr>
      <w:r>
        <w:t>23.2 Individualización</w:t>
      </w:r>
    </w:p>
    <w:p>
      <w:r>
        <w:t>Cuando una ley establece un rango de sanciones, la resolución debe explicar por qué se determina una consecuencia concreta conforme a los factores que la propia norma ordene valorar. El litigante debe revisar monto, reincidencia, beneficio, daño, circunstancias, capacidad económica cuando legalmente sea relevante y cualquier factor específico.</w:t>
      </w:r>
    </w:p>
    <w:p>
      <w:pPr>
        <w:pStyle w:val="Ttulo2"/>
      </w:pPr>
      <w:r>
        <w:t>23.3 Matriz de defensa</w:t>
      </w:r>
    </w:p>
    <w:tbl>
      <w:tblPr>
        <w:tblW w:type="auto" w:w="0"/>
        <w:jc w:val="center"/>
        <w:tblLook w:firstColumn="1" w:firstRow="1" w:lastColumn="0" w:lastRow="0" w:noHBand="0" w:noVBand="1" w:val="04A0"/>
      </w:tblPr>
      <w:tblGrid>
        <w:gridCol w:w="4932"/>
        <w:gridCol w:w="4932"/>
      </w:tblGrid>
      <w:tr>
        <w:tc>
          <w:tcPr>
            <w:tcW w:type="dxa" w:w="3312"/>
            <w:vAlign w:val="center"/>
            <w:shd w:fill="1A2B4A"/>
          </w:tcPr>
          <w:p>
            <w:pPr>
              <w:spacing w:after="40" w:line="240" w:lineRule="auto"/>
            </w:pPr>
            <w:r/>
            <w:r>
              <w:rPr>
                <w:rFonts w:ascii="Garamond" w:hAnsi="Garamond"/>
                <w:b/>
                <w:color w:val="FFFFFF"/>
                <w:sz w:val="17"/>
              </w:rPr>
              <w:t>Pregunta</w:t>
            </w:r>
          </w:p>
        </w:tc>
        <w:tc>
          <w:tcPr>
            <w:tcW w:type="dxa" w:w="6480"/>
            <w:vAlign w:val="center"/>
            <w:shd w:fill="1A2B4A"/>
          </w:tcPr>
          <w:p>
            <w:pPr>
              <w:spacing w:after="40" w:line="240" w:lineRule="auto"/>
            </w:pPr>
            <w:r/>
            <w:r>
              <w:rPr>
                <w:rFonts w:ascii="Garamond" w:hAnsi="Garamond"/>
                <w:b/>
                <w:color w:val="FFFFFF"/>
                <w:sz w:val="17"/>
              </w:rPr>
              <w:t>Prueba/argumento</w:t>
            </w:r>
          </w:p>
        </w:tc>
      </w:tr>
      <w:tr>
        <w:tc>
          <w:tcPr>
            <w:tcW w:type="dxa" w:w="3312"/>
            <w:vAlign w:val="center"/>
          </w:tcPr>
          <w:p>
            <w:pPr>
              <w:spacing w:after="40" w:line="240" w:lineRule="auto"/>
            </w:pPr>
            <w:r/>
            <w:r>
              <w:rPr>
                <w:rFonts w:ascii="Garamond" w:hAnsi="Garamond"/>
                <w:b w:val="0"/>
                <w:color w:val="222222"/>
                <w:sz w:val="17"/>
              </w:rPr>
              <w:t>¿Existe la infracción?</w:t>
            </w:r>
          </w:p>
        </w:tc>
        <w:tc>
          <w:tcPr>
            <w:tcW w:type="dxa" w:w="6480"/>
            <w:vAlign w:val="center"/>
          </w:tcPr>
          <w:p>
            <w:pPr>
              <w:spacing w:after="40" w:line="240" w:lineRule="auto"/>
            </w:pPr>
            <w:r/>
            <w:r>
              <w:rPr>
                <w:rFonts w:ascii="Garamond" w:hAnsi="Garamond"/>
                <w:b w:val="0"/>
                <w:color w:val="222222"/>
                <w:sz w:val="17"/>
              </w:rPr>
              <w:t>Norma + hecho + evidencia.</w:t>
            </w:r>
          </w:p>
        </w:tc>
      </w:tr>
      <w:tr>
        <w:tc>
          <w:tcPr>
            <w:tcW w:type="dxa" w:w="3312"/>
            <w:vAlign w:val="center"/>
            <w:shd w:fill="F7F8FA"/>
          </w:tcPr>
          <w:p>
            <w:pPr>
              <w:spacing w:after="40" w:line="240" w:lineRule="auto"/>
            </w:pPr>
            <w:r/>
            <w:r>
              <w:rPr>
                <w:rFonts w:ascii="Garamond" w:hAnsi="Garamond"/>
                <w:b w:val="0"/>
                <w:color w:val="222222"/>
                <w:sz w:val="17"/>
              </w:rPr>
              <w:t>¿La persona es responsable?</w:t>
            </w:r>
          </w:p>
        </w:tc>
        <w:tc>
          <w:tcPr>
            <w:tcW w:type="dxa" w:w="6480"/>
            <w:vAlign w:val="center"/>
            <w:shd w:fill="F7F8FA"/>
          </w:tcPr>
          <w:p>
            <w:pPr>
              <w:spacing w:after="40" w:line="240" w:lineRule="auto"/>
            </w:pPr>
            <w:r/>
            <w:r>
              <w:rPr>
                <w:rFonts w:ascii="Garamond" w:hAnsi="Garamond"/>
                <w:b w:val="0"/>
                <w:color w:val="222222"/>
                <w:sz w:val="17"/>
              </w:rPr>
              <w:t>Atribución concreta de la conducta.</w:t>
            </w:r>
          </w:p>
        </w:tc>
      </w:tr>
      <w:tr>
        <w:tc>
          <w:tcPr>
            <w:tcW w:type="dxa" w:w="3312"/>
            <w:vAlign w:val="center"/>
          </w:tcPr>
          <w:p>
            <w:pPr>
              <w:spacing w:after="40" w:line="240" w:lineRule="auto"/>
            </w:pPr>
            <w:r/>
            <w:r>
              <w:rPr>
                <w:rFonts w:ascii="Garamond" w:hAnsi="Garamond"/>
                <w:b w:val="0"/>
                <w:color w:val="222222"/>
                <w:sz w:val="17"/>
              </w:rPr>
              <w:t>¿La autoridad es competente?</w:t>
            </w:r>
          </w:p>
        </w:tc>
        <w:tc>
          <w:tcPr>
            <w:tcW w:type="dxa" w:w="6480"/>
            <w:vAlign w:val="center"/>
          </w:tcPr>
          <w:p>
            <w:pPr>
              <w:spacing w:after="40" w:line="240" w:lineRule="auto"/>
            </w:pPr>
            <w:r/>
            <w:r>
              <w:rPr>
                <w:rFonts w:ascii="Garamond" w:hAnsi="Garamond"/>
                <w:b w:val="0"/>
                <w:color w:val="222222"/>
                <w:sz w:val="17"/>
              </w:rPr>
              <w:t>Ley orgánica + reglamento + delegación.</w:t>
            </w:r>
          </w:p>
        </w:tc>
      </w:tr>
      <w:tr>
        <w:tc>
          <w:tcPr>
            <w:tcW w:type="dxa" w:w="3312"/>
            <w:vAlign w:val="center"/>
            <w:shd w:fill="F7F8FA"/>
          </w:tcPr>
          <w:p>
            <w:pPr>
              <w:spacing w:after="40" w:line="240" w:lineRule="auto"/>
            </w:pPr>
            <w:r/>
            <w:r>
              <w:rPr>
                <w:rFonts w:ascii="Garamond" w:hAnsi="Garamond"/>
                <w:b w:val="0"/>
                <w:color w:val="222222"/>
                <w:sz w:val="17"/>
              </w:rPr>
              <w:t>¿Se respetó el procedimiento?</w:t>
            </w:r>
          </w:p>
        </w:tc>
        <w:tc>
          <w:tcPr>
            <w:tcW w:type="dxa" w:w="6480"/>
            <w:vAlign w:val="center"/>
            <w:shd w:fill="F7F8FA"/>
          </w:tcPr>
          <w:p>
            <w:pPr>
              <w:spacing w:after="40" w:line="240" w:lineRule="auto"/>
            </w:pPr>
            <w:r/>
            <w:r>
              <w:rPr>
                <w:rFonts w:ascii="Garamond" w:hAnsi="Garamond"/>
                <w:b w:val="0"/>
                <w:color w:val="222222"/>
                <w:sz w:val="17"/>
              </w:rPr>
              <w:t>Notificaciones, plazos, audiencia y pruebas.</w:t>
            </w:r>
          </w:p>
        </w:tc>
      </w:tr>
      <w:tr>
        <w:tc>
          <w:tcPr>
            <w:tcW w:type="dxa" w:w="3312"/>
            <w:vAlign w:val="center"/>
          </w:tcPr>
          <w:p>
            <w:pPr>
              <w:spacing w:after="40" w:line="240" w:lineRule="auto"/>
            </w:pPr>
            <w:r/>
            <w:r>
              <w:rPr>
                <w:rFonts w:ascii="Garamond" w:hAnsi="Garamond"/>
                <w:b w:val="0"/>
                <w:color w:val="222222"/>
                <w:sz w:val="17"/>
              </w:rPr>
              <w:t>¿La sanción está individualizada?</w:t>
            </w:r>
          </w:p>
        </w:tc>
        <w:tc>
          <w:tcPr>
            <w:tcW w:type="dxa" w:w="6480"/>
            <w:vAlign w:val="center"/>
          </w:tcPr>
          <w:p>
            <w:pPr>
              <w:spacing w:after="40" w:line="240" w:lineRule="auto"/>
            </w:pPr>
            <w:r/>
            <w:r>
              <w:rPr>
                <w:rFonts w:ascii="Garamond" w:hAnsi="Garamond"/>
                <w:b w:val="0"/>
                <w:color w:val="222222"/>
                <w:sz w:val="17"/>
              </w:rPr>
              <w:t>Criterios legales aplicados al caso.</w:t>
            </w:r>
          </w:p>
        </w:tc>
      </w:tr>
      <w:tr>
        <w:tc>
          <w:tcPr>
            <w:tcW w:type="dxa" w:w="3312"/>
            <w:vAlign w:val="center"/>
            <w:shd w:fill="F7F8FA"/>
          </w:tcPr>
          <w:p>
            <w:pPr>
              <w:spacing w:after="40" w:line="240" w:lineRule="auto"/>
            </w:pPr>
            <w:r/>
            <w:r>
              <w:rPr>
                <w:rFonts w:ascii="Garamond" w:hAnsi="Garamond"/>
                <w:b w:val="0"/>
                <w:color w:val="222222"/>
                <w:sz w:val="17"/>
              </w:rPr>
              <w:t>¿La ejecución es procedente?</w:t>
            </w:r>
          </w:p>
        </w:tc>
        <w:tc>
          <w:tcPr>
            <w:tcW w:type="dxa" w:w="6480"/>
            <w:vAlign w:val="center"/>
            <w:shd w:fill="F7F8FA"/>
          </w:tcPr>
          <w:p>
            <w:pPr>
              <w:spacing w:after="40" w:line="240" w:lineRule="auto"/>
            </w:pPr>
            <w:r/>
            <w:r>
              <w:rPr>
                <w:rFonts w:ascii="Garamond" w:hAnsi="Garamond"/>
                <w:b w:val="0"/>
                <w:color w:val="222222"/>
                <w:sz w:val="17"/>
              </w:rPr>
              <w:t>Exigibilidad, notificación y medio de defensa.</w:t>
            </w:r>
          </w:p>
        </w:tc>
      </w:tr>
    </w:tbl>
    <w:p>
      <w:pPr>
        <w:spacing w:after="20"/>
      </w:pPr>
    </w:p>
    <w:p>
      <w:pPr>
        <w:pStyle w:val="Ttulo2"/>
      </w:pPr>
      <w:r>
        <w:t>23.4 Error de estrategia</w:t>
      </w:r>
    </w:p>
    <w:p>
      <w:r>
        <w:t>Un error frecuente es concentrar toda la defensa en que la multa es “muy alta”. Si existe un defecto de competencia, tipicidad, prueba o procedimiento, esos argumentos deben estudiarse primero porque pueden modificar el resultado completo del litigio.</w:t>
      </w:r>
    </w:p>
    <w:p>
      <w:pPr>
        <w:pStyle w:val="Ttulo1"/>
      </w:pPr>
      <w:r>
        <w:t>24. CUMPLIMIENTO Y EJECUCIÓN DE SENTENCIAS ADMINISTRATIVAS</w:t>
      </w:r>
    </w:p>
    <w:p>
      <w:pPr>
        <w:pStyle w:val="Ttulo2"/>
      </w:pPr>
      <w:r>
        <w:t>24.1 La sentencia no siempre termina el problema</w:t>
      </w:r>
    </w:p>
    <w:p>
      <w:r>
        <w:t>Después de obtener una resolución favorable debe verificarse qué ordenó exactamente el tribunal: nulidad lisa y llana, nulidad para efectos, reconocimiento de un derecho, devolución, reposición de procedimiento u otra consecuencia. El seguimiento de cumplimiento debe corresponder literalmente a los efectos de la sentencia.</w:t>
      </w:r>
    </w:p>
    <w:p>
      <w:pPr>
        <w:pStyle w:val="Ttulo2"/>
      </w:pPr>
      <w:r>
        <w:t>24.2 Checklist de cumplimiento</w:t>
      </w:r>
    </w:p>
    <w:p>
      <w:r>
        <w:t>• Obtén copia certificada o versión oficial de la sentencia y su firmeza.</w:t>
      </w:r>
    </w:p>
    <w:p>
      <w:r>
        <w:t>• Identifica cada efecto ordenado.</w:t>
      </w:r>
    </w:p>
    <w:p>
      <w:r>
        <w:t>• Determina la autoridad obligada y el acto que debe realizar.</w:t>
      </w:r>
    </w:p>
    <w:p>
      <w:r>
        <w:t>• Controla el plazo de cumplimiento.</w:t>
      </w:r>
    </w:p>
    <w:p>
      <w:r>
        <w:t>• Conserva constancias de requerimientos y respuestas.</w:t>
      </w:r>
    </w:p>
    <w:p>
      <w:r>
        <w:t>• Si el cumplimiento es defectuoso, identifica el medio procesal para hacerlo valer.</w:t>
      </w:r>
    </w:p>
    <w:p>
      <w:pPr>
        <w:pStyle w:val="Ttulo2"/>
      </w:pPr>
      <w:r>
        <w:t>24.3 Nulidad para efectos</w:t>
      </w:r>
    </w:p>
    <w:p>
      <w:r>
        <w:t>Cuando la sentencia ordena reponer o emitir una nueva resolución, el abogado debe revisar que la autoridad cumpla exactamente con los parámetros judiciales. La nueva actuación no es inmune a control: debe respetar la sentencia y la ley.</w:t>
      </w:r>
    </w:p>
    <w:p>
      <w:pPr>
        <w:pStyle w:val="Ttulo2"/>
      </w:pPr>
      <w:r>
        <w:t>24.4 Devoluciones y créditos fiscales</w:t>
      </w:r>
    </w:p>
    <w:p>
      <w:r>
        <w:t>En materia fiscal, el cumplimiento puede involucrar devolución, actualización, intereses, cancelación de créditos o levantamiento de actos de ejecución. Cada concepto debe comprobarse con documentos y cálculos; una sentencia favorable no sustituye la revisión matemática de lo que debe entregarse o cancelarse.</w:t>
      </w:r>
    </w:p>
    <w:p>
      <w:pPr>
        <w:pStyle w:val="Ttulo1"/>
      </w:pPr>
      <w:r>
        <w:t>25. CONTROL CONSTITUCIONAL Y AMPARO: ANÁLISIS AVANZADO</w:t>
      </w:r>
    </w:p>
    <w:p>
      <w:pPr>
        <w:pStyle w:val="Ttulo2"/>
      </w:pPr>
      <w:r>
        <w:t>25.1 Interés jurídico e interés legítimo</w:t>
      </w:r>
    </w:p>
    <w:p>
      <w:r>
        <w:t>La Ley de Amparo vigente reconoce supuestos de interés jurídico e interés legítimo bajo las condiciones constitucionales y legales. El litigante debe demostrar la afectación real y actual exigida por la ley, evitando confundir interés simple con interés legítimo.</w:t>
      </w:r>
    </w:p>
    <w:p>
      <w:pPr>
        <w:pStyle w:val="Ttulo2"/>
      </w:pPr>
      <w:r>
        <w:t>25.2 Acto de autoridad</w:t>
      </w:r>
    </w:p>
    <w:p>
      <w:r>
        <w:t>Antes de demandar, identifica quién dictó, ordenó, ejecutó o intenta ejecutar el acto. La calidad formal del órgano no es suficiente: debe analizarse si la conducta crea, modifica o extingue unilateralmente una situación jurídica en los términos de la Ley de Amparo.</w:t>
      </w:r>
    </w:p>
    <w:p>
      <w:pPr>
        <w:pStyle w:val="Ttulo2"/>
      </w:pPr>
      <w:r>
        <w:t>25.3 Suspensión: objeto y límites</w:t>
      </w:r>
    </w:p>
    <w:p>
      <w:r>
        <w:t>La suspensión busca preservar la materia del juicio y evitar daños dentro de los parámetros legales. La petición debe explicar el acto, la ejecución, el riesgo, el interés público y, cuando proceda, la garantía. No debe presentarse como si equivaliera a la sentencia de fondo.</w:t>
      </w:r>
    </w:p>
    <w:p>
      <w:pPr>
        <w:pStyle w:val="Ttulo2"/>
      </w:pPr>
      <w:r>
        <w:t>25.4 Control de improcedencia</w:t>
      </w:r>
    </w:p>
    <w:tbl>
      <w:tblPr>
        <w:tblW w:type="auto" w:w="0"/>
        <w:jc w:val="center"/>
        <w:tblLook w:firstColumn="1" w:firstRow="1" w:lastColumn="0" w:lastRow="0" w:noHBand="0" w:noVBand="1" w:val="04A0"/>
      </w:tblPr>
      <w:tblGrid>
        <w:gridCol w:w="4932"/>
        <w:gridCol w:w="4932"/>
      </w:tblGrid>
      <w:tr>
        <w:tc>
          <w:tcPr>
            <w:tcW w:type="dxa" w:w="2592"/>
            <w:vAlign w:val="center"/>
            <w:shd w:fill="1A2B4A"/>
          </w:tcPr>
          <w:p>
            <w:pPr>
              <w:spacing w:after="40" w:line="240" w:lineRule="auto"/>
            </w:pPr>
            <w:r/>
            <w:r>
              <w:rPr>
                <w:rFonts w:ascii="Garamond" w:hAnsi="Garamond"/>
                <w:b/>
                <w:color w:val="FFFFFF"/>
                <w:sz w:val="17"/>
              </w:rPr>
              <w:t>Filtro</w:t>
            </w:r>
          </w:p>
        </w:tc>
        <w:tc>
          <w:tcPr>
            <w:tcW w:type="dxa" w:w="7200"/>
            <w:vAlign w:val="center"/>
            <w:shd w:fill="1A2B4A"/>
          </w:tcPr>
          <w:p>
            <w:pPr>
              <w:spacing w:after="40" w:line="240" w:lineRule="auto"/>
            </w:pPr>
            <w:r/>
            <w:r>
              <w:rPr>
                <w:rFonts w:ascii="Garamond" w:hAnsi="Garamond"/>
                <w:b/>
                <w:color w:val="FFFFFF"/>
                <w:sz w:val="17"/>
              </w:rPr>
              <w:t>Pregunta</w:t>
            </w:r>
          </w:p>
        </w:tc>
      </w:tr>
      <w:tr>
        <w:tc>
          <w:tcPr>
            <w:tcW w:type="dxa" w:w="2592"/>
            <w:vAlign w:val="center"/>
          </w:tcPr>
          <w:p>
            <w:pPr>
              <w:spacing w:after="40" w:line="240" w:lineRule="auto"/>
            </w:pPr>
            <w:r/>
            <w:r>
              <w:rPr>
                <w:rFonts w:ascii="Garamond" w:hAnsi="Garamond"/>
                <w:b w:val="0"/>
                <w:color w:val="222222"/>
                <w:sz w:val="17"/>
              </w:rPr>
              <w:t>Acto reclamable</w:t>
            </w:r>
          </w:p>
        </w:tc>
        <w:tc>
          <w:tcPr>
            <w:tcW w:type="dxa" w:w="7200"/>
            <w:vAlign w:val="center"/>
          </w:tcPr>
          <w:p>
            <w:pPr>
              <w:spacing w:after="40" w:line="240" w:lineRule="auto"/>
            </w:pPr>
            <w:r/>
            <w:r>
              <w:rPr>
                <w:rFonts w:ascii="Garamond" w:hAnsi="Garamond"/>
                <w:b w:val="0"/>
                <w:color w:val="222222"/>
                <w:sz w:val="17"/>
              </w:rPr>
              <w:t>¿Existe un acto, norma u omisión susceptible de amparo?</w:t>
            </w:r>
          </w:p>
        </w:tc>
      </w:tr>
      <w:tr>
        <w:tc>
          <w:tcPr>
            <w:tcW w:type="dxa" w:w="2592"/>
            <w:vAlign w:val="center"/>
            <w:shd w:fill="F7F8FA"/>
          </w:tcPr>
          <w:p>
            <w:pPr>
              <w:spacing w:after="40" w:line="240" w:lineRule="auto"/>
            </w:pPr>
            <w:r/>
            <w:r>
              <w:rPr>
                <w:rFonts w:ascii="Garamond" w:hAnsi="Garamond"/>
                <w:b w:val="0"/>
                <w:color w:val="222222"/>
                <w:sz w:val="17"/>
              </w:rPr>
              <w:t>Personalidad/afectación</w:t>
            </w:r>
          </w:p>
        </w:tc>
        <w:tc>
          <w:tcPr>
            <w:tcW w:type="dxa" w:w="7200"/>
            <w:vAlign w:val="center"/>
            <w:shd w:fill="F7F8FA"/>
          </w:tcPr>
          <w:p>
            <w:pPr>
              <w:spacing w:after="40" w:line="240" w:lineRule="auto"/>
            </w:pPr>
            <w:r/>
            <w:r>
              <w:rPr>
                <w:rFonts w:ascii="Garamond" w:hAnsi="Garamond"/>
                <w:b w:val="0"/>
                <w:color w:val="222222"/>
                <w:sz w:val="17"/>
              </w:rPr>
              <w:t>¿La persona quejosa acredita la afectación exigida?</w:t>
            </w:r>
          </w:p>
        </w:tc>
      </w:tr>
      <w:tr>
        <w:tc>
          <w:tcPr>
            <w:tcW w:type="dxa" w:w="2592"/>
            <w:vAlign w:val="center"/>
          </w:tcPr>
          <w:p>
            <w:pPr>
              <w:spacing w:after="40" w:line="240" w:lineRule="auto"/>
            </w:pPr>
            <w:r/>
            <w:r>
              <w:rPr>
                <w:rFonts w:ascii="Garamond" w:hAnsi="Garamond"/>
                <w:b w:val="0"/>
                <w:color w:val="222222"/>
                <w:sz w:val="17"/>
              </w:rPr>
              <w:t>Definitividad</w:t>
            </w:r>
          </w:p>
        </w:tc>
        <w:tc>
          <w:tcPr>
            <w:tcW w:type="dxa" w:w="7200"/>
            <w:vAlign w:val="center"/>
          </w:tcPr>
          <w:p>
            <w:pPr>
              <w:spacing w:after="40" w:line="240" w:lineRule="auto"/>
            </w:pPr>
            <w:r/>
            <w:r>
              <w:rPr>
                <w:rFonts w:ascii="Garamond" w:hAnsi="Garamond"/>
                <w:b w:val="0"/>
                <w:color w:val="222222"/>
                <w:sz w:val="17"/>
              </w:rPr>
              <w:t>¿Existe medio ordinario idóneo y se actualiza alguna excepción?</w:t>
            </w:r>
          </w:p>
        </w:tc>
      </w:tr>
      <w:tr>
        <w:tc>
          <w:tcPr>
            <w:tcW w:type="dxa" w:w="2592"/>
            <w:vAlign w:val="center"/>
            <w:shd w:fill="F7F8FA"/>
          </w:tcPr>
          <w:p>
            <w:pPr>
              <w:spacing w:after="40" w:line="240" w:lineRule="auto"/>
            </w:pPr>
            <w:r/>
            <w:r>
              <w:rPr>
                <w:rFonts w:ascii="Garamond" w:hAnsi="Garamond"/>
                <w:b w:val="0"/>
                <w:color w:val="222222"/>
                <w:sz w:val="17"/>
              </w:rPr>
              <w:t>Consentimiento</w:t>
            </w:r>
          </w:p>
        </w:tc>
        <w:tc>
          <w:tcPr>
            <w:tcW w:type="dxa" w:w="7200"/>
            <w:vAlign w:val="center"/>
            <w:shd w:fill="F7F8FA"/>
          </w:tcPr>
          <w:p>
            <w:pPr>
              <w:spacing w:after="40" w:line="240" w:lineRule="auto"/>
            </w:pPr>
            <w:r/>
            <w:r>
              <w:rPr>
                <w:rFonts w:ascii="Garamond" w:hAnsi="Garamond"/>
                <w:b w:val="0"/>
                <w:color w:val="222222"/>
                <w:sz w:val="17"/>
              </w:rPr>
              <w:t>¿Se dejó transcurrir el plazo o se realizó un acto que implique consentimiento?</w:t>
            </w:r>
          </w:p>
        </w:tc>
      </w:tr>
      <w:tr>
        <w:tc>
          <w:tcPr>
            <w:tcW w:type="dxa" w:w="2592"/>
            <w:vAlign w:val="center"/>
          </w:tcPr>
          <w:p>
            <w:pPr>
              <w:spacing w:after="40" w:line="240" w:lineRule="auto"/>
            </w:pPr>
            <w:r/>
            <w:r>
              <w:rPr>
                <w:rFonts w:ascii="Garamond" w:hAnsi="Garamond"/>
                <w:b w:val="0"/>
                <w:color w:val="222222"/>
                <w:sz w:val="17"/>
              </w:rPr>
              <w:t>Materia</w:t>
            </w:r>
          </w:p>
        </w:tc>
        <w:tc>
          <w:tcPr>
            <w:tcW w:type="dxa" w:w="7200"/>
            <w:vAlign w:val="center"/>
          </w:tcPr>
          <w:p>
            <w:pPr>
              <w:spacing w:after="40" w:line="240" w:lineRule="auto"/>
            </w:pPr>
            <w:r/>
            <w:r>
              <w:rPr>
                <w:rFonts w:ascii="Garamond" w:hAnsi="Garamond"/>
                <w:b w:val="0"/>
                <w:color w:val="222222"/>
                <w:sz w:val="17"/>
              </w:rPr>
              <w:t>¿Existe otra vía constitucional o jurisdiccional que desplace el amparo?</w:t>
            </w:r>
          </w:p>
        </w:tc>
      </w:tr>
      <w:tr>
        <w:tc>
          <w:tcPr>
            <w:tcW w:type="dxa" w:w="2592"/>
            <w:vAlign w:val="center"/>
            <w:shd w:fill="F7F8FA"/>
          </w:tcPr>
          <w:p>
            <w:pPr>
              <w:spacing w:after="40" w:line="240" w:lineRule="auto"/>
            </w:pPr>
            <w:r/>
            <w:r>
              <w:rPr>
                <w:rFonts w:ascii="Garamond" w:hAnsi="Garamond"/>
                <w:b w:val="0"/>
                <w:color w:val="222222"/>
                <w:sz w:val="17"/>
              </w:rPr>
              <w:t>Efectos</w:t>
            </w:r>
          </w:p>
        </w:tc>
        <w:tc>
          <w:tcPr>
            <w:tcW w:type="dxa" w:w="7200"/>
            <w:vAlign w:val="center"/>
            <w:shd w:fill="F7F8FA"/>
          </w:tcPr>
          <w:p>
            <w:pPr>
              <w:spacing w:after="40" w:line="240" w:lineRule="auto"/>
            </w:pPr>
            <w:r/>
            <w:r>
              <w:rPr>
                <w:rFonts w:ascii="Garamond" w:hAnsi="Garamond"/>
                <w:b w:val="0"/>
                <w:color w:val="222222"/>
                <w:sz w:val="17"/>
              </w:rPr>
              <w:t>¿El amparo puede producir el efecto que se solicita?</w:t>
            </w:r>
          </w:p>
        </w:tc>
      </w:tr>
    </w:tbl>
    <w:p>
      <w:pPr>
        <w:spacing w:after="20"/>
      </w:pP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La Ley de Amparo fue reformada en 2025 y la práctica constitucional continúa evolucionando. Para una demanda real debe revisarse el texto vigente y los criterios judiciales aplicables al acto concreto.</w:t>
            </w:r>
          </w:p>
        </w:tc>
      </w:tr>
    </w:tbl>
    <w:p>
      <w:pPr>
        <w:spacing w:after="20"/>
      </w:pPr>
    </w:p>
    <w:p>
      <w:pPr>
        <w:pStyle w:val="Ttulo1"/>
      </w:pPr>
      <w:r>
        <w:t>26. HERRAMIENTAS DE TRABAJO PARA EL LITIGANTE ADMINISTRATIVO</w:t>
      </w:r>
    </w:p>
    <w:p>
      <w:pPr>
        <w:pStyle w:val="Ttulo2"/>
      </w:pPr>
      <w:r>
        <w:t>26.1 Expediente digital profesional</w:t>
      </w:r>
    </w:p>
    <w:p>
      <w:r>
        <w:t>Una forma práctica de trabajar es mantener una carpeta con cinco subcarpetas: 01_Actos, 02_Notificaciones, 03_Pruebas, 04_Escritos y 05_Resoluciones. Cada archivo debe conservar nombre, fecha y versión. Esto reduce errores cuando el expediente tiene cientos de documentos.</w:t>
      </w:r>
    </w:p>
    <w:p>
      <w:pPr>
        <w:pStyle w:val="Ttulo2"/>
      </w:pPr>
      <w:r>
        <w:t>26.2 Cronología maestra</w:t>
      </w:r>
    </w:p>
    <w:tbl>
      <w:tblPr>
        <w:tblW w:type="auto" w:w="0"/>
        <w:jc w:val="center"/>
        <w:tblLook w:firstColumn="1" w:firstRow="1" w:lastColumn="0" w:lastRow="0" w:noHBand="0" w:noVBand="1" w:val="04A0"/>
      </w:tblPr>
      <w:tblGrid>
        <w:gridCol w:w="1644"/>
        <w:gridCol w:w="1644"/>
        <w:gridCol w:w="1644"/>
        <w:gridCol w:w="1644"/>
        <w:gridCol w:w="1644"/>
        <w:gridCol w:w="1644"/>
      </w:tblGrid>
      <w:tr>
        <w:tc>
          <w:tcPr>
            <w:tcW w:type="dxa" w:w="1440"/>
            <w:vAlign w:val="center"/>
            <w:shd w:fill="1A2B4A"/>
          </w:tcPr>
          <w:p>
            <w:pPr>
              <w:spacing w:after="40" w:line="240" w:lineRule="auto"/>
            </w:pPr>
            <w:r/>
            <w:r>
              <w:rPr>
                <w:rFonts w:ascii="Garamond" w:hAnsi="Garamond"/>
                <w:b/>
                <w:color w:val="FFFFFF"/>
                <w:sz w:val="17"/>
              </w:rPr>
              <w:t>Fecha</w:t>
            </w:r>
          </w:p>
        </w:tc>
        <w:tc>
          <w:tcPr>
            <w:tcW w:type="dxa" w:w="1872"/>
            <w:vAlign w:val="center"/>
            <w:shd w:fill="1A2B4A"/>
          </w:tcPr>
          <w:p>
            <w:pPr>
              <w:spacing w:after="40" w:line="240" w:lineRule="auto"/>
            </w:pPr>
            <w:r/>
            <w:r>
              <w:rPr>
                <w:rFonts w:ascii="Garamond" w:hAnsi="Garamond"/>
                <w:b/>
                <w:color w:val="FFFFFF"/>
                <w:sz w:val="17"/>
              </w:rPr>
              <w:t>Acto</w:t>
            </w:r>
          </w:p>
        </w:tc>
        <w:tc>
          <w:tcPr>
            <w:tcW w:type="dxa" w:w="1800"/>
            <w:vAlign w:val="center"/>
            <w:shd w:fill="1A2B4A"/>
          </w:tcPr>
          <w:p>
            <w:pPr>
              <w:spacing w:after="40" w:line="240" w:lineRule="auto"/>
            </w:pPr>
            <w:r/>
            <w:r>
              <w:rPr>
                <w:rFonts w:ascii="Garamond" w:hAnsi="Garamond"/>
                <w:b/>
                <w:color w:val="FFFFFF"/>
                <w:sz w:val="17"/>
              </w:rPr>
              <w:t>Autoridad</w:t>
            </w:r>
          </w:p>
        </w:tc>
        <w:tc>
          <w:tcPr>
            <w:tcW w:type="dxa" w:w="1728"/>
            <w:vAlign w:val="center"/>
            <w:shd w:fill="1A2B4A"/>
          </w:tcPr>
          <w:p>
            <w:pPr>
              <w:spacing w:after="40" w:line="240" w:lineRule="auto"/>
            </w:pPr>
            <w:r/>
            <w:r>
              <w:rPr>
                <w:rFonts w:ascii="Garamond" w:hAnsi="Garamond"/>
                <w:b/>
                <w:color w:val="FFFFFF"/>
                <w:sz w:val="17"/>
              </w:rPr>
              <w:t>Documento</w:t>
            </w:r>
          </w:p>
        </w:tc>
        <w:tc>
          <w:tcPr>
            <w:tcW w:type="dxa" w:w="1944"/>
            <w:vAlign w:val="center"/>
            <w:shd w:fill="1A2B4A"/>
          </w:tcPr>
          <w:p>
            <w:pPr>
              <w:spacing w:after="40" w:line="240" w:lineRule="auto"/>
            </w:pPr>
            <w:r/>
            <w:r>
              <w:rPr>
                <w:rFonts w:ascii="Garamond" w:hAnsi="Garamond"/>
                <w:b/>
                <w:color w:val="FFFFFF"/>
                <w:sz w:val="17"/>
              </w:rPr>
              <w:t>Efecto</w:t>
            </w:r>
          </w:p>
        </w:tc>
        <w:tc>
          <w:tcPr>
            <w:tcW w:type="dxa" w:w="1728"/>
            <w:vAlign w:val="center"/>
            <w:shd w:fill="1A2B4A"/>
          </w:tcPr>
          <w:p>
            <w:pPr>
              <w:spacing w:after="40" w:line="240" w:lineRule="auto"/>
            </w:pPr>
            <w:r/>
            <w:r>
              <w:rPr>
                <w:rFonts w:ascii="Garamond" w:hAnsi="Garamond"/>
                <w:b/>
                <w:color w:val="FFFFFF"/>
                <w:sz w:val="17"/>
              </w:rPr>
              <w:t>Plazo</w:t>
            </w:r>
          </w:p>
        </w:tc>
      </w:tr>
      <w:tr>
        <w:tc>
          <w:tcPr>
            <w:tcW w:type="dxa" w:w="1440"/>
            <w:vAlign w:val="center"/>
          </w:tcPr>
          <w:p>
            <w:pPr>
              <w:spacing w:after="40" w:line="240" w:lineRule="auto"/>
            </w:pPr>
            <w:r/>
            <w:r>
              <w:rPr>
                <w:rFonts w:ascii="Garamond" w:hAnsi="Garamond"/>
                <w:b w:val="0"/>
                <w:color w:val="222222"/>
                <w:sz w:val="17"/>
              </w:rPr>
              <w:t>__/__/____</w:t>
            </w:r>
          </w:p>
        </w:tc>
        <w:tc>
          <w:tcPr>
            <w:tcW w:type="dxa" w:w="1872"/>
            <w:vAlign w:val="center"/>
          </w:tcPr>
          <w:p>
            <w:pPr>
              <w:spacing w:after="40" w:line="240" w:lineRule="auto"/>
            </w:pPr>
            <w:r/>
            <w:r>
              <w:rPr>
                <w:rFonts w:ascii="Garamond" w:hAnsi="Garamond"/>
                <w:b w:val="0"/>
                <w:color w:val="222222"/>
                <w:sz w:val="17"/>
              </w:rPr>
              <w:t>[describir]</w:t>
            </w:r>
          </w:p>
        </w:tc>
        <w:tc>
          <w:tcPr>
            <w:tcW w:type="dxa" w:w="1800"/>
            <w:vAlign w:val="center"/>
          </w:tcPr>
          <w:p>
            <w:pPr>
              <w:spacing w:after="40" w:line="240" w:lineRule="auto"/>
            </w:pPr>
            <w:r/>
            <w:r>
              <w:rPr>
                <w:rFonts w:ascii="Garamond" w:hAnsi="Garamond"/>
                <w:b w:val="0"/>
                <w:color w:val="222222"/>
                <w:sz w:val="17"/>
              </w:rPr>
              <w:t>[autoridad]</w:t>
            </w:r>
          </w:p>
        </w:tc>
        <w:tc>
          <w:tcPr>
            <w:tcW w:type="dxa" w:w="1728"/>
            <w:vAlign w:val="center"/>
          </w:tcPr>
          <w:p>
            <w:pPr>
              <w:spacing w:after="40" w:line="240" w:lineRule="auto"/>
            </w:pPr>
            <w:r/>
            <w:r>
              <w:rPr>
                <w:rFonts w:ascii="Garamond" w:hAnsi="Garamond"/>
                <w:b w:val="0"/>
                <w:color w:val="222222"/>
                <w:sz w:val="17"/>
              </w:rPr>
              <w:t>[folio]</w:t>
            </w:r>
          </w:p>
        </w:tc>
        <w:tc>
          <w:tcPr>
            <w:tcW w:type="dxa" w:w="1944"/>
            <w:vAlign w:val="center"/>
          </w:tcPr>
          <w:p>
            <w:pPr>
              <w:spacing w:after="40" w:line="240" w:lineRule="auto"/>
            </w:pPr>
            <w:r/>
            <w:r>
              <w:rPr>
                <w:rFonts w:ascii="Garamond" w:hAnsi="Garamond"/>
                <w:b w:val="0"/>
                <w:color w:val="222222"/>
                <w:sz w:val="17"/>
              </w:rPr>
              <w:t>[qué produjo]</w:t>
            </w:r>
          </w:p>
        </w:tc>
        <w:tc>
          <w:tcPr>
            <w:tcW w:type="dxa" w:w="1728"/>
            <w:vAlign w:val="center"/>
          </w:tcPr>
          <w:p>
            <w:pPr>
              <w:spacing w:after="40" w:line="240" w:lineRule="auto"/>
            </w:pPr>
            <w:r/>
            <w:r>
              <w:rPr>
                <w:rFonts w:ascii="Garamond" w:hAnsi="Garamond"/>
                <w:b w:val="0"/>
                <w:color w:val="222222"/>
                <w:sz w:val="17"/>
              </w:rPr>
              <w:t>[fecha límite]</w:t>
            </w:r>
          </w:p>
        </w:tc>
      </w:tr>
      <w:tr>
        <w:tc>
          <w:tcPr>
            <w:tcW w:type="dxa" w:w="1440"/>
            <w:vAlign w:val="center"/>
            <w:shd w:fill="F7F8FA"/>
          </w:tcPr>
          <w:p>
            <w:pPr>
              <w:spacing w:after="40" w:line="240" w:lineRule="auto"/>
            </w:pPr>
            <w:r/>
            <w:r>
              <w:rPr>
                <w:rFonts w:ascii="Garamond" w:hAnsi="Garamond"/>
                <w:b w:val="0"/>
                <w:color w:val="222222"/>
                <w:sz w:val="17"/>
              </w:rPr>
              <w:t>__/__/____</w:t>
            </w:r>
          </w:p>
        </w:tc>
        <w:tc>
          <w:tcPr>
            <w:tcW w:type="dxa" w:w="1872"/>
            <w:vAlign w:val="center"/>
            <w:shd w:fill="F7F8FA"/>
          </w:tcPr>
          <w:p>
            <w:pPr>
              <w:spacing w:after="40" w:line="240" w:lineRule="auto"/>
            </w:pPr>
            <w:r/>
            <w:r>
              <w:rPr>
                <w:rFonts w:ascii="Garamond" w:hAnsi="Garamond"/>
                <w:b w:val="0"/>
                <w:color w:val="222222"/>
                <w:sz w:val="17"/>
              </w:rPr>
              <w:t>[describir]</w:t>
            </w:r>
          </w:p>
        </w:tc>
        <w:tc>
          <w:tcPr>
            <w:tcW w:type="dxa" w:w="1800"/>
            <w:vAlign w:val="center"/>
            <w:shd w:fill="F7F8FA"/>
          </w:tcPr>
          <w:p>
            <w:pPr>
              <w:spacing w:after="40" w:line="240" w:lineRule="auto"/>
            </w:pPr>
            <w:r/>
            <w:r>
              <w:rPr>
                <w:rFonts w:ascii="Garamond" w:hAnsi="Garamond"/>
                <w:b w:val="0"/>
                <w:color w:val="222222"/>
                <w:sz w:val="17"/>
              </w:rPr>
              <w:t>[autoridad]</w:t>
            </w:r>
          </w:p>
        </w:tc>
        <w:tc>
          <w:tcPr>
            <w:tcW w:type="dxa" w:w="1728"/>
            <w:vAlign w:val="center"/>
            <w:shd w:fill="F7F8FA"/>
          </w:tcPr>
          <w:p>
            <w:pPr>
              <w:spacing w:after="40" w:line="240" w:lineRule="auto"/>
            </w:pPr>
            <w:r/>
            <w:r>
              <w:rPr>
                <w:rFonts w:ascii="Garamond" w:hAnsi="Garamond"/>
                <w:b w:val="0"/>
                <w:color w:val="222222"/>
                <w:sz w:val="17"/>
              </w:rPr>
              <w:t>[folio]</w:t>
            </w:r>
          </w:p>
        </w:tc>
        <w:tc>
          <w:tcPr>
            <w:tcW w:type="dxa" w:w="1944"/>
            <w:vAlign w:val="center"/>
            <w:shd w:fill="F7F8FA"/>
          </w:tcPr>
          <w:p>
            <w:pPr>
              <w:spacing w:after="40" w:line="240" w:lineRule="auto"/>
            </w:pPr>
            <w:r/>
            <w:r>
              <w:rPr>
                <w:rFonts w:ascii="Garamond" w:hAnsi="Garamond"/>
                <w:b w:val="0"/>
                <w:color w:val="222222"/>
                <w:sz w:val="17"/>
              </w:rPr>
              <w:t>[qué produjo]</w:t>
            </w:r>
          </w:p>
        </w:tc>
        <w:tc>
          <w:tcPr>
            <w:tcW w:type="dxa" w:w="1728"/>
            <w:vAlign w:val="center"/>
            <w:shd w:fill="F7F8FA"/>
          </w:tcPr>
          <w:p>
            <w:pPr>
              <w:spacing w:after="40" w:line="240" w:lineRule="auto"/>
            </w:pPr>
            <w:r/>
            <w:r>
              <w:rPr>
                <w:rFonts w:ascii="Garamond" w:hAnsi="Garamond"/>
                <w:b w:val="0"/>
                <w:color w:val="222222"/>
                <w:sz w:val="17"/>
              </w:rPr>
              <w:t>[fecha límite]</w:t>
            </w:r>
          </w:p>
        </w:tc>
      </w:tr>
      <w:tr>
        <w:tc>
          <w:tcPr>
            <w:tcW w:type="dxa" w:w="1440"/>
            <w:vAlign w:val="center"/>
          </w:tcPr>
          <w:p>
            <w:pPr>
              <w:spacing w:after="40" w:line="240" w:lineRule="auto"/>
            </w:pPr>
            <w:r/>
            <w:r>
              <w:rPr>
                <w:rFonts w:ascii="Garamond" w:hAnsi="Garamond"/>
                <w:b w:val="0"/>
                <w:color w:val="222222"/>
                <w:sz w:val="17"/>
              </w:rPr>
              <w:t>__/__/____</w:t>
            </w:r>
          </w:p>
        </w:tc>
        <w:tc>
          <w:tcPr>
            <w:tcW w:type="dxa" w:w="1872"/>
            <w:vAlign w:val="center"/>
          </w:tcPr>
          <w:p>
            <w:pPr>
              <w:spacing w:after="40" w:line="240" w:lineRule="auto"/>
            </w:pPr>
            <w:r/>
            <w:r>
              <w:rPr>
                <w:rFonts w:ascii="Garamond" w:hAnsi="Garamond"/>
                <w:b w:val="0"/>
                <w:color w:val="222222"/>
                <w:sz w:val="17"/>
              </w:rPr>
              <w:t>[describir]</w:t>
            </w:r>
          </w:p>
        </w:tc>
        <w:tc>
          <w:tcPr>
            <w:tcW w:type="dxa" w:w="1800"/>
            <w:vAlign w:val="center"/>
          </w:tcPr>
          <w:p>
            <w:pPr>
              <w:spacing w:after="40" w:line="240" w:lineRule="auto"/>
            </w:pPr>
            <w:r/>
            <w:r>
              <w:rPr>
                <w:rFonts w:ascii="Garamond" w:hAnsi="Garamond"/>
                <w:b w:val="0"/>
                <w:color w:val="222222"/>
                <w:sz w:val="17"/>
              </w:rPr>
              <w:t>[autoridad]</w:t>
            </w:r>
          </w:p>
        </w:tc>
        <w:tc>
          <w:tcPr>
            <w:tcW w:type="dxa" w:w="1728"/>
            <w:vAlign w:val="center"/>
          </w:tcPr>
          <w:p>
            <w:pPr>
              <w:spacing w:after="40" w:line="240" w:lineRule="auto"/>
            </w:pPr>
            <w:r/>
            <w:r>
              <w:rPr>
                <w:rFonts w:ascii="Garamond" w:hAnsi="Garamond"/>
                <w:b w:val="0"/>
                <w:color w:val="222222"/>
                <w:sz w:val="17"/>
              </w:rPr>
              <w:t>[folio]</w:t>
            </w:r>
          </w:p>
        </w:tc>
        <w:tc>
          <w:tcPr>
            <w:tcW w:type="dxa" w:w="1944"/>
            <w:vAlign w:val="center"/>
          </w:tcPr>
          <w:p>
            <w:pPr>
              <w:spacing w:after="40" w:line="240" w:lineRule="auto"/>
            </w:pPr>
            <w:r/>
            <w:r>
              <w:rPr>
                <w:rFonts w:ascii="Garamond" w:hAnsi="Garamond"/>
                <w:b w:val="0"/>
                <w:color w:val="222222"/>
                <w:sz w:val="17"/>
              </w:rPr>
              <w:t>[qué produjo]</w:t>
            </w:r>
          </w:p>
        </w:tc>
        <w:tc>
          <w:tcPr>
            <w:tcW w:type="dxa" w:w="1728"/>
            <w:vAlign w:val="center"/>
          </w:tcPr>
          <w:p>
            <w:pPr>
              <w:spacing w:after="40" w:line="240" w:lineRule="auto"/>
            </w:pPr>
            <w:r/>
            <w:r>
              <w:rPr>
                <w:rFonts w:ascii="Garamond" w:hAnsi="Garamond"/>
                <w:b w:val="0"/>
                <w:color w:val="222222"/>
                <w:sz w:val="17"/>
              </w:rPr>
              <w:t>[fecha límite]</w:t>
            </w:r>
          </w:p>
        </w:tc>
      </w:tr>
    </w:tbl>
    <w:p>
      <w:pPr>
        <w:spacing w:after="20"/>
      </w:pPr>
    </w:p>
    <w:p>
      <w:pPr>
        <w:pStyle w:val="Ttulo2"/>
      </w:pPr>
      <w:r>
        <w:t>26.3 Matriz de riesgos</w:t>
      </w:r>
    </w:p>
    <w:tbl>
      <w:tblPr>
        <w:tblW w:type="auto" w:w="0"/>
        <w:jc w:val="center"/>
        <w:tblLook w:firstColumn="1" w:firstRow="1" w:lastColumn="0" w:lastRow="0" w:noHBand="0" w:noVBand="1" w:val="04A0"/>
      </w:tblPr>
      <w:tblGrid>
        <w:gridCol w:w="2466"/>
        <w:gridCol w:w="2466"/>
        <w:gridCol w:w="2466"/>
        <w:gridCol w:w="2466"/>
      </w:tblGrid>
      <w:tr>
        <w:tc>
          <w:tcPr>
            <w:tcW w:type="dxa" w:w="2448"/>
            <w:vAlign w:val="center"/>
            <w:shd w:fill="1A2B4A"/>
          </w:tcPr>
          <w:p>
            <w:pPr>
              <w:spacing w:after="40" w:line="240" w:lineRule="auto"/>
            </w:pPr>
            <w:r/>
            <w:r>
              <w:rPr>
                <w:rFonts w:ascii="Garamond" w:hAnsi="Garamond"/>
                <w:b/>
                <w:color w:val="FFFFFF"/>
                <w:sz w:val="17"/>
              </w:rPr>
              <w:t>Riesgo</w:t>
            </w:r>
          </w:p>
        </w:tc>
        <w:tc>
          <w:tcPr>
            <w:tcW w:type="dxa" w:w="1800"/>
            <w:vAlign w:val="center"/>
            <w:shd w:fill="1A2B4A"/>
          </w:tcPr>
          <w:p>
            <w:pPr>
              <w:spacing w:after="40" w:line="240" w:lineRule="auto"/>
            </w:pPr>
            <w:r/>
            <w:r>
              <w:rPr>
                <w:rFonts w:ascii="Garamond" w:hAnsi="Garamond"/>
                <w:b/>
                <w:color w:val="FFFFFF"/>
                <w:sz w:val="17"/>
              </w:rPr>
              <w:t>Probabilidad</w:t>
            </w:r>
          </w:p>
        </w:tc>
        <w:tc>
          <w:tcPr>
            <w:tcW w:type="dxa" w:w="1800"/>
            <w:vAlign w:val="center"/>
            <w:shd w:fill="1A2B4A"/>
          </w:tcPr>
          <w:p>
            <w:pPr>
              <w:spacing w:after="40" w:line="240" w:lineRule="auto"/>
            </w:pPr>
            <w:r/>
            <w:r>
              <w:rPr>
                <w:rFonts w:ascii="Garamond" w:hAnsi="Garamond"/>
                <w:b/>
                <w:color w:val="FFFFFF"/>
                <w:sz w:val="17"/>
              </w:rPr>
              <w:t>Impacto</w:t>
            </w:r>
          </w:p>
        </w:tc>
        <w:tc>
          <w:tcPr>
            <w:tcW w:type="dxa" w:w="3672"/>
            <w:vAlign w:val="center"/>
            <w:shd w:fill="1A2B4A"/>
          </w:tcPr>
          <w:p>
            <w:pPr>
              <w:spacing w:after="40" w:line="240" w:lineRule="auto"/>
            </w:pPr>
            <w:r/>
            <w:r>
              <w:rPr>
                <w:rFonts w:ascii="Garamond" w:hAnsi="Garamond"/>
                <w:b/>
                <w:color w:val="FFFFFF"/>
                <w:sz w:val="17"/>
              </w:rPr>
              <w:t>Acción inmediata</w:t>
            </w:r>
          </w:p>
        </w:tc>
      </w:tr>
      <w:tr>
        <w:tc>
          <w:tcPr>
            <w:tcW w:type="dxa" w:w="2448"/>
            <w:vAlign w:val="center"/>
          </w:tcPr>
          <w:p>
            <w:pPr>
              <w:spacing w:after="40" w:line="240" w:lineRule="auto"/>
            </w:pPr>
            <w:r/>
            <w:r>
              <w:rPr>
                <w:rFonts w:ascii="Garamond" w:hAnsi="Garamond"/>
                <w:b w:val="0"/>
                <w:color w:val="222222"/>
                <w:sz w:val="17"/>
              </w:rPr>
              <w:t>Pérdida de plazo</w:t>
            </w:r>
          </w:p>
        </w:tc>
        <w:tc>
          <w:tcPr>
            <w:tcW w:type="dxa" w:w="1800"/>
            <w:vAlign w:val="center"/>
          </w:tcPr>
          <w:p>
            <w:pPr>
              <w:spacing w:after="40" w:line="240" w:lineRule="auto"/>
            </w:pPr>
            <w:r/>
            <w:r>
              <w:rPr>
                <w:rFonts w:ascii="Garamond" w:hAnsi="Garamond"/>
                <w:b w:val="0"/>
                <w:color w:val="222222"/>
                <w:sz w:val="17"/>
              </w:rPr>
              <w:t>Alta/Media/Baja</w:t>
            </w:r>
          </w:p>
        </w:tc>
        <w:tc>
          <w:tcPr>
            <w:tcW w:type="dxa" w:w="1800"/>
            <w:vAlign w:val="center"/>
          </w:tcPr>
          <w:p>
            <w:pPr>
              <w:spacing w:after="40" w:line="240" w:lineRule="auto"/>
            </w:pPr>
            <w:r/>
            <w:r>
              <w:rPr>
                <w:rFonts w:ascii="Garamond" w:hAnsi="Garamond"/>
                <w:b w:val="0"/>
                <w:color w:val="222222"/>
                <w:sz w:val="17"/>
              </w:rPr>
              <w:t>Alto</w:t>
            </w:r>
          </w:p>
        </w:tc>
        <w:tc>
          <w:tcPr>
            <w:tcW w:type="dxa" w:w="3672"/>
            <w:vAlign w:val="center"/>
          </w:tcPr>
          <w:p>
            <w:pPr>
              <w:spacing w:after="40" w:line="240" w:lineRule="auto"/>
            </w:pPr>
            <w:r/>
            <w:r>
              <w:rPr>
                <w:rFonts w:ascii="Garamond" w:hAnsi="Garamond"/>
                <w:b w:val="0"/>
                <w:color w:val="222222"/>
                <w:sz w:val="17"/>
              </w:rPr>
              <w:t>Calcular y presentar.</w:t>
            </w:r>
          </w:p>
        </w:tc>
      </w:tr>
      <w:tr>
        <w:tc>
          <w:tcPr>
            <w:tcW w:type="dxa" w:w="2448"/>
            <w:vAlign w:val="center"/>
            <w:shd w:fill="F7F8FA"/>
          </w:tcPr>
          <w:p>
            <w:pPr>
              <w:spacing w:after="40" w:line="240" w:lineRule="auto"/>
            </w:pPr>
            <w:r/>
            <w:r>
              <w:rPr>
                <w:rFonts w:ascii="Garamond" w:hAnsi="Garamond"/>
                <w:b w:val="0"/>
                <w:color w:val="222222"/>
                <w:sz w:val="17"/>
              </w:rPr>
              <w:t>Falta de personalidad</w:t>
            </w:r>
          </w:p>
        </w:tc>
        <w:tc>
          <w:tcPr>
            <w:tcW w:type="dxa" w:w="1800"/>
            <w:vAlign w:val="center"/>
            <w:shd w:fill="F7F8FA"/>
          </w:tcPr>
          <w:p>
            <w:pPr>
              <w:spacing w:after="40" w:line="240" w:lineRule="auto"/>
            </w:pPr>
            <w:r/>
            <w:r>
              <w:rPr>
                <w:rFonts w:ascii="Garamond" w:hAnsi="Garamond"/>
                <w:b w:val="0"/>
                <w:color w:val="222222"/>
                <w:sz w:val="17"/>
              </w:rPr>
              <w:t>Alta/Media/Baja</w:t>
            </w:r>
          </w:p>
        </w:tc>
        <w:tc>
          <w:tcPr>
            <w:tcW w:type="dxa" w:w="1800"/>
            <w:vAlign w:val="center"/>
            <w:shd w:fill="F7F8FA"/>
          </w:tcPr>
          <w:p>
            <w:pPr>
              <w:spacing w:after="40" w:line="240" w:lineRule="auto"/>
            </w:pPr>
            <w:r/>
            <w:r>
              <w:rPr>
                <w:rFonts w:ascii="Garamond" w:hAnsi="Garamond"/>
                <w:b w:val="0"/>
                <w:color w:val="222222"/>
                <w:sz w:val="17"/>
              </w:rPr>
              <w:t>Alto</w:t>
            </w:r>
          </w:p>
        </w:tc>
        <w:tc>
          <w:tcPr>
            <w:tcW w:type="dxa" w:w="3672"/>
            <w:vAlign w:val="center"/>
            <w:shd w:fill="F7F8FA"/>
          </w:tcPr>
          <w:p>
            <w:pPr>
              <w:spacing w:after="40" w:line="240" w:lineRule="auto"/>
            </w:pPr>
            <w:r/>
            <w:r>
              <w:rPr>
                <w:rFonts w:ascii="Garamond" w:hAnsi="Garamond"/>
                <w:b w:val="0"/>
                <w:color w:val="222222"/>
                <w:sz w:val="17"/>
              </w:rPr>
              <w:t>Obtener instrumento.</w:t>
            </w:r>
          </w:p>
        </w:tc>
      </w:tr>
      <w:tr>
        <w:tc>
          <w:tcPr>
            <w:tcW w:type="dxa" w:w="2448"/>
            <w:vAlign w:val="center"/>
          </w:tcPr>
          <w:p>
            <w:pPr>
              <w:spacing w:after="40" w:line="240" w:lineRule="auto"/>
            </w:pPr>
            <w:r/>
            <w:r>
              <w:rPr>
                <w:rFonts w:ascii="Garamond" w:hAnsi="Garamond"/>
                <w:b w:val="0"/>
                <w:color w:val="222222"/>
                <w:sz w:val="17"/>
              </w:rPr>
              <w:t>Notificación controvertida</w:t>
            </w:r>
          </w:p>
        </w:tc>
        <w:tc>
          <w:tcPr>
            <w:tcW w:type="dxa" w:w="1800"/>
            <w:vAlign w:val="center"/>
          </w:tcPr>
          <w:p>
            <w:pPr>
              <w:spacing w:after="40" w:line="240" w:lineRule="auto"/>
            </w:pPr>
            <w:r/>
            <w:r>
              <w:rPr>
                <w:rFonts w:ascii="Garamond" w:hAnsi="Garamond"/>
                <w:b w:val="0"/>
                <w:color w:val="222222"/>
                <w:sz w:val="17"/>
              </w:rPr>
              <w:t>Alta/Media/Baja</w:t>
            </w:r>
          </w:p>
        </w:tc>
        <w:tc>
          <w:tcPr>
            <w:tcW w:type="dxa" w:w="1800"/>
            <w:vAlign w:val="center"/>
          </w:tcPr>
          <w:p>
            <w:pPr>
              <w:spacing w:after="40" w:line="240" w:lineRule="auto"/>
            </w:pPr>
            <w:r/>
            <w:r>
              <w:rPr>
                <w:rFonts w:ascii="Garamond" w:hAnsi="Garamond"/>
                <w:b w:val="0"/>
                <w:color w:val="222222"/>
                <w:sz w:val="17"/>
              </w:rPr>
              <w:t>Alto</w:t>
            </w:r>
          </w:p>
        </w:tc>
        <w:tc>
          <w:tcPr>
            <w:tcW w:type="dxa" w:w="3672"/>
            <w:vAlign w:val="center"/>
          </w:tcPr>
          <w:p>
            <w:pPr>
              <w:spacing w:after="40" w:line="240" w:lineRule="auto"/>
            </w:pPr>
            <w:r/>
            <w:r>
              <w:rPr>
                <w:rFonts w:ascii="Garamond" w:hAnsi="Garamond"/>
                <w:b w:val="0"/>
                <w:color w:val="222222"/>
                <w:sz w:val="17"/>
              </w:rPr>
              <w:t>Solicitar expediente y constancias.</w:t>
            </w:r>
          </w:p>
        </w:tc>
      </w:tr>
      <w:tr>
        <w:tc>
          <w:tcPr>
            <w:tcW w:type="dxa" w:w="2448"/>
            <w:vAlign w:val="center"/>
            <w:shd w:fill="F7F8FA"/>
          </w:tcPr>
          <w:p>
            <w:pPr>
              <w:spacing w:after="40" w:line="240" w:lineRule="auto"/>
            </w:pPr>
            <w:r/>
            <w:r>
              <w:rPr>
                <w:rFonts w:ascii="Garamond" w:hAnsi="Garamond"/>
                <w:b w:val="0"/>
                <w:color w:val="222222"/>
                <w:sz w:val="17"/>
              </w:rPr>
              <w:t>Embargo en curso</w:t>
            </w:r>
          </w:p>
        </w:tc>
        <w:tc>
          <w:tcPr>
            <w:tcW w:type="dxa" w:w="1800"/>
            <w:vAlign w:val="center"/>
            <w:shd w:fill="F7F8FA"/>
          </w:tcPr>
          <w:p>
            <w:pPr>
              <w:spacing w:after="40" w:line="240" w:lineRule="auto"/>
            </w:pPr>
            <w:r/>
            <w:r>
              <w:rPr>
                <w:rFonts w:ascii="Garamond" w:hAnsi="Garamond"/>
                <w:b w:val="0"/>
                <w:color w:val="222222"/>
                <w:sz w:val="17"/>
              </w:rPr>
              <w:t>Alta/Media/Baja</w:t>
            </w:r>
          </w:p>
        </w:tc>
        <w:tc>
          <w:tcPr>
            <w:tcW w:type="dxa" w:w="1800"/>
            <w:vAlign w:val="center"/>
            <w:shd w:fill="F7F8FA"/>
          </w:tcPr>
          <w:p>
            <w:pPr>
              <w:spacing w:after="40" w:line="240" w:lineRule="auto"/>
            </w:pPr>
            <w:r/>
            <w:r>
              <w:rPr>
                <w:rFonts w:ascii="Garamond" w:hAnsi="Garamond"/>
                <w:b w:val="0"/>
                <w:color w:val="222222"/>
                <w:sz w:val="17"/>
              </w:rPr>
              <w:t>Alto</w:t>
            </w:r>
          </w:p>
        </w:tc>
        <w:tc>
          <w:tcPr>
            <w:tcW w:type="dxa" w:w="3672"/>
            <w:vAlign w:val="center"/>
            <w:shd w:fill="F7F8FA"/>
          </w:tcPr>
          <w:p>
            <w:pPr>
              <w:spacing w:after="40" w:line="240" w:lineRule="auto"/>
            </w:pPr>
            <w:r/>
            <w:r>
              <w:rPr>
                <w:rFonts w:ascii="Garamond" w:hAnsi="Garamond"/>
                <w:b w:val="0"/>
                <w:color w:val="222222"/>
                <w:sz w:val="17"/>
              </w:rPr>
              <w:t>Analizar garantía/suspensión.</w:t>
            </w:r>
          </w:p>
        </w:tc>
      </w:tr>
      <w:tr>
        <w:tc>
          <w:tcPr>
            <w:tcW w:type="dxa" w:w="2448"/>
            <w:vAlign w:val="center"/>
          </w:tcPr>
          <w:p>
            <w:pPr>
              <w:spacing w:after="40" w:line="240" w:lineRule="auto"/>
            </w:pPr>
            <w:r/>
            <w:r>
              <w:rPr>
                <w:rFonts w:ascii="Garamond" w:hAnsi="Garamond"/>
                <w:b w:val="0"/>
                <w:color w:val="222222"/>
                <w:sz w:val="17"/>
              </w:rPr>
              <w:t>Prueba técnica faltante</w:t>
            </w:r>
          </w:p>
        </w:tc>
        <w:tc>
          <w:tcPr>
            <w:tcW w:type="dxa" w:w="1800"/>
            <w:vAlign w:val="center"/>
          </w:tcPr>
          <w:p>
            <w:pPr>
              <w:spacing w:after="40" w:line="240" w:lineRule="auto"/>
            </w:pPr>
            <w:r/>
            <w:r>
              <w:rPr>
                <w:rFonts w:ascii="Garamond" w:hAnsi="Garamond"/>
                <w:b w:val="0"/>
                <w:color w:val="222222"/>
                <w:sz w:val="17"/>
              </w:rPr>
              <w:t>Alta/Media/Baja</w:t>
            </w:r>
          </w:p>
        </w:tc>
        <w:tc>
          <w:tcPr>
            <w:tcW w:type="dxa" w:w="1800"/>
            <w:vAlign w:val="center"/>
          </w:tcPr>
          <w:p>
            <w:pPr>
              <w:spacing w:after="40" w:line="240" w:lineRule="auto"/>
            </w:pPr>
            <w:r/>
            <w:r>
              <w:rPr>
                <w:rFonts w:ascii="Garamond" w:hAnsi="Garamond"/>
                <w:b w:val="0"/>
                <w:color w:val="222222"/>
                <w:sz w:val="17"/>
              </w:rPr>
              <w:t>Medio/Alto</w:t>
            </w:r>
          </w:p>
        </w:tc>
        <w:tc>
          <w:tcPr>
            <w:tcW w:type="dxa" w:w="3672"/>
            <w:vAlign w:val="center"/>
          </w:tcPr>
          <w:p>
            <w:pPr>
              <w:spacing w:after="40" w:line="240" w:lineRule="auto"/>
            </w:pPr>
            <w:r/>
            <w:r>
              <w:rPr>
                <w:rFonts w:ascii="Garamond" w:hAnsi="Garamond"/>
                <w:b w:val="0"/>
                <w:color w:val="222222"/>
                <w:sz w:val="17"/>
              </w:rPr>
              <w:t>Contratar perito y preservar evidencia.</w:t>
            </w:r>
          </w:p>
        </w:tc>
      </w:tr>
    </w:tbl>
    <w:p>
      <w:pPr>
        <w:spacing w:after="20"/>
      </w:pPr>
    </w:p>
    <w:p>
      <w:pPr>
        <w:pStyle w:val="Ttulo2"/>
      </w:pPr>
      <w:r>
        <w:t>26.4 Regla de oro</w:t>
      </w:r>
    </w:p>
    <w:p>
      <w:r>
        <w:t>Cada promoción debe responder tres preguntas: ¿qué quiero?, ¿por qué tengo derecho a pedirlo?, ¿qué documento demuestra los hechos? Si falta una de las tres, la promoción necesita revisión antes de presentarse.</w:t>
      </w:r>
    </w:p>
    <w:p>
      <w:pPr>
        <w:pStyle w:val="Ttulo1"/>
      </w:pPr>
      <w:r>
        <w:t>ANEXO A. MAPA NORMATIVO</w:t>
      </w:r>
    </w:p>
    <w:tbl>
      <w:tblPr>
        <w:tblW w:type="auto" w:w="0"/>
        <w:jc w:val="center"/>
        <w:tblLook w:firstColumn="1" w:firstRow="1" w:lastColumn="0" w:lastRow="0" w:noHBand="0" w:noVBand="1" w:val="04A0"/>
      </w:tblPr>
      <w:tblGrid>
        <w:gridCol w:w="3288"/>
        <w:gridCol w:w="3288"/>
        <w:gridCol w:w="3288"/>
      </w:tblGrid>
      <w:tr>
        <w:tc>
          <w:tcPr>
            <w:tcW w:type="dxa" w:w="2736"/>
            <w:vAlign w:val="center"/>
            <w:shd w:fill="1A2B4A"/>
          </w:tcPr>
          <w:p>
            <w:pPr>
              <w:spacing w:after="40" w:line="240" w:lineRule="auto"/>
            </w:pPr>
            <w:r/>
            <w:r>
              <w:rPr>
                <w:rFonts w:ascii="Garamond" w:hAnsi="Garamond"/>
                <w:b/>
                <w:color w:val="FFFFFF"/>
                <w:sz w:val="17"/>
              </w:rPr>
              <w:t>Norma</w:t>
            </w:r>
          </w:p>
        </w:tc>
        <w:tc>
          <w:tcPr>
            <w:tcW w:type="dxa" w:w="4320"/>
            <w:vAlign w:val="center"/>
            <w:shd w:fill="1A2B4A"/>
          </w:tcPr>
          <w:p>
            <w:pPr>
              <w:spacing w:after="40" w:line="240" w:lineRule="auto"/>
            </w:pPr>
            <w:r/>
            <w:r>
              <w:rPr>
                <w:rFonts w:ascii="Garamond" w:hAnsi="Garamond"/>
                <w:b/>
                <w:color w:val="FFFFFF"/>
                <w:sz w:val="17"/>
              </w:rPr>
              <w:t>Tema principal</w:t>
            </w:r>
          </w:p>
        </w:tc>
        <w:tc>
          <w:tcPr>
            <w:tcW w:type="dxa" w:w="2448"/>
            <w:vAlign w:val="center"/>
            <w:shd w:fill="1A2B4A"/>
          </w:tcPr>
          <w:p>
            <w:pPr>
              <w:spacing w:after="40" w:line="240" w:lineRule="auto"/>
            </w:pPr>
            <w:r/>
            <w:r>
              <w:rPr>
                <w:rFonts w:ascii="Garamond" w:hAnsi="Garamond"/>
                <w:b/>
                <w:color w:val="FFFFFF"/>
                <w:sz w:val="17"/>
              </w:rPr>
              <w:t>Revisión oficial</w:t>
            </w:r>
          </w:p>
        </w:tc>
      </w:tr>
      <w:tr>
        <w:tc>
          <w:tcPr>
            <w:tcW w:type="dxa" w:w="2736"/>
            <w:vAlign w:val="center"/>
          </w:tcPr>
          <w:p>
            <w:pPr>
              <w:spacing w:after="40" w:line="240" w:lineRule="auto"/>
            </w:pPr>
            <w:r/>
            <w:r>
              <w:rPr>
                <w:rFonts w:ascii="Garamond" w:hAnsi="Garamond"/>
                <w:b w:val="0"/>
                <w:color w:val="222222"/>
                <w:sz w:val="17"/>
              </w:rPr>
              <w:t>CPEUM</w:t>
            </w:r>
          </w:p>
        </w:tc>
        <w:tc>
          <w:tcPr>
            <w:tcW w:type="dxa" w:w="4320"/>
            <w:vAlign w:val="center"/>
          </w:tcPr>
          <w:p>
            <w:pPr>
              <w:spacing w:after="40" w:line="240" w:lineRule="auto"/>
            </w:pPr>
            <w:r/>
            <w:r>
              <w:rPr>
                <w:rFonts w:ascii="Garamond" w:hAnsi="Garamond"/>
                <w:b w:val="0"/>
                <w:color w:val="222222"/>
                <w:sz w:val="17"/>
              </w:rPr>
              <w:t>Constitución, legalidad, debido proceso, acceso a justicia, responsabilidades y amparo</w:t>
            </w:r>
          </w:p>
        </w:tc>
        <w:tc>
          <w:tcPr>
            <w:tcW w:type="dxa" w:w="2448"/>
            <w:vAlign w:val="center"/>
          </w:tcPr>
          <w:p>
            <w:pPr>
              <w:spacing w:after="40" w:line="240" w:lineRule="auto"/>
            </w:pPr>
            <w:r/>
            <w:r>
              <w:rPr>
                <w:rFonts w:ascii="Garamond" w:hAnsi="Garamond"/>
                <w:b w:val="0"/>
                <w:color w:val="222222"/>
                <w:sz w:val="17"/>
              </w:rPr>
              <w:t>Cámara de Diputados, texto vigente.</w:t>
            </w:r>
          </w:p>
        </w:tc>
      </w:tr>
      <w:tr>
        <w:tc>
          <w:tcPr>
            <w:tcW w:type="dxa" w:w="2736"/>
            <w:vAlign w:val="center"/>
            <w:shd w:fill="F7F8FA"/>
          </w:tcPr>
          <w:p>
            <w:pPr>
              <w:spacing w:after="40" w:line="240" w:lineRule="auto"/>
            </w:pPr>
            <w:r/>
            <w:r>
              <w:rPr>
                <w:rFonts w:ascii="Garamond" w:hAnsi="Garamond"/>
                <w:b w:val="0"/>
                <w:color w:val="222222"/>
                <w:sz w:val="17"/>
              </w:rPr>
              <w:t>LFPA</w:t>
            </w:r>
          </w:p>
        </w:tc>
        <w:tc>
          <w:tcPr>
            <w:tcW w:type="dxa" w:w="4320"/>
            <w:vAlign w:val="center"/>
            <w:shd w:fill="F7F8FA"/>
          </w:tcPr>
          <w:p>
            <w:pPr>
              <w:spacing w:after="40" w:line="240" w:lineRule="auto"/>
            </w:pPr>
            <w:r/>
            <w:r>
              <w:rPr>
                <w:rFonts w:ascii="Garamond" w:hAnsi="Garamond"/>
                <w:b w:val="0"/>
                <w:color w:val="222222"/>
                <w:sz w:val="17"/>
              </w:rPr>
              <w:t>Procedimiento administrativo federal no fiscal ni de responsabilidades, en su ámbito</w:t>
            </w:r>
          </w:p>
        </w:tc>
        <w:tc>
          <w:tcPr>
            <w:tcW w:type="dxa" w:w="2448"/>
            <w:vAlign w:val="center"/>
            <w:shd w:fill="F7F8FA"/>
          </w:tcPr>
          <w:p>
            <w:pPr>
              <w:spacing w:after="40" w:line="240" w:lineRule="auto"/>
            </w:pPr>
            <w:r/>
            <w:r>
              <w:rPr>
                <w:rFonts w:ascii="Garamond" w:hAnsi="Garamond"/>
                <w:b w:val="0"/>
                <w:color w:val="222222"/>
                <w:sz w:val="17"/>
              </w:rPr>
              <w:t>Cámara de Diputados, texto vigente.</w:t>
            </w:r>
          </w:p>
        </w:tc>
      </w:tr>
      <w:tr>
        <w:tc>
          <w:tcPr>
            <w:tcW w:type="dxa" w:w="2736"/>
            <w:vAlign w:val="center"/>
          </w:tcPr>
          <w:p>
            <w:pPr>
              <w:spacing w:after="40" w:line="240" w:lineRule="auto"/>
            </w:pPr>
            <w:r/>
            <w:r>
              <w:rPr>
                <w:rFonts w:ascii="Garamond" w:hAnsi="Garamond"/>
                <w:b w:val="0"/>
                <w:color w:val="222222"/>
                <w:sz w:val="17"/>
              </w:rPr>
              <w:t>LFPCA</w:t>
            </w:r>
          </w:p>
        </w:tc>
        <w:tc>
          <w:tcPr>
            <w:tcW w:type="dxa" w:w="4320"/>
            <w:vAlign w:val="center"/>
          </w:tcPr>
          <w:p>
            <w:pPr>
              <w:spacing w:after="40" w:line="240" w:lineRule="auto"/>
            </w:pPr>
            <w:r/>
            <w:r>
              <w:rPr>
                <w:rFonts w:ascii="Garamond" w:hAnsi="Garamond"/>
                <w:b w:val="0"/>
                <w:color w:val="222222"/>
                <w:sz w:val="17"/>
              </w:rPr>
              <w:t>Juicio contencioso administrativo federal</w:t>
            </w:r>
          </w:p>
        </w:tc>
        <w:tc>
          <w:tcPr>
            <w:tcW w:type="dxa" w:w="2448"/>
            <w:vAlign w:val="center"/>
          </w:tcPr>
          <w:p>
            <w:pPr>
              <w:spacing w:after="40" w:line="240" w:lineRule="auto"/>
            </w:pPr>
            <w:r/>
            <w:r>
              <w:rPr>
                <w:rFonts w:ascii="Garamond" w:hAnsi="Garamond"/>
                <w:b w:val="0"/>
                <w:color w:val="222222"/>
                <w:sz w:val="17"/>
              </w:rPr>
              <w:t>Cámara de Diputados, texto vigente; reforma consultada 09/06/2026.</w:t>
            </w:r>
          </w:p>
        </w:tc>
      </w:tr>
      <w:tr>
        <w:tc>
          <w:tcPr>
            <w:tcW w:type="dxa" w:w="2736"/>
            <w:vAlign w:val="center"/>
            <w:shd w:fill="F7F8FA"/>
          </w:tcPr>
          <w:p>
            <w:pPr>
              <w:spacing w:after="40" w:line="240" w:lineRule="auto"/>
            </w:pPr>
            <w:r/>
            <w:r>
              <w:rPr>
                <w:rFonts w:ascii="Garamond" w:hAnsi="Garamond"/>
                <w:b w:val="0"/>
                <w:color w:val="222222"/>
                <w:sz w:val="17"/>
              </w:rPr>
              <w:t>CFF</w:t>
            </w:r>
          </w:p>
        </w:tc>
        <w:tc>
          <w:tcPr>
            <w:tcW w:type="dxa" w:w="4320"/>
            <w:vAlign w:val="center"/>
            <w:shd w:fill="F7F8FA"/>
          </w:tcPr>
          <w:p>
            <w:pPr>
              <w:spacing w:after="40" w:line="240" w:lineRule="auto"/>
            </w:pPr>
            <w:r/>
            <w:r>
              <w:rPr>
                <w:rFonts w:ascii="Garamond" w:hAnsi="Garamond"/>
                <w:b w:val="0"/>
                <w:color w:val="222222"/>
                <w:sz w:val="17"/>
              </w:rPr>
              <w:t>Materia fiscal federal, revocación y PAE</w:t>
            </w:r>
          </w:p>
        </w:tc>
        <w:tc>
          <w:tcPr>
            <w:tcW w:type="dxa" w:w="2448"/>
            <w:vAlign w:val="center"/>
            <w:shd w:fill="F7F8FA"/>
          </w:tcPr>
          <w:p>
            <w:pPr>
              <w:spacing w:after="40" w:line="240" w:lineRule="auto"/>
            </w:pPr>
            <w:r/>
            <w:r>
              <w:rPr>
                <w:rFonts w:ascii="Garamond" w:hAnsi="Garamond"/>
                <w:b w:val="0"/>
                <w:color w:val="222222"/>
                <w:sz w:val="17"/>
              </w:rPr>
              <w:t>Cámara de Diputados, texto vigente; reforma consultada 09/04/2026.</w:t>
            </w:r>
          </w:p>
        </w:tc>
      </w:tr>
      <w:tr>
        <w:tc>
          <w:tcPr>
            <w:tcW w:type="dxa" w:w="2736"/>
            <w:vAlign w:val="center"/>
          </w:tcPr>
          <w:p>
            <w:pPr>
              <w:spacing w:after="40" w:line="240" w:lineRule="auto"/>
            </w:pPr>
            <w:r/>
            <w:r>
              <w:rPr>
                <w:rFonts w:ascii="Garamond" w:hAnsi="Garamond"/>
                <w:b w:val="0"/>
                <w:color w:val="222222"/>
                <w:sz w:val="17"/>
              </w:rPr>
              <w:t>LOAPF</w:t>
            </w:r>
          </w:p>
        </w:tc>
        <w:tc>
          <w:tcPr>
            <w:tcW w:type="dxa" w:w="4320"/>
            <w:vAlign w:val="center"/>
          </w:tcPr>
          <w:p>
            <w:pPr>
              <w:spacing w:after="40" w:line="240" w:lineRule="auto"/>
            </w:pPr>
            <w:r/>
            <w:r>
              <w:rPr>
                <w:rFonts w:ascii="Garamond" w:hAnsi="Garamond"/>
                <w:b w:val="0"/>
                <w:color w:val="222222"/>
                <w:sz w:val="17"/>
              </w:rPr>
              <w:t>Organización de la Administración Pública Federal</w:t>
            </w:r>
          </w:p>
        </w:tc>
        <w:tc>
          <w:tcPr>
            <w:tcW w:type="dxa" w:w="2448"/>
            <w:vAlign w:val="center"/>
          </w:tcPr>
          <w:p>
            <w:pPr>
              <w:spacing w:after="40" w:line="240" w:lineRule="auto"/>
            </w:pPr>
            <w:r/>
            <w:r>
              <w:rPr>
                <w:rFonts w:ascii="Garamond" w:hAnsi="Garamond"/>
                <w:b w:val="0"/>
                <w:color w:val="222222"/>
                <w:sz w:val="17"/>
              </w:rPr>
              <w:t>Cámara de Diputados, texto vigente.</w:t>
            </w:r>
          </w:p>
        </w:tc>
      </w:tr>
      <w:tr>
        <w:tc>
          <w:tcPr>
            <w:tcW w:type="dxa" w:w="2736"/>
            <w:vAlign w:val="center"/>
            <w:shd w:fill="F7F8FA"/>
          </w:tcPr>
          <w:p>
            <w:pPr>
              <w:spacing w:after="40" w:line="240" w:lineRule="auto"/>
            </w:pPr>
            <w:r/>
            <w:r>
              <w:rPr>
                <w:rFonts w:ascii="Garamond" w:hAnsi="Garamond"/>
                <w:b w:val="0"/>
                <w:color w:val="222222"/>
                <w:sz w:val="17"/>
              </w:rPr>
              <w:t>LGRA</w:t>
            </w:r>
          </w:p>
        </w:tc>
        <w:tc>
          <w:tcPr>
            <w:tcW w:type="dxa" w:w="4320"/>
            <w:vAlign w:val="center"/>
            <w:shd w:fill="F7F8FA"/>
          </w:tcPr>
          <w:p>
            <w:pPr>
              <w:spacing w:after="40" w:line="240" w:lineRule="auto"/>
            </w:pPr>
            <w:r/>
            <w:r>
              <w:rPr>
                <w:rFonts w:ascii="Garamond" w:hAnsi="Garamond"/>
                <w:b w:val="0"/>
                <w:color w:val="222222"/>
                <w:sz w:val="17"/>
              </w:rPr>
              <w:t>Responsabilidades administrativas</w:t>
            </w:r>
          </w:p>
        </w:tc>
        <w:tc>
          <w:tcPr>
            <w:tcW w:type="dxa" w:w="2448"/>
            <w:vAlign w:val="center"/>
            <w:shd w:fill="F7F8FA"/>
          </w:tcPr>
          <w:p>
            <w:pPr>
              <w:spacing w:after="40" w:line="240" w:lineRule="auto"/>
            </w:pPr>
            <w:r/>
            <w:r>
              <w:rPr>
                <w:rFonts w:ascii="Garamond" w:hAnsi="Garamond"/>
                <w:b w:val="0"/>
                <w:color w:val="222222"/>
                <w:sz w:val="17"/>
              </w:rPr>
              <w:t>Cámara de Diputados, texto vigente.</w:t>
            </w:r>
          </w:p>
        </w:tc>
      </w:tr>
      <w:tr>
        <w:tc>
          <w:tcPr>
            <w:tcW w:type="dxa" w:w="2736"/>
            <w:vAlign w:val="center"/>
          </w:tcPr>
          <w:p>
            <w:pPr>
              <w:spacing w:after="40" w:line="240" w:lineRule="auto"/>
            </w:pPr>
            <w:r/>
            <w:r>
              <w:rPr>
                <w:rFonts w:ascii="Garamond" w:hAnsi="Garamond"/>
                <w:b w:val="0"/>
                <w:color w:val="222222"/>
                <w:sz w:val="17"/>
              </w:rPr>
              <w:t>Ley de Amparo</w:t>
            </w:r>
          </w:p>
        </w:tc>
        <w:tc>
          <w:tcPr>
            <w:tcW w:type="dxa" w:w="4320"/>
            <w:vAlign w:val="center"/>
          </w:tcPr>
          <w:p>
            <w:pPr>
              <w:spacing w:after="40" w:line="240" w:lineRule="auto"/>
            </w:pPr>
            <w:r/>
            <w:r>
              <w:rPr>
                <w:rFonts w:ascii="Garamond" w:hAnsi="Garamond"/>
                <w:b w:val="0"/>
                <w:color w:val="222222"/>
                <w:sz w:val="17"/>
              </w:rPr>
              <w:t>Control constitucional y suspensión</w:t>
            </w:r>
          </w:p>
        </w:tc>
        <w:tc>
          <w:tcPr>
            <w:tcW w:type="dxa" w:w="2448"/>
            <w:vAlign w:val="center"/>
          </w:tcPr>
          <w:p>
            <w:pPr>
              <w:spacing w:after="40" w:line="240" w:lineRule="auto"/>
            </w:pPr>
            <w:r/>
            <w:r>
              <w:rPr>
                <w:rFonts w:ascii="Garamond" w:hAnsi="Garamond"/>
                <w:b w:val="0"/>
                <w:color w:val="222222"/>
                <w:sz w:val="17"/>
              </w:rPr>
              <w:t>Cámara de Diputados, texto vigente.</w:t>
            </w:r>
          </w:p>
        </w:tc>
      </w:tr>
      <w:tr>
        <w:tc>
          <w:tcPr>
            <w:tcW w:type="dxa" w:w="2736"/>
            <w:vAlign w:val="center"/>
            <w:shd w:fill="F7F8FA"/>
          </w:tcPr>
          <w:p>
            <w:pPr>
              <w:spacing w:after="40" w:line="240" w:lineRule="auto"/>
            </w:pPr>
            <w:r/>
            <w:r>
              <w:rPr>
                <w:rFonts w:ascii="Garamond" w:hAnsi="Garamond"/>
                <w:b w:val="0"/>
                <w:color w:val="222222"/>
                <w:sz w:val="17"/>
              </w:rPr>
              <w:t>Jalisco: Ley del Procedimiento Administrativo</w:t>
            </w:r>
          </w:p>
        </w:tc>
        <w:tc>
          <w:tcPr>
            <w:tcW w:type="dxa" w:w="4320"/>
            <w:vAlign w:val="center"/>
            <w:shd w:fill="F7F8FA"/>
          </w:tcPr>
          <w:p>
            <w:pPr>
              <w:spacing w:after="40" w:line="240" w:lineRule="auto"/>
            </w:pPr>
            <w:r/>
            <w:r>
              <w:rPr>
                <w:rFonts w:ascii="Garamond" w:hAnsi="Garamond"/>
                <w:b w:val="0"/>
                <w:color w:val="222222"/>
                <w:sz w:val="17"/>
              </w:rPr>
              <w:t>Procedimiento administrativo estatal/local</w:t>
            </w:r>
          </w:p>
        </w:tc>
        <w:tc>
          <w:tcPr>
            <w:tcW w:type="dxa" w:w="2448"/>
            <w:vAlign w:val="center"/>
            <w:shd w:fill="F7F8FA"/>
          </w:tcPr>
          <w:p>
            <w:pPr>
              <w:spacing w:after="40" w:line="240" w:lineRule="auto"/>
            </w:pPr>
            <w:r/>
            <w:r>
              <w:rPr>
                <w:rFonts w:ascii="Garamond" w:hAnsi="Garamond"/>
                <w:b w:val="0"/>
                <w:color w:val="222222"/>
                <w:sz w:val="17"/>
              </w:rPr>
              <w:t>Congreso de Jalisco.</w:t>
            </w:r>
          </w:p>
        </w:tc>
      </w:tr>
      <w:tr>
        <w:tc>
          <w:tcPr>
            <w:tcW w:type="dxa" w:w="2736"/>
            <w:vAlign w:val="center"/>
          </w:tcPr>
          <w:p>
            <w:pPr>
              <w:spacing w:after="40" w:line="240" w:lineRule="auto"/>
            </w:pPr>
            <w:r/>
            <w:r>
              <w:rPr>
                <w:rFonts w:ascii="Garamond" w:hAnsi="Garamond"/>
                <w:b w:val="0"/>
                <w:color w:val="222222"/>
                <w:sz w:val="17"/>
              </w:rPr>
              <w:t>Jalisco: Ley de Justicia Administrativa</w:t>
            </w:r>
          </w:p>
        </w:tc>
        <w:tc>
          <w:tcPr>
            <w:tcW w:type="dxa" w:w="4320"/>
            <w:vAlign w:val="center"/>
          </w:tcPr>
          <w:p>
            <w:pPr>
              <w:spacing w:after="40" w:line="240" w:lineRule="auto"/>
            </w:pPr>
            <w:r/>
            <w:r>
              <w:rPr>
                <w:rFonts w:ascii="Garamond" w:hAnsi="Garamond"/>
                <w:b w:val="0"/>
                <w:color w:val="222222"/>
                <w:sz w:val="17"/>
              </w:rPr>
              <w:t>Jurisdicción administrativa estatal</w:t>
            </w:r>
          </w:p>
        </w:tc>
        <w:tc>
          <w:tcPr>
            <w:tcW w:type="dxa" w:w="2448"/>
            <w:vAlign w:val="center"/>
          </w:tcPr>
          <w:p>
            <w:pPr>
              <w:spacing w:after="40" w:line="240" w:lineRule="auto"/>
            </w:pPr>
            <w:r/>
            <w:r>
              <w:rPr>
                <w:rFonts w:ascii="Garamond" w:hAnsi="Garamond"/>
                <w:b w:val="0"/>
                <w:color w:val="222222"/>
                <w:sz w:val="17"/>
              </w:rPr>
              <w:t>Congreso de Jalisco.</w:t>
            </w:r>
          </w:p>
        </w:tc>
      </w:tr>
      <w:tr>
        <w:tc>
          <w:tcPr>
            <w:tcW w:type="dxa" w:w="2736"/>
            <w:vAlign w:val="center"/>
            <w:shd w:fill="F7F8FA"/>
          </w:tcPr>
          <w:p>
            <w:pPr>
              <w:spacing w:after="40" w:line="240" w:lineRule="auto"/>
            </w:pPr>
            <w:r/>
            <w:r>
              <w:rPr>
                <w:rFonts w:ascii="Garamond" w:hAnsi="Garamond"/>
                <w:b w:val="0"/>
                <w:color w:val="222222"/>
                <w:sz w:val="17"/>
              </w:rPr>
              <w:t>Jalisco: Ley para los Servidores Públicos</w:t>
            </w:r>
          </w:p>
        </w:tc>
        <w:tc>
          <w:tcPr>
            <w:tcW w:type="dxa" w:w="4320"/>
            <w:vAlign w:val="center"/>
            <w:shd w:fill="F7F8FA"/>
          </w:tcPr>
          <w:p>
            <w:pPr>
              <w:spacing w:after="40" w:line="240" w:lineRule="auto"/>
            </w:pPr>
            <w:r/>
            <w:r>
              <w:rPr>
                <w:rFonts w:ascii="Garamond" w:hAnsi="Garamond"/>
                <w:b w:val="0"/>
                <w:color w:val="222222"/>
                <w:sz w:val="17"/>
              </w:rPr>
              <w:t>Régimen de servidores públicos</w:t>
            </w:r>
          </w:p>
        </w:tc>
        <w:tc>
          <w:tcPr>
            <w:tcW w:type="dxa" w:w="2448"/>
            <w:vAlign w:val="center"/>
            <w:shd w:fill="F7F8FA"/>
          </w:tcPr>
          <w:p>
            <w:pPr>
              <w:spacing w:after="40" w:line="240" w:lineRule="auto"/>
            </w:pPr>
            <w:r/>
            <w:r>
              <w:rPr>
                <w:rFonts w:ascii="Garamond" w:hAnsi="Garamond"/>
                <w:b w:val="0"/>
                <w:color w:val="222222"/>
                <w:sz w:val="17"/>
              </w:rPr>
              <w:t>Congreso de Jalisco.</w:t>
            </w:r>
          </w:p>
        </w:tc>
      </w:tr>
    </w:tbl>
    <w:p>
      <w:pPr>
        <w:spacing w:after="20"/>
      </w:pPr>
    </w:p>
    <w:p>
      <w:pPr>
        <w:pStyle w:val="Ttulo1"/>
      </w:pPr>
      <w:r>
        <w:t>ANEXO B. FUENTES OFICIALES Y ACTUALIZACIÓN NORMATIVA</w:t>
      </w:r>
    </w:p>
    <w:p>
      <w:r>
        <w:t>La presente edición se elaboró en septiembre de 2026 utilizando como referencia textos oficiales consultados en fuentes legislativas. La guía de estudio del Módulo 19 aportada por el autor fue tomada como orientación de estructura y práctica forense; sus materiales son de 2022, por lo que no se trasladaron automáticamente sus plazos o artículos cuando la legislación vigente los modificó.</w:t>
      </w:r>
    </w:p>
    <w:p>
      <w:r>
        <w:t>• Cámara de Diputados — CPEUM: última reforma consultada DOF 03/03/2026.</w:t>
      </w:r>
    </w:p>
    <w:p>
      <w:r>
        <w:t>• Cámara de Diputados — LFPA: última reforma consultada DOF 14/11/2025.</w:t>
      </w:r>
    </w:p>
    <w:p>
      <w:r>
        <w:t>• Cámara de Diputados — LFPCA: última reforma consultada DOF 09/06/2026.</w:t>
      </w:r>
    </w:p>
    <w:p>
      <w:r>
        <w:t>• Cámara de Diputados — CFF: texto vigente consultado con última reforma DOF 09/04/2026.</w:t>
      </w:r>
    </w:p>
    <w:p>
      <w:r>
        <w:t>• Cámara de Diputados — LOAPF: última reforma consultada DOF 16/07/2025.</w:t>
      </w:r>
    </w:p>
    <w:p>
      <w:r>
        <w:t>• Cámara de Diputados — LGRA: última reforma consultada DOF 15/12/2025.</w:t>
      </w:r>
    </w:p>
    <w:p>
      <w:r>
        <w:t>• Cámara de Diputados — Ley de Amparo: última reforma consultada DOF 16/10/2025.</w:t>
      </w:r>
    </w:p>
    <w:p>
      <w:r>
        <w:t>• Congreso del Estado de Jalisco — Biblioteca Virtual Legislativa: versiones vigentes y fechas de modificación de leyes estatales.</w:t>
      </w:r>
    </w:p>
    <w:tbl>
      <w:tblPr>
        <w:tblW w:type="auto" w:w="0"/>
        <w:jc w:val="center"/>
        <w:tblLook w:firstColumn="1" w:firstRow="1" w:lastColumn="0" w:lastRow="0" w:noHBand="0" w:noVBand="1" w:val="04A0"/>
      </w:tblPr>
      <w:tblGrid>
        <w:gridCol w:w="9864"/>
      </w:tblGrid>
      <w:tr>
        <w:tc>
          <w:tcPr>
            <w:tcW w:type="dxa" w:w="9864"/>
            <w:shd w:fill="F2F4F7"/>
          </w:tcPr>
          <w:p>
            <w:pPr>
              <w:spacing w:after="0"/>
              <w:ind w:left="72" w:right="72"/>
            </w:pPr>
            <w:r>
              <w:rPr>
                <w:b/>
                <w:color w:val="C79A2B"/>
                <w:sz w:val="20"/>
              </w:rPr>
              <w:t xml:space="preserve">📚  </w:t>
            </w:r>
            <w:r>
              <w:rPr>
                <w:rFonts w:ascii="Garamond" w:hAnsi="Garamond"/>
                <w:i/>
                <w:color w:val="1A2B4A"/>
                <w:sz w:val="18"/>
              </w:rPr>
              <w:t>Fuente de orientación aportada por el usuario: Manual de Litigación en Derecho Sucesorio y de Herencias | Jalisco. Su diseño utiliza capítulos breves, tablas comparativas, checklists, advertencias prácticas y modelos, estructura que se reproduce en este manual administrativo.</w:t>
            </w:r>
          </w:p>
        </w:tc>
      </w:tr>
    </w:tbl>
    <w:p>
      <w:pPr>
        <w:spacing w:after="20"/>
      </w:pPr>
    </w:p>
    <w:p>
      <w:r>
        <w:t>FIN DEL MANUAL</w:t>
      </w:r>
    </w:p>
    <w:p>
      <w:pPr>
        <w:pStyle w:val="Ttulo2"/>
      </w:pPr>
      <w:r>
        <w:t>Referencias oficiales en línea</w:t>
      </w:r>
    </w:p>
    <w:p>
      <w:pPr>
        <w:pStyle w:val="SmallText"/>
      </w:pPr>
      <w:r>
        <w:t>https://www.diputados.gob.mx/LeyesBiblio/pdf/CPEUM.pdf</w:t>
      </w:r>
    </w:p>
    <w:p>
      <w:pPr>
        <w:pStyle w:val="SmallText"/>
      </w:pPr>
      <w:r>
        <w:t>https://www.diputados.gob.mx/LeyesBiblio/pdf/LFPA.pdf</w:t>
      </w:r>
    </w:p>
    <w:p>
      <w:pPr>
        <w:pStyle w:val="SmallText"/>
      </w:pPr>
      <w:r>
        <w:t>https://www.diputados.gob.mx/LeyesBiblio/pdf/LFPCA.pdf</w:t>
      </w:r>
    </w:p>
    <w:p>
      <w:pPr>
        <w:pStyle w:val="SmallText"/>
      </w:pPr>
      <w:r>
        <w:t>https://www.diputados.gob.mx/LeyesBiblio/pdf/CFF.pdf</w:t>
      </w:r>
    </w:p>
    <w:p>
      <w:pPr>
        <w:pStyle w:val="SmallText"/>
      </w:pPr>
      <w:r>
        <w:t>https://www.diputados.gob.mx/LeyesBiblio/pdf/LOAPF.pdf</w:t>
      </w:r>
    </w:p>
    <w:p>
      <w:pPr>
        <w:pStyle w:val="SmallText"/>
      </w:pPr>
      <w:r>
        <w:t>https://www.diputados.gob.mx/LeyesBiblio/pdf/LGRA.pdf</w:t>
      </w:r>
    </w:p>
    <w:p>
      <w:pPr>
        <w:pStyle w:val="SmallText"/>
      </w:pPr>
      <w:r>
        <w:t>https://www.diputados.gob.mx/LeyesBiblio/pdf/LAmp.pdf</w:t>
      </w:r>
    </w:p>
    <w:p>
      <w:pPr>
        <w:pStyle w:val="SmallText"/>
      </w:pPr>
      <w:r>
        <w:t>https://congresoweb.congresojal.gob.mx/BibliotecaVirtual/busquedasleyes/ListadoNvo.cfm</w:t>
      </w:r>
    </w:p>
    <w:p>
      <w:r>
        <w:br w:type="page"/>
      </w:r>
    </w:p>
    <w:p>
      <w:pPr>
        <w:pStyle w:val="Ttulo1"/>
      </w:pPr>
      <w:r>
        <w:t>EDICIÓN AMPLIADA 2026 · DERECHO ADMINISTRATIVO, FISCAL Y RESPONSABILIDADES</w:t>
      </w:r>
    </w:p>
    <w:p>
      <w:r>
        <w:t>Este bloque profundiza el manual original con metodología de litigación, matrices de decisión, errores frecuentes, evidencia digital, casos de entrenamiento y control de plazos. Debe leerse junto con los capítulos anteriores.</w:t>
      </w:r>
    </w:p>
    <w:p>
      <w:r>
        <w:rPr>
          <w:b/>
          <w:color w:val="AD5C00"/>
        </w:rPr>
        <w:t xml:space="preserve">⚠ CONTROL DE VIGENCIA: </w:t>
      </w:r>
      <w:r>
        <w:t>Antes de presentar cualquier escrito, verifica el texto legal vigente, transitorios, competencia, plazo y criterio obligatorio aplicable.</w:t>
      </w:r>
    </w:p>
    <w:p>
      <w:pPr>
        <w:pStyle w:val="Ttulo1"/>
      </w:pPr>
      <w:r>
        <w:t>29. Matriz maestra de diagnóstico del acto</w:t>
      </w:r>
    </w:p>
    <w:tbl>
      <w:tblPr>
        <w:tblW w:type="auto" w:w="0"/>
        <w:jc w:val="center"/>
        <w:tblLook w:firstColumn="1" w:firstRow="1" w:lastColumn="0" w:lastRow="0" w:noHBand="0" w:noVBand="1" w:val="04A0"/>
      </w:tblPr>
      <w:tblGrid>
        <w:gridCol w:w="3288"/>
        <w:gridCol w:w="3288"/>
        <w:gridCol w:w="3288"/>
      </w:tblGrid>
      <w:tr>
        <w:tc>
          <w:tcPr>
            <w:tcW w:type="dxa" w:w="3288"/>
            <w:shd w:fill="D9EAF7"/>
          </w:tcPr>
          <w:p>
            <w:r>
              <w:rPr>
                <w:b/>
              </w:rPr>
              <w:t>Control</w:t>
            </w:r>
          </w:p>
        </w:tc>
        <w:tc>
          <w:tcPr>
            <w:tcW w:type="dxa" w:w="3288"/>
            <w:shd w:fill="D9EAF7"/>
          </w:tcPr>
          <w:p>
            <w:r>
              <w:rPr>
                <w:b/>
              </w:rPr>
              <w:t>Pregunta</w:t>
            </w:r>
          </w:p>
        </w:tc>
        <w:tc>
          <w:tcPr>
            <w:tcW w:type="dxa" w:w="3288"/>
            <w:shd w:fill="D9EAF7"/>
          </w:tcPr>
          <w:p>
            <w:r>
              <w:rPr>
                <w:b/>
              </w:rPr>
              <w:t>Documento</w:t>
            </w:r>
          </w:p>
        </w:tc>
      </w:tr>
      <w:tr>
        <w:tc>
          <w:tcPr>
            <w:tcW w:type="dxa" w:w="3288"/>
          </w:tcPr>
          <w:p>
            <w:r>
              <w:t>Existencia</w:t>
            </w:r>
          </w:p>
        </w:tc>
        <w:tc>
          <w:tcPr>
            <w:tcW w:type="dxa" w:w="3288"/>
          </w:tcPr>
          <w:p>
            <w:r>
              <w:t>¿Cuál es el acto exacto que produce afectación?</w:t>
            </w:r>
          </w:p>
        </w:tc>
        <w:tc>
          <w:tcPr>
            <w:tcW w:type="dxa" w:w="3288"/>
          </w:tcPr>
          <w:p>
            <w:r>
              <w:t>Resolución, oficio, acta, boleta o sistema electrónico.</w:t>
            </w:r>
          </w:p>
        </w:tc>
      </w:tr>
      <w:tr>
        <w:tc>
          <w:tcPr>
            <w:tcW w:type="dxa" w:w="3288"/>
          </w:tcPr>
          <w:p>
            <w:r>
              <w:t>Competencia</w:t>
            </w:r>
          </w:p>
        </w:tc>
        <w:tc>
          <w:tcPr>
            <w:tcW w:type="dxa" w:w="3288"/>
          </w:tcPr>
          <w:p>
            <w:r>
              <w:t>¿Qué norma habilita al órgano y al servidor?</w:t>
            </w:r>
          </w:p>
        </w:tc>
        <w:tc>
          <w:tcPr>
            <w:tcW w:type="dxa" w:w="3288"/>
          </w:tcPr>
          <w:p>
            <w:r>
              <w:t>Ley orgánica, reglamento, acuerdo delegatorio.</w:t>
            </w:r>
          </w:p>
        </w:tc>
      </w:tr>
      <w:tr>
        <w:tc>
          <w:tcPr>
            <w:tcW w:type="dxa" w:w="3288"/>
          </w:tcPr>
          <w:p>
            <w:r>
              <w:t>Forma</w:t>
            </w:r>
          </w:p>
        </w:tc>
        <w:tc>
          <w:tcPr>
            <w:tcW w:type="dxa" w:w="3288"/>
          </w:tcPr>
          <w:p>
            <w:r>
              <w:t>¿Cumple firma, fecha, identificación y requisitos?</w:t>
            </w:r>
          </w:p>
        </w:tc>
        <w:tc>
          <w:tcPr>
            <w:tcW w:type="dxa" w:w="3288"/>
          </w:tcPr>
          <w:p>
            <w:r>
              <w:t>Acto íntegro y constancias.</w:t>
            </w:r>
          </w:p>
        </w:tc>
      </w:tr>
      <w:tr>
        <w:tc>
          <w:tcPr>
            <w:tcW w:type="dxa" w:w="3288"/>
          </w:tcPr>
          <w:p>
            <w:r>
              <w:t>Fundamentación</w:t>
            </w:r>
          </w:p>
        </w:tc>
        <w:tc>
          <w:tcPr>
            <w:tcW w:type="dxa" w:w="3288"/>
          </w:tcPr>
          <w:p>
            <w:r>
              <w:t>¿Las normas citadas son aplicables al hecho?</w:t>
            </w:r>
          </w:p>
        </w:tc>
        <w:tc>
          <w:tcPr>
            <w:tcW w:type="dxa" w:w="3288"/>
          </w:tcPr>
          <w:p>
            <w:r>
              <w:t>Texto vigente a la fecha del acto.</w:t>
            </w:r>
          </w:p>
        </w:tc>
      </w:tr>
      <w:tr>
        <w:tc>
          <w:tcPr>
            <w:tcW w:type="dxa" w:w="3288"/>
          </w:tcPr>
          <w:p>
            <w:r>
              <w:t>Motivación</w:t>
            </w:r>
          </w:p>
        </w:tc>
        <w:tc>
          <w:tcPr>
            <w:tcW w:type="dxa" w:w="3288"/>
          </w:tcPr>
          <w:p>
            <w:r>
              <w:t>¿Los hechos probados justifican la conclusión?</w:t>
            </w:r>
          </w:p>
        </w:tc>
        <w:tc>
          <w:tcPr>
            <w:tcW w:type="dxa" w:w="3288"/>
          </w:tcPr>
          <w:p>
            <w:r>
              <w:t>Expediente administrativo.</w:t>
            </w:r>
          </w:p>
        </w:tc>
      </w:tr>
      <w:tr>
        <w:tc>
          <w:tcPr>
            <w:tcW w:type="dxa" w:w="3288"/>
          </w:tcPr>
          <w:p>
            <w:r>
              <w:t>Procedimiento</w:t>
            </w:r>
          </w:p>
        </w:tc>
        <w:tc>
          <w:tcPr>
            <w:tcW w:type="dxa" w:w="3288"/>
          </w:tcPr>
          <w:p>
            <w:r>
              <w:t>¿Se respetaron etapas, audiencia, prueba y defensa?</w:t>
            </w:r>
          </w:p>
        </w:tc>
        <w:tc>
          <w:tcPr>
            <w:tcW w:type="dxa" w:w="3288"/>
          </w:tcPr>
          <w:p>
            <w:r>
              <w:t>Constancias del procedimiento.</w:t>
            </w:r>
          </w:p>
        </w:tc>
      </w:tr>
      <w:tr>
        <w:tc>
          <w:tcPr>
            <w:tcW w:type="dxa" w:w="3288"/>
          </w:tcPr>
          <w:p>
            <w:r>
              <w:t>Notificación</w:t>
            </w:r>
          </w:p>
        </w:tc>
        <w:tc>
          <w:tcPr>
            <w:tcW w:type="dxa" w:w="3288"/>
          </w:tcPr>
          <w:p>
            <w:r>
              <w:t>¿Cuándo y cómo surtió efectos?</w:t>
            </w:r>
          </w:p>
        </w:tc>
        <w:tc>
          <w:tcPr>
            <w:tcW w:type="dxa" w:w="3288"/>
          </w:tcPr>
          <w:p>
            <w:r>
              <w:t>Acta, acuse o buzón.</w:t>
            </w:r>
          </w:p>
        </w:tc>
      </w:tr>
      <w:tr>
        <w:tc>
          <w:tcPr>
            <w:tcW w:type="dxa" w:w="3288"/>
          </w:tcPr>
          <w:p>
            <w:r>
              <w:t>Vía</w:t>
            </w:r>
          </w:p>
        </w:tc>
        <w:tc>
          <w:tcPr>
            <w:tcW w:type="dxa" w:w="3288"/>
          </w:tcPr>
          <w:p>
            <w:r>
              <w:t>¿Recurso, nulidad, amparo u otro medio?</w:t>
            </w:r>
          </w:p>
        </w:tc>
        <w:tc>
          <w:tcPr>
            <w:tcW w:type="dxa" w:w="3288"/>
          </w:tcPr>
          <w:p>
            <w:r>
              <w:t>Ley especial + transitorios.</w:t>
            </w:r>
          </w:p>
        </w:tc>
      </w:tr>
    </w:tbl>
    <w:p/>
    <w:p>
      <w:pPr>
        <w:pStyle w:val="Ttulo1"/>
      </w:pPr>
      <w:r>
        <w:t>30. Construcción de conceptos de impugnación</w:t>
      </w:r>
    </w:p>
    <w:p>
      <w:r>
        <w:t>Un concepto eficaz identifica el acto, la regla jurídica, el defecto concreto, la evidencia del defecto y la consecuencia que se solicita.</w:t>
      </w:r>
    </w:p>
    <w:tbl>
      <w:tblPr>
        <w:tblW w:type="auto" w:w="0"/>
        <w:jc w:val="center"/>
        <w:tblLook w:firstColumn="1" w:firstRow="1" w:lastColumn="0" w:lastRow="0" w:noHBand="0" w:noVBand="1" w:val="04A0"/>
      </w:tblPr>
      <w:tblGrid>
        <w:gridCol w:w="4932"/>
        <w:gridCol w:w="4932"/>
      </w:tblGrid>
      <w:tr>
        <w:tc>
          <w:tcPr>
            <w:tcW w:type="dxa" w:w="4932"/>
            <w:shd w:fill="D9EAF7"/>
          </w:tcPr>
          <w:p>
            <w:r>
              <w:rPr>
                <w:b/>
              </w:rPr>
              <w:t>Estructura</w:t>
            </w:r>
          </w:p>
        </w:tc>
        <w:tc>
          <w:tcPr>
            <w:tcW w:type="dxa" w:w="4932"/>
            <w:shd w:fill="D9EAF7"/>
          </w:tcPr>
          <w:p>
            <w:r>
              <w:rPr>
                <w:b/>
              </w:rPr>
              <w:t>Pregunta de control</w:t>
            </w:r>
          </w:p>
        </w:tc>
      </w:tr>
      <w:tr>
        <w:tc>
          <w:tcPr>
            <w:tcW w:type="dxa" w:w="4932"/>
          </w:tcPr>
          <w:p>
            <w:r>
              <w:t>Premisa normativa</w:t>
            </w:r>
          </w:p>
        </w:tc>
        <w:tc>
          <w:tcPr>
            <w:tcW w:type="dxa" w:w="4932"/>
          </w:tcPr>
          <w:p>
            <w:r>
              <w:t>¿Qué debía hacer la autoridad?</w:t>
            </w:r>
          </w:p>
        </w:tc>
      </w:tr>
      <w:tr>
        <w:tc>
          <w:tcPr>
            <w:tcW w:type="dxa" w:w="4932"/>
          </w:tcPr>
          <w:p>
            <w:r>
              <w:t>Premisa fáctica</w:t>
            </w:r>
          </w:p>
        </w:tc>
        <w:tc>
          <w:tcPr>
            <w:tcW w:type="dxa" w:w="4932"/>
          </w:tcPr>
          <w:p>
            <w:r>
              <w:t>¿Qué hizo realmente y dónde consta?</w:t>
            </w:r>
          </w:p>
        </w:tc>
      </w:tr>
      <w:tr>
        <w:tc>
          <w:tcPr>
            <w:tcW w:type="dxa" w:w="4932"/>
          </w:tcPr>
          <w:p>
            <w:r>
              <w:t>Contraste</w:t>
            </w:r>
          </w:p>
        </w:tc>
        <w:tc>
          <w:tcPr>
            <w:tcW w:type="dxa" w:w="4932"/>
          </w:tcPr>
          <w:p>
            <w:r>
              <w:t>¿En qué punto exacto incumple la norma?</w:t>
            </w:r>
          </w:p>
        </w:tc>
      </w:tr>
      <w:tr>
        <w:tc>
          <w:tcPr>
            <w:tcW w:type="dxa" w:w="4932"/>
          </w:tcPr>
          <w:p>
            <w:r>
              <w:t>Trascendencia</w:t>
            </w:r>
          </w:p>
        </w:tc>
        <w:tc>
          <w:tcPr>
            <w:tcW w:type="dxa" w:w="4932"/>
          </w:tcPr>
          <w:p>
            <w:r>
              <w:t>¿Cómo afecta defensa, resultado o legalidad?</w:t>
            </w:r>
          </w:p>
        </w:tc>
      </w:tr>
      <w:tr>
        <w:tc>
          <w:tcPr>
            <w:tcW w:type="dxa" w:w="4932"/>
          </w:tcPr>
          <w:p>
            <w:r>
              <w:t>Efecto</w:t>
            </w:r>
          </w:p>
        </w:tc>
        <w:tc>
          <w:tcPr>
            <w:tcW w:type="dxa" w:w="4932"/>
          </w:tcPr>
          <w:p>
            <w:r>
              <w:t>¿Nulidad, reposición, reconocimiento, suspensión u otro efecto?</w:t>
            </w:r>
          </w:p>
        </w:tc>
      </w:tr>
    </w:tbl>
    <w:p/>
    <w:p>
      <w:r>
        <w:rPr>
          <w:b/>
          <w:color w:val="AD5C00"/>
        </w:rPr>
        <w:t xml:space="preserve">⚠ ERROR COMÚN: </w:t>
      </w:r>
      <w:r>
        <w:t>Copiar artículos constitucionales sin conectar el vicio con una actuación concreta produce argumentos genéricos. Cada concepto debe señalar la constancia donde nace la violación.</w:t>
      </w:r>
    </w:p>
    <w:p>
      <w:pPr>
        <w:pStyle w:val="Ttulo1"/>
      </w:pPr>
      <w:r>
        <w:t>31. Notificaciones y control de plazos</w:t>
      </w:r>
    </w:p>
    <w:p>
      <w:pPr>
        <w:ind w:left="317" w:hanging="202"/>
      </w:pPr>
      <w:r>
        <w:rPr>
          <w:b/>
        </w:rPr>
        <w:t xml:space="preserve">• </w:t>
      </w:r>
      <w:r>
        <w:t>Conservar acto íntegro y constancia de notificación.</w:t>
      </w:r>
    </w:p>
    <w:p>
      <w:pPr>
        <w:ind w:left="317" w:hanging="202"/>
      </w:pPr>
      <w:r>
        <w:rPr>
          <w:b/>
        </w:rPr>
        <w:t xml:space="preserve">• </w:t>
      </w:r>
      <w:r>
        <w:t>Distinguir fecha de emisión, fecha de notificación y fecha en que surte efectos.</w:t>
      </w:r>
    </w:p>
    <w:p>
      <w:pPr>
        <w:ind w:left="317" w:hanging="202"/>
      </w:pPr>
      <w:r>
        <w:rPr>
          <w:b/>
        </w:rPr>
        <w:t xml:space="preserve">• </w:t>
      </w:r>
      <w:r>
        <w:t>Identificar días inhábiles conforme al órgano competente.</w:t>
      </w:r>
    </w:p>
    <w:p>
      <w:pPr>
        <w:ind w:left="317" w:hanging="202"/>
      </w:pPr>
      <w:r>
        <w:rPr>
          <w:b/>
        </w:rPr>
        <w:t xml:space="preserve">• </w:t>
      </w:r>
      <w:r>
        <w:t>Registrar plazo ordinario y plazo de contingencia interna.</w:t>
      </w:r>
    </w:p>
    <w:p>
      <w:pPr>
        <w:ind w:left="317" w:hanging="202"/>
      </w:pPr>
      <w:r>
        <w:rPr>
          <w:b/>
        </w:rPr>
        <w:t xml:space="preserve">• </w:t>
      </w:r>
      <w:r>
        <w:t>No esperar al último día para presentación electrónica.</w:t>
      </w:r>
    </w:p>
    <w:p>
      <w:pPr>
        <w:ind w:left="317" w:hanging="202"/>
      </w:pPr>
      <w:r>
        <w:rPr>
          <w:b/>
        </w:rPr>
        <w:t xml:space="preserve">• </w:t>
      </w:r>
      <w:r>
        <w:t>Guardar acuse, sello de tiempo y evidencia de falla técnica si ocurre.</w:t>
      </w:r>
    </w:p>
    <w:p>
      <w:r>
        <w:t>En septiembre de 2026 se publicó jurisprudencia regional que reiteró que los principios pro persona y pro actione no autorizan desconocer los plazos legalmente establecidos ni crear excepciones judiciales, sin perjuicio de mecanismos expresos ante fallas técnicas constatadas. Esto refuerza la necesidad de una bitácora de presentación electrónica.</w:t>
      </w:r>
    </w:p>
    <w:p>
      <w:pPr>
        <w:pStyle w:val="Ttulo1"/>
      </w:pPr>
      <w:r>
        <w:t>32. Evidencia digital en procedimientos administrativos</w:t>
      </w:r>
    </w:p>
    <w:tbl>
      <w:tblPr>
        <w:tblW w:type="auto" w:w="0"/>
        <w:jc w:val="center"/>
        <w:tblLook w:firstColumn="1" w:firstRow="1" w:lastColumn="0" w:lastRow="0" w:noHBand="0" w:noVBand="1" w:val="04A0"/>
      </w:tblPr>
      <w:tblGrid>
        <w:gridCol w:w="3288"/>
        <w:gridCol w:w="3288"/>
        <w:gridCol w:w="3288"/>
      </w:tblGrid>
      <w:tr>
        <w:tc>
          <w:tcPr>
            <w:tcW w:type="dxa" w:w="3288"/>
            <w:shd w:fill="D9EAF7"/>
          </w:tcPr>
          <w:p>
            <w:r>
              <w:rPr>
                <w:b/>
              </w:rPr>
              <w:t>Evidencia</w:t>
            </w:r>
          </w:p>
        </w:tc>
        <w:tc>
          <w:tcPr>
            <w:tcW w:type="dxa" w:w="3288"/>
            <w:shd w:fill="D9EAF7"/>
          </w:tcPr>
          <w:p>
            <w:r>
              <w:rPr>
                <w:b/>
              </w:rPr>
              <w:t>Uso</w:t>
            </w:r>
          </w:p>
        </w:tc>
        <w:tc>
          <w:tcPr>
            <w:tcW w:type="dxa" w:w="3288"/>
            <w:shd w:fill="D9EAF7"/>
          </w:tcPr>
          <w:p>
            <w:r>
              <w:rPr>
                <w:b/>
              </w:rPr>
              <w:t>Precaución</w:t>
            </w:r>
          </w:p>
        </w:tc>
      </w:tr>
      <w:tr>
        <w:tc>
          <w:tcPr>
            <w:tcW w:type="dxa" w:w="3288"/>
          </w:tcPr>
          <w:p>
            <w:r>
              <w:t>Buzón/portal</w:t>
            </w:r>
          </w:p>
        </w:tc>
        <w:tc>
          <w:tcPr>
            <w:tcW w:type="dxa" w:w="3288"/>
          </w:tcPr>
          <w:p>
            <w:r>
              <w:t>Notificación y promociones</w:t>
            </w:r>
          </w:p>
        </w:tc>
        <w:tc>
          <w:tcPr>
            <w:tcW w:type="dxa" w:w="3288"/>
          </w:tcPr>
          <w:p>
            <w:r>
              <w:t>Guardar acuse, sello, archivo enviado y pantalla de confirmación.</w:t>
            </w:r>
          </w:p>
        </w:tc>
      </w:tr>
      <w:tr>
        <w:tc>
          <w:tcPr>
            <w:tcW w:type="dxa" w:w="3288"/>
          </w:tcPr>
          <w:p>
            <w:r>
              <w:t>Correo</w:t>
            </w:r>
          </w:p>
        </w:tc>
        <w:tc>
          <w:tcPr>
            <w:tcW w:type="dxa" w:w="3288"/>
          </w:tcPr>
          <w:p>
            <w:r>
              <w:t>Comunicación y antecedente</w:t>
            </w:r>
          </w:p>
        </w:tc>
        <w:tc>
          <w:tcPr>
            <w:tcW w:type="dxa" w:w="3288"/>
          </w:tcPr>
          <w:p>
            <w:r>
              <w:t>Conservar encabezados y archivo nativo.</w:t>
            </w:r>
          </w:p>
        </w:tc>
      </w:tr>
      <w:tr>
        <w:tc>
          <w:tcPr>
            <w:tcW w:type="dxa" w:w="3288"/>
          </w:tcPr>
          <w:p>
            <w:r>
              <w:t>Fotografía/video</w:t>
            </w:r>
          </w:p>
        </w:tc>
        <w:tc>
          <w:tcPr>
            <w:tcW w:type="dxa" w:w="3288"/>
          </w:tcPr>
          <w:p>
            <w:r>
              <w:t>Inspección y condiciones materiales</w:t>
            </w:r>
          </w:p>
        </w:tc>
        <w:tc>
          <w:tcPr>
            <w:tcW w:type="dxa" w:w="3288"/>
          </w:tcPr>
          <w:p>
            <w:r>
              <w:t>Fecha, lugar, autor y continuidad.</w:t>
            </w:r>
          </w:p>
        </w:tc>
      </w:tr>
      <w:tr>
        <w:tc>
          <w:tcPr>
            <w:tcW w:type="dxa" w:w="3288"/>
          </w:tcPr>
          <w:p>
            <w:r>
              <w:t>Base de datos</w:t>
            </w:r>
          </w:p>
        </w:tc>
        <w:tc>
          <w:tcPr>
            <w:tcW w:type="dxa" w:w="3288"/>
          </w:tcPr>
          <w:p>
            <w:r>
              <w:t>Cálculos, padrones, registros</w:t>
            </w:r>
          </w:p>
        </w:tc>
        <w:tc>
          <w:tcPr>
            <w:tcW w:type="dxa" w:w="3288"/>
          </w:tcPr>
          <w:p>
            <w:r>
              <w:t>Explicar origen, extracción y campos.</w:t>
            </w:r>
          </w:p>
        </w:tc>
      </w:tr>
      <w:tr>
        <w:tc>
          <w:tcPr>
            <w:tcW w:type="dxa" w:w="3288"/>
          </w:tcPr>
          <w:p>
            <w:r>
              <w:t>Dictamen técnico</w:t>
            </w:r>
          </w:p>
        </w:tc>
        <w:tc>
          <w:tcPr>
            <w:tcW w:type="dxa" w:w="3288"/>
          </w:tcPr>
          <w:p>
            <w:r>
              <w:t>Controversia especializada</w:t>
            </w:r>
          </w:p>
        </w:tc>
        <w:tc>
          <w:tcPr>
            <w:tcW w:type="dxa" w:w="3288"/>
          </w:tcPr>
          <w:p>
            <w:r>
              <w:t>Metodología, datos de entrada y reproducibilidad.</w:t>
            </w:r>
          </w:p>
        </w:tc>
      </w:tr>
    </w:tbl>
    <w:p/>
    <w:p>
      <w:pPr>
        <w:pStyle w:val="Ttulo1"/>
      </w:pPr>
      <w:r>
        <w:t>33. Caso de entrenamiento: multa administrativa</w:t>
      </w:r>
    </w:p>
    <w:p>
      <w:r>
        <w:t>Supuesto: una autoridad impone multa con base en visita de verificación. El acta describe hechos de forma genérica y la resolución reproduce la norma sin explicar cómo cada conducta actualiza la infracción.</w:t>
      </w:r>
    </w:p>
    <w:p>
      <w:pPr>
        <w:ind w:left="317" w:hanging="202"/>
      </w:pPr>
      <w:r>
        <w:rPr>
          <w:b/>
        </w:rPr>
        <w:t xml:space="preserve">• </w:t>
      </w:r>
      <w:r>
        <w:t>Verificar competencia del visitador y del resolutor.</w:t>
      </w:r>
    </w:p>
    <w:p>
      <w:pPr>
        <w:ind w:left="317" w:hanging="202"/>
      </w:pPr>
      <w:r>
        <w:rPr>
          <w:b/>
        </w:rPr>
        <w:t xml:space="preserve">• </w:t>
      </w:r>
      <w:r>
        <w:t>Revisar orden de visita, objeto y alcance.</w:t>
      </w:r>
    </w:p>
    <w:p>
      <w:pPr>
        <w:ind w:left="317" w:hanging="202"/>
      </w:pPr>
      <w:r>
        <w:rPr>
          <w:b/>
        </w:rPr>
        <w:t xml:space="preserve">• </w:t>
      </w:r>
      <w:r>
        <w:t>Comparar acta con fotografías, anexos y manifestaciones del visitado.</w:t>
      </w:r>
    </w:p>
    <w:p>
      <w:pPr>
        <w:ind w:left="317" w:hanging="202"/>
      </w:pPr>
      <w:r>
        <w:rPr>
          <w:b/>
        </w:rPr>
        <w:t xml:space="preserve">• </w:t>
      </w:r>
      <w:r>
        <w:t>Analizar tipicidad administrativa: conducta probada vs. supuesto normativo.</w:t>
      </w:r>
    </w:p>
    <w:p>
      <w:pPr>
        <w:ind w:left="317" w:hanging="202"/>
      </w:pPr>
      <w:r>
        <w:rPr>
          <w:b/>
        </w:rPr>
        <w:t xml:space="preserve">• </w:t>
      </w:r>
      <w:r>
        <w:t>Revisar individualización de la sanción y parámetros utilizados.</w:t>
      </w:r>
    </w:p>
    <w:p>
      <w:pPr>
        <w:ind w:left="317" w:hanging="202"/>
      </w:pPr>
      <w:r>
        <w:rPr>
          <w:b/>
        </w:rPr>
        <w:t xml:space="preserve">• </w:t>
      </w:r>
      <w:r>
        <w:t>Determinar recurso o juicio y suspensión necesaria.</w:t>
      </w:r>
    </w:p>
    <w:p>
      <w:pPr>
        <w:pStyle w:val="Ttulo1"/>
      </w:pPr>
      <w:r>
        <w:t>34. Responsabilidades administrativas: teoría del caso disciplinaria</w:t>
      </w:r>
    </w:p>
    <w:tbl>
      <w:tblPr>
        <w:tblW w:type="auto" w:w="0"/>
        <w:jc w:val="center"/>
        <w:tblLook w:firstColumn="1" w:firstRow="1" w:lastColumn="0" w:lastRow="0" w:noHBand="0" w:noVBand="1" w:val="04A0"/>
      </w:tblPr>
      <w:tblGrid>
        <w:gridCol w:w="4932"/>
        <w:gridCol w:w="4932"/>
      </w:tblGrid>
      <w:tr>
        <w:tc>
          <w:tcPr>
            <w:tcW w:type="dxa" w:w="4932"/>
            <w:shd w:fill="D9EAF7"/>
          </w:tcPr>
          <w:p>
            <w:r>
              <w:rPr>
                <w:b/>
              </w:rPr>
              <w:t>Elemento</w:t>
            </w:r>
          </w:p>
        </w:tc>
        <w:tc>
          <w:tcPr>
            <w:tcW w:type="dxa" w:w="4932"/>
            <w:shd w:fill="D9EAF7"/>
          </w:tcPr>
          <w:p>
            <w:r>
              <w:rPr>
                <w:b/>
              </w:rPr>
              <w:t>Pregunta de control</w:t>
            </w:r>
          </w:p>
        </w:tc>
      </w:tr>
      <w:tr>
        <w:tc>
          <w:tcPr>
            <w:tcW w:type="dxa" w:w="4932"/>
          </w:tcPr>
          <w:p>
            <w:r>
              <w:t>Sujeto</w:t>
            </w:r>
          </w:p>
        </w:tc>
        <w:tc>
          <w:tcPr>
            <w:tcW w:type="dxa" w:w="4932"/>
          </w:tcPr>
          <w:p>
            <w:r>
              <w:t>¿La persona tenía calidad y deber funcional aplicable?</w:t>
            </w:r>
          </w:p>
        </w:tc>
      </w:tr>
      <w:tr>
        <w:tc>
          <w:tcPr>
            <w:tcW w:type="dxa" w:w="4932"/>
          </w:tcPr>
          <w:p>
            <w:r>
              <w:t>Conducta</w:t>
            </w:r>
          </w:p>
        </w:tc>
        <w:tc>
          <w:tcPr>
            <w:tcW w:type="dxa" w:w="4932"/>
          </w:tcPr>
          <w:p>
            <w:r>
              <w:t>¿Qué acción u omisión concreta se atribuye?</w:t>
            </w:r>
          </w:p>
        </w:tc>
      </w:tr>
      <w:tr>
        <w:tc>
          <w:tcPr>
            <w:tcW w:type="dxa" w:w="4932"/>
          </w:tcPr>
          <w:p>
            <w:r>
              <w:t>Norma</w:t>
            </w:r>
          </w:p>
        </w:tc>
        <w:tc>
          <w:tcPr>
            <w:tcW w:type="dxa" w:w="4932"/>
          </w:tcPr>
          <w:p>
            <w:r>
              <w:t>¿Qué obligación o prohibición específica se afirma vulnerada?</w:t>
            </w:r>
          </w:p>
        </w:tc>
      </w:tr>
      <w:tr>
        <w:tc>
          <w:tcPr>
            <w:tcW w:type="dxa" w:w="4932"/>
          </w:tcPr>
          <w:p>
            <w:r>
              <w:t>Prueba</w:t>
            </w:r>
          </w:p>
        </w:tc>
        <w:tc>
          <w:tcPr>
            <w:tcW w:type="dxa" w:w="4932"/>
          </w:tcPr>
          <w:p>
            <w:r>
              <w:t>¿Qué evidencia acredita cada elemento?</w:t>
            </w:r>
          </w:p>
        </w:tc>
      </w:tr>
      <w:tr>
        <w:tc>
          <w:tcPr>
            <w:tcW w:type="dxa" w:w="4932"/>
          </w:tcPr>
          <w:p>
            <w:r>
              <w:t>Atribución</w:t>
            </w:r>
          </w:p>
        </w:tc>
        <w:tc>
          <w:tcPr>
            <w:tcW w:type="dxa" w:w="4932"/>
          </w:tcPr>
          <w:p>
            <w:r>
              <w:t>¿Cómo se conecta la persona con el hecho?</w:t>
            </w:r>
          </w:p>
        </w:tc>
      </w:tr>
      <w:tr>
        <w:tc>
          <w:tcPr>
            <w:tcW w:type="dxa" w:w="4932"/>
          </w:tcPr>
          <w:p>
            <w:r>
              <w:t>Clasificación</w:t>
            </w:r>
          </w:p>
        </w:tc>
        <w:tc>
          <w:tcPr>
            <w:tcW w:type="dxa" w:w="4932"/>
          </w:tcPr>
          <w:p>
            <w:r>
              <w:t>¿Falta grave o no grave y por qué?</w:t>
            </w:r>
          </w:p>
        </w:tc>
      </w:tr>
      <w:tr>
        <w:tc>
          <w:tcPr>
            <w:tcW w:type="dxa" w:w="4932"/>
          </w:tcPr>
          <w:p>
            <w:r>
              <w:t>Sanción</w:t>
            </w:r>
          </w:p>
        </w:tc>
        <w:tc>
          <w:tcPr>
            <w:tcW w:type="dxa" w:w="4932"/>
          </w:tcPr>
          <w:p>
            <w:r>
              <w:t>¿Está individualizada y es proporcional conforme al régimen aplicable?</w:t>
            </w:r>
          </w:p>
        </w:tc>
      </w:tr>
    </w:tbl>
    <w:p/>
    <w:p>
      <w:pPr>
        <w:pStyle w:val="Ttulo1"/>
      </w:pPr>
      <w:r>
        <w:t>35. Checklist maestro de demanda contenciosa</w:t>
      </w:r>
    </w:p>
    <w:p>
      <w:pPr>
        <w:ind w:left="317" w:hanging="202"/>
      </w:pPr>
      <w:r>
        <w:rPr>
          <w:b/>
        </w:rPr>
        <w:t xml:space="preserve">• </w:t>
      </w:r>
      <w:r>
        <w:t>☐ Acto definitivo identificado.</w:t>
      </w:r>
    </w:p>
    <w:p>
      <w:pPr>
        <w:ind w:left="317" w:hanging="202"/>
      </w:pPr>
      <w:r>
        <w:rPr>
          <w:b/>
        </w:rPr>
        <w:t xml:space="preserve">• </w:t>
      </w:r>
      <w:r>
        <w:t>☐ Competencia del tribunal.</w:t>
      </w:r>
    </w:p>
    <w:p>
      <w:pPr>
        <w:ind w:left="317" w:hanging="202"/>
      </w:pPr>
      <w:r>
        <w:rPr>
          <w:b/>
        </w:rPr>
        <w:t xml:space="preserve">• </w:t>
      </w:r>
      <w:r>
        <w:t>☐ Legitimación y personalidad.</w:t>
      </w:r>
    </w:p>
    <w:p>
      <w:pPr>
        <w:ind w:left="317" w:hanging="202"/>
      </w:pPr>
      <w:r>
        <w:rPr>
          <w:b/>
        </w:rPr>
        <w:t xml:space="preserve">• </w:t>
      </w:r>
      <w:r>
        <w:t>☐ Fecha exacta de notificación.</w:t>
      </w:r>
    </w:p>
    <w:p>
      <w:pPr>
        <w:ind w:left="317" w:hanging="202"/>
      </w:pPr>
      <w:r>
        <w:rPr>
          <w:b/>
        </w:rPr>
        <w:t xml:space="preserve">• </w:t>
      </w:r>
      <w:r>
        <w:t>☐ Plazo calculado por escrito.</w:t>
      </w:r>
    </w:p>
    <w:p>
      <w:pPr>
        <w:ind w:left="317" w:hanging="202"/>
      </w:pPr>
      <w:r>
        <w:rPr>
          <w:b/>
        </w:rPr>
        <w:t xml:space="preserve">• </w:t>
      </w:r>
      <w:r>
        <w:t>☐ Pretensión y tipo de nulidad solicitada.</w:t>
      </w:r>
    </w:p>
    <w:p>
      <w:pPr>
        <w:ind w:left="317" w:hanging="202"/>
      </w:pPr>
      <w:r>
        <w:rPr>
          <w:b/>
        </w:rPr>
        <w:t xml:space="preserve">• </w:t>
      </w:r>
      <w:r>
        <w:t>☐ Expediente administrativo solicitado u obtenido.</w:t>
      </w:r>
    </w:p>
    <w:p>
      <w:pPr>
        <w:ind w:left="317" w:hanging="202"/>
      </w:pPr>
      <w:r>
        <w:rPr>
          <w:b/>
        </w:rPr>
        <w:t xml:space="preserve">• </w:t>
      </w:r>
      <w:r>
        <w:t>☐ Conceptos vinculados a constancias.</w:t>
      </w:r>
    </w:p>
    <w:p>
      <w:pPr>
        <w:ind w:left="317" w:hanging="202"/>
      </w:pPr>
      <w:r>
        <w:rPr>
          <w:b/>
        </w:rPr>
        <w:t xml:space="preserve">• </w:t>
      </w:r>
      <w:r>
        <w:t>☐ Pruebas con finalidad concreta.</w:t>
      </w:r>
    </w:p>
    <w:p>
      <w:pPr>
        <w:ind w:left="317" w:hanging="202"/>
      </w:pPr>
      <w:r>
        <w:rPr>
          <w:b/>
        </w:rPr>
        <w:t xml:space="preserve">• </w:t>
      </w:r>
      <w:r>
        <w:t>☐ Suspensión o medida cautelar analizada.</w:t>
      </w:r>
    </w:p>
    <w:p>
      <w:pPr>
        <w:ind w:left="317" w:hanging="202"/>
      </w:pPr>
      <w:r>
        <w:rPr>
          <w:b/>
        </w:rPr>
        <w:t xml:space="preserve">• </w:t>
      </w:r>
      <w:r>
        <w:t>☐ Garantía evaluada cuando corresponda.</w:t>
      </w:r>
    </w:p>
    <w:p>
      <w:pPr>
        <w:ind w:left="317" w:hanging="202"/>
      </w:pPr>
      <w:r>
        <w:rPr>
          <w:b/>
        </w:rPr>
        <w:t xml:space="preserve">• </w:t>
      </w:r>
      <w:r>
        <w:t>☐ Anexos y copias verificados.</w:t>
      </w:r>
    </w:p>
    <w:p>
      <w:pPr>
        <w:ind w:left="317" w:hanging="202"/>
      </w:pPr>
      <w:r>
        <w:rPr>
          <w:b/>
        </w:rPr>
        <w:t xml:space="preserve">• </w:t>
      </w:r>
      <w:r>
        <w:t>☐ Acuse y respaldo digital.</w:t>
      </w:r>
    </w:p>
    <w:p>
      <w:r>
        <w:br w:type="page"/>
      </w:r>
    </w:p>
    <w:p>
      <w:r>
        <w:rPr>
          <w:b/>
          <w:sz w:val="32"/>
        </w:rPr>
        <w:t>MÓDULO COMPLEMENTARIO · PRÁCTICA FORENSE 2026</w:t>
      </w:r>
    </w:p>
    <w:p>
      <w:r>
        <w:rPr>
          <w:i/>
        </w:rPr>
        <w:t>Este módulo complementario convierte el manual en una guía de trabajo forense. No sustituye la lectura del texto principal ni la verificación de la legislación, criterios y acuerdos vigentes al momento de actuar. Los ejemplos de casos incluidos aquí son hipotéticos y sirven exclusivamente para entrenamiento.</w:t>
      </w:r>
    </w:p>
    <w:p>
      <w:r>
        <w:rPr>
          <w:b/>
          <w:sz w:val="26"/>
        </w:rPr>
        <w:t>1. Ficha rápida de actuación</w:t>
      </w:r>
    </w:p>
    <w:tbl>
      <w:tblPr>
        <w:tblW w:type="auto" w:w="0"/>
        <w:jc w:val="center"/>
        <w:tblLook w:firstColumn="1" w:firstRow="1" w:lastColumn="0" w:lastRow="0" w:noHBand="0" w:noVBand="1" w:val="04A0"/>
      </w:tblPr>
      <w:tblGrid>
        <w:gridCol w:w="4932"/>
        <w:gridCol w:w="4932"/>
      </w:tblGrid>
      <w:tr>
        <w:tc>
          <w:tcPr>
            <w:tcW w:type="dxa" w:w="4932"/>
          </w:tcPr>
          <w:p>
            <w:r>
              <w:rPr>
                <w:b/>
              </w:rPr>
              <w:t>Control</w:t>
            </w:r>
          </w:p>
        </w:tc>
        <w:tc>
          <w:tcPr>
            <w:tcW w:type="dxa" w:w="4932"/>
          </w:tcPr>
          <w:p>
            <w:r>
              <w:rPr>
                <w:b/>
              </w:rPr>
              <w:t>Qué debe quedar definido</w:t>
            </w:r>
          </w:p>
        </w:tc>
      </w:tr>
      <w:tr>
        <w:tc>
          <w:tcPr>
            <w:tcW w:type="dxa" w:w="4932"/>
            <w:vAlign w:val="top"/>
          </w:tcPr>
          <w:p>
            <w:r>
              <w:t>Cliente y calidad</w:t>
            </w:r>
          </w:p>
        </w:tc>
        <w:tc>
          <w:tcPr>
            <w:tcW w:type="dxa" w:w="4932"/>
            <w:vAlign w:val="top"/>
          </w:tcPr>
          <w:p>
            <w:r>
              <w:t>Quién es, qué derecho afirma y con qué carácter comparece.</w:t>
            </w:r>
          </w:p>
        </w:tc>
      </w:tr>
      <w:tr>
        <w:tc>
          <w:tcPr>
            <w:tcW w:type="dxa" w:w="4932"/>
            <w:vAlign w:val="top"/>
          </w:tcPr>
          <w:p>
            <w:r>
              <w:t>Pretensión</w:t>
            </w:r>
          </w:p>
        </w:tc>
        <w:tc>
          <w:tcPr>
            <w:tcW w:type="dxa" w:w="4932"/>
            <w:vAlign w:val="top"/>
          </w:tcPr>
          <w:p>
            <w:r>
              <w:t>Resultado principal y resultado alternativo.</w:t>
            </w:r>
          </w:p>
        </w:tc>
      </w:tr>
      <w:tr>
        <w:tc>
          <w:tcPr>
            <w:tcW w:type="dxa" w:w="4932"/>
            <w:vAlign w:val="top"/>
          </w:tcPr>
          <w:p>
            <w:r>
              <w:t>Competencia</w:t>
            </w:r>
          </w:p>
        </w:tc>
        <w:tc>
          <w:tcPr>
            <w:tcW w:type="dxa" w:w="4932"/>
            <w:vAlign w:val="top"/>
          </w:tcPr>
          <w:p>
            <w:r>
              <w:t>Autoridad/tribunal y territorio.</w:t>
            </w:r>
          </w:p>
        </w:tc>
      </w:tr>
      <w:tr>
        <w:tc>
          <w:tcPr>
            <w:tcW w:type="dxa" w:w="4932"/>
            <w:vAlign w:val="top"/>
          </w:tcPr>
          <w:p>
            <w:r>
              <w:t>Vía</w:t>
            </w:r>
          </w:p>
        </w:tc>
        <w:tc>
          <w:tcPr>
            <w:tcW w:type="dxa" w:w="4932"/>
            <w:vAlign w:val="top"/>
          </w:tcPr>
          <w:p>
            <w:r>
              <w:t>Procedimiento o medio de defensa que debe estudiarse.</w:t>
            </w:r>
          </w:p>
        </w:tc>
      </w:tr>
      <w:tr>
        <w:tc>
          <w:tcPr>
            <w:tcW w:type="dxa" w:w="4932"/>
            <w:vAlign w:val="top"/>
          </w:tcPr>
          <w:p>
            <w:r>
              <w:t>Oportunidad</w:t>
            </w:r>
          </w:p>
        </w:tc>
        <w:tc>
          <w:tcPr>
            <w:tcW w:type="dxa" w:w="4932"/>
            <w:vAlign w:val="top"/>
          </w:tcPr>
          <w:p>
            <w:r>
              <w:t>Fecha de hecho/notificación y plazo aplicable.</w:t>
            </w:r>
          </w:p>
        </w:tc>
      </w:tr>
      <w:tr>
        <w:tc>
          <w:tcPr>
            <w:tcW w:type="dxa" w:w="4932"/>
            <w:vAlign w:val="top"/>
          </w:tcPr>
          <w:p>
            <w:r>
              <w:t>Prueba crítica</w:t>
            </w:r>
          </w:p>
        </w:tc>
        <w:tc>
          <w:tcPr>
            <w:tcW w:type="dxa" w:w="4932"/>
            <w:vAlign w:val="top"/>
          </w:tcPr>
          <w:p>
            <w:r>
              <w:t>Prueba sin la cual la teoría del caso queda debilitada.</w:t>
            </w:r>
          </w:p>
        </w:tc>
      </w:tr>
      <w:tr>
        <w:tc>
          <w:tcPr>
            <w:tcW w:type="dxa" w:w="4932"/>
            <w:vAlign w:val="top"/>
          </w:tcPr>
          <w:p>
            <w:r>
              <w:t>Urgencia</w:t>
            </w:r>
          </w:p>
        </w:tc>
        <w:tc>
          <w:tcPr>
            <w:tcW w:type="dxa" w:w="4932"/>
            <w:vAlign w:val="top"/>
          </w:tcPr>
          <w:p>
            <w:r>
              <w:t>Medida de protección, cautelar o conservación de evidencia.</w:t>
            </w:r>
          </w:p>
        </w:tc>
      </w:tr>
      <w:tr>
        <w:tc>
          <w:tcPr>
            <w:tcW w:type="dxa" w:w="4932"/>
            <w:vAlign w:val="top"/>
          </w:tcPr>
          <w:p>
            <w:r>
              <w:t>Siguiente actuación</w:t>
            </w:r>
          </w:p>
        </w:tc>
        <w:tc>
          <w:tcPr>
            <w:tcW w:type="dxa" w:w="4932"/>
            <w:vAlign w:val="top"/>
          </w:tcPr>
          <w:p>
            <w:r>
              <w:t>Acto concreto, responsable y fecha de control.</w:t>
            </w:r>
          </w:p>
        </w:tc>
      </w:tr>
    </w:tbl>
    <w:p>
      <w:r>
        <w:rPr>
          <w:b/>
          <w:sz w:val="26"/>
        </w:rPr>
        <w:t>2. Entrevista inicial — preguntas básicas</w:t>
      </w:r>
    </w:p>
    <w:p>
      <w:r>
        <w:rPr>
          <w:b/>
        </w:rPr>
        <w:t xml:space="preserve">• </w:t>
      </w:r>
      <w:r>
        <w:t>¿Qué autoridad emitió o ejecutó el acto?</w:t>
      </w:r>
    </w:p>
    <w:p>
      <w:r>
        <w:rPr>
          <w:b/>
        </w:rPr>
        <w:t xml:space="preserve">• </w:t>
      </w:r>
      <w:r>
        <w:t>¿Cuál es el acto, resolución, omisión, multa, crédito o actuación concreta?</w:t>
      </w:r>
    </w:p>
    <w:p>
      <w:r>
        <w:rPr>
          <w:b/>
        </w:rPr>
        <w:t xml:space="preserve">• </w:t>
      </w:r>
      <w:r>
        <w:t>¿Cuándo se notificó y cuándo surtió efectos?</w:t>
      </w:r>
    </w:p>
    <w:p>
      <w:r>
        <w:rPr>
          <w:b/>
        </w:rPr>
        <w:t xml:space="preserve">• </w:t>
      </w:r>
      <w:r>
        <w:t>¿Existe procedimiento previo, recurso, juicio o requerimiento relacionado?</w:t>
      </w:r>
    </w:p>
    <w:p>
      <w:r>
        <w:rPr>
          <w:b/>
        </w:rPr>
        <w:t xml:space="preserve">• </w:t>
      </w:r>
      <w:r>
        <w:t>¿Cuál es la pretensión: nulidad, revocación, devolución, suspensión, reconocimiento o reparación?</w:t>
      </w:r>
    </w:p>
    <w:p>
      <w:r>
        <w:rPr>
          <w:b/>
        </w:rPr>
        <w:t xml:space="preserve">• </w:t>
      </w:r>
      <w:r>
        <w:t>Si es fiscal: ¿el crédito es definitivo y exigible?, ¿qué acto del PAE se está ejecutando?</w:t>
      </w:r>
    </w:p>
    <w:p>
      <w:r>
        <w:rPr>
          <w:b/>
        </w:rPr>
        <w:t xml:space="preserve">• </w:t>
      </w:r>
      <w:r>
        <w:t>Si es responsabilidad: ¿qué conducta se atribuye, en qué calidad intervino el servidor público y qué autoridad investiga/substancia/sanciona?</w:t>
      </w:r>
    </w:p>
    <w:p>
      <w:r>
        <w:rPr>
          <w:b/>
          <w:sz w:val="26"/>
        </w:rPr>
        <w:t>3. Documentación mínima del expediente</w:t>
      </w:r>
    </w:p>
    <w:p>
      <w:r>
        <w:t>☐ Identificación y datos de contacto del cliente.</w:t>
      </w:r>
    </w:p>
    <w:p>
      <w:r>
        <w:t>☐ Documento principal que origina el conflicto.</w:t>
      </w:r>
    </w:p>
    <w:p>
      <w:r>
        <w:t>☐ Notificaciones, acuses y resoluciones.</w:t>
      </w:r>
    </w:p>
    <w:p>
      <w:r>
        <w:t>☐ Contratos, convenios, anexos y comunicaciones.</w:t>
      </w:r>
    </w:p>
    <w:p>
      <w:r>
        <w:t>☐ Documentos que acrediten representación o personalidad.</w:t>
      </w:r>
    </w:p>
    <w:p>
      <w:r>
        <w:t>☐ Relación cronológica de hechos.</w:t>
      </w:r>
    </w:p>
    <w:p>
      <w:r>
        <w:t>☐ Listado de personas que conocen directamente los hechos.</w:t>
      </w:r>
    </w:p>
    <w:p>
      <w:r>
        <w:t>☐ Pruebas digitales conservadas en su formato/origen disponible.</w:t>
      </w:r>
    </w:p>
    <w:p>
      <w:r>
        <w:t>☐ Antecedentes de procedimientos, convenios o resoluciones.</w:t>
      </w:r>
    </w:p>
    <w:p>
      <w:r>
        <w:t>☐ Relación de documentos faltantes y quién debe aportarlos.</w:t>
      </w:r>
    </w:p>
    <w:p>
      <w:r>
        <w:rPr>
          <w:b/>
          <w:sz w:val="26"/>
        </w:rPr>
        <w:t>4. Diagnóstico — matriz de decisión</w:t>
      </w:r>
    </w:p>
    <w:tbl>
      <w:tblPr>
        <w:tblW w:type="auto" w:w="0"/>
        <w:jc w:val="center"/>
        <w:tblLook w:firstColumn="1" w:firstRow="1" w:lastColumn="0" w:lastRow="0" w:noHBand="0" w:noVBand="1" w:val="04A0"/>
      </w:tblPr>
      <w:tblGrid>
        <w:gridCol w:w="3288"/>
        <w:gridCol w:w="3288"/>
        <w:gridCol w:w="3288"/>
      </w:tblGrid>
      <w:tr>
        <w:tc>
          <w:tcPr>
            <w:tcW w:type="dxa" w:w="3288"/>
          </w:tcPr>
          <w:p>
            <w:r>
              <w:rPr>
                <w:b/>
              </w:rPr>
              <w:t>Filtro</w:t>
            </w:r>
          </w:p>
        </w:tc>
        <w:tc>
          <w:tcPr>
            <w:tcW w:type="dxa" w:w="3288"/>
          </w:tcPr>
          <w:p>
            <w:r>
              <w:rPr>
                <w:b/>
              </w:rPr>
              <w:t>Pregunta</w:t>
            </w:r>
          </w:p>
        </w:tc>
        <w:tc>
          <w:tcPr>
            <w:tcW w:type="dxa" w:w="3288"/>
          </w:tcPr>
          <w:p>
            <w:r>
              <w:rPr>
                <w:b/>
              </w:rPr>
              <w:t>Resultado que debe registrarse</w:t>
            </w:r>
          </w:p>
        </w:tc>
      </w:tr>
      <w:tr>
        <w:tc>
          <w:tcPr>
            <w:tcW w:type="dxa" w:w="3288"/>
            <w:vAlign w:val="top"/>
          </w:tcPr>
          <w:p>
            <w:r>
              <w:t>Competencia</w:t>
            </w:r>
          </w:p>
        </w:tc>
        <w:tc>
          <w:tcPr>
            <w:tcW w:type="dxa" w:w="3288"/>
            <w:vAlign w:val="top"/>
          </w:tcPr>
          <w:p>
            <w:r>
              <w:t>¿Quién conoce del asunto?</w:t>
            </w:r>
          </w:p>
        </w:tc>
        <w:tc>
          <w:tcPr>
            <w:tcW w:type="dxa" w:w="3288"/>
            <w:vAlign w:val="top"/>
          </w:tcPr>
          <w:p>
            <w:r>
              <w:t>Autoridad/tribunal y fundamento a verificar.</w:t>
            </w:r>
          </w:p>
        </w:tc>
      </w:tr>
      <w:tr>
        <w:tc>
          <w:tcPr>
            <w:tcW w:type="dxa" w:w="3288"/>
            <w:vAlign w:val="top"/>
          </w:tcPr>
          <w:p>
            <w:r>
              <w:t>Personalidad</w:t>
            </w:r>
          </w:p>
        </w:tc>
        <w:tc>
          <w:tcPr>
            <w:tcW w:type="dxa" w:w="3288"/>
            <w:vAlign w:val="top"/>
          </w:tcPr>
          <w:p>
            <w:r>
              <w:t>¿Quién comparece y con qué facultades?</w:t>
            </w:r>
          </w:p>
        </w:tc>
        <w:tc>
          <w:tcPr>
            <w:tcW w:type="dxa" w:w="3288"/>
            <w:vAlign w:val="top"/>
          </w:tcPr>
          <w:p>
            <w:r>
              <w:t>Documento que acredita representación.</w:t>
            </w:r>
          </w:p>
        </w:tc>
      </w:tr>
      <w:tr>
        <w:tc>
          <w:tcPr>
            <w:tcW w:type="dxa" w:w="3288"/>
            <w:vAlign w:val="top"/>
          </w:tcPr>
          <w:p>
            <w:r>
              <w:t>Legitimación</w:t>
            </w:r>
          </w:p>
        </w:tc>
        <w:tc>
          <w:tcPr>
            <w:tcW w:type="dxa" w:w="3288"/>
            <w:vAlign w:val="top"/>
          </w:tcPr>
          <w:p>
            <w:r>
              <w:t>¿Quién puede reclamar o ser llamado?</w:t>
            </w:r>
          </w:p>
        </w:tc>
        <w:tc>
          <w:tcPr>
            <w:tcW w:type="dxa" w:w="3288"/>
            <w:vAlign w:val="top"/>
          </w:tcPr>
          <w:p>
            <w:r>
              <w:t>Activa/pasiva y justificación.</w:t>
            </w:r>
          </w:p>
        </w:tc>
      </w:tr>
      <w:tr>
        <w:tc>
          <w:tcPr>
            <w:tcW w:type="dxa" w:w="3288"/>
            <w:vAlign w:val="top"/>
          </w:tcPr>
          <w:p>
            <w:r>
              <w:t>Vía</w:t>
            </w:r>
          </w:p>
        </w:tc>
        <w:tc>
          <w:tcPr>
            <w:tcW w:type="dxa" w:w="3288"/>
            <w:vAlign w:val="top"/>
          </w:tcPr>
          <w:p>
            <w:r>
              <w:t>¿Qué procedimiento corresponde?</w:t>
            </w:r>
          </w:p>
        </w:tc>
        <w:tc>
          <w:tcPr>
            <w:tcW w:type="dxa" w:w="3288"/>
            <w:vAlign w:val="top"/>
          </w:tcPr>
          <w:p>
            <w:r>
              <w:t>Vía seleccionada y alternativas.</w:t>
            </w:r>
          </w:p>
        </w:tc>
      </w:tr>
      <w:tr>
        <w:tc>
          <w:tcPr>
            <w:tcW w:type="dxa" w:w="3288"/>
            <w:vAlign w:val="top"/>
          </w:tcPr>
          <w:p>
            <w:r>
              <w:t>Oportunidad</w:t>
            </w:r>
          </w:p>
        </w:tc>
        <w:tc>
          <w:tcPr>
            <w:tcW w:type="dxa" w:w="3288"/>
            <w:vAlign w:val="top"/>
          </w:tcPr>
          <w:p>
            <w:r>
              <w:t>¿Qué plazo controla el asunto?</w:t>
            </w:r>
          </w:p>
        </w:tc>
        <w:tc>
          <w:tcPr>
            <w:tcW w:type="dxa" w:w="3288"/>
            <w:vAlign w:val="top"/>
          </w:tcPr>
          <w:p>
            <w:r>
              <w:t>Fecha inicial y vencimiento.</w:t>
            </w:r>
          </w:p>
        </w:tc>
      </w:tr>
      <w:tr>
        <w:tc>
          <w:tcPr>
            <w:tcW w:type="dxa" w:w="3288"/>
            <w:vAlign w:val="top"/>
          </w:tcPr>
          <w:p>
            <w:r>
              <w:t>Pretensión</w:t>
            </w:r>
          </w:p>
        </w:tc>
        <w:tc>
          <w:tcPr>
            <w:tcW w:type="dxa" w:w="3288"/>
            <w:vAlign w:val="top"/>
          </w:tcPr>
          <w:p>
            <w:r>
              <w:t>¿Qué se quiere obtener?</w:t>
            </w:r>
          </w:p>
        </w:tc>
        <w:tc>
          <w:tcPr>
            <w:tcW w:type="dxa" w:w="3288"/>
            <w:vAlign w:val="top"/>
          </w:tcPr>
          <w:p>
            <w:r>
              <w:t>Petición principal y subsidiaria.</w:t>
            </w:r>
          </w:p>
        </w:tc>
      </w:tr>
      <w:tr>
        <w:tc>
          <w:tcPr>
            <w:tcW w:type="dxa" w:w="3288"/>
            <w:vAlign w:val="top"/>
          </w:tcPr>
          <w:p>
            <w:r>
              <w:t>Prueba</w:t>
            </w:r>
          </w:p>
        </w:tc>
        <w:tc>
          <w:tcPr>
            <w:tcW w:type="dxa" w:w="3288"/>
            <w:vAlign w:val="top"/>
          </w:tcPr>
          <w:p>
            <w:r>
              <w:t>¿Qué hecho es decisivo?</w:t>
            </w:r>
          </w:p>
        </w:tc>
        <w:tc>
          <w:tcPr>
            <w:tcW w:type="dxa" w:w="3288"/>
            <w:vAlign w:val="top"/>
          </w:tcPr>
          <w:p>
            <w:r>
              <w:t>Prueba disponible y faltante.</w:t>
            </w:r>
          </w:p>
        </w:tc>
      </w:tr>
      <w:tr>
        <w:tc>
          <w:tcPr>
            <w:tcW w:type="dxa" w:w="3288"/>
            <w:vAlign w:val="top"/>
          </w:tcPr>
          <w:p>
            <w:r>
              <w:t>Riesgo</w:t>
            </w:r>
          </w:p>
        </w:tc>
        <w:tc>
          <w:tcPr>
            <w:tcW w:type="dxa" w:w="3288"/>
            <w:vAlign w:val="top"/>
          </w:tcPr>
          <w:p>
            <w:r>
              <w:t>¿Qué puede perderse si se espera?</w:t>
            </w:r>
          </w:p>
        </w:tc>
        <w:tc>
          <w:tcPr>
            <w:tcW w:type="dxa" w:w="3288"/>
            <w:vAlign w:val="top"/>
          </w:tcPr>
          <w:p>
            <w:r>
              <w:t>Medida urgente y justificación.</w:t>
            </w:r>
          </w:p>
        </w:tc>
      </w:tr>
      <w:tr>
        <w:tc>
          <w:tcPr>
            <w:tcW w:type="dxa" w:w="3288"/>
            <w:vAlign w:val="top"/>
          </w:tcPr>
          <w:p>
            <w:r>
              <w:t>Estrategia</w:t>
            </w:r>
          </w:p>
        </w:tc>
        <w:tc>
          <w:tcPr>
            <w:tcW w:type="dxa" w:w="3288"/>
            <w:vAlign w:val="top"/>
          </w:tcPr>
          <w:p>
            <w:r>
              <w:t>¿Litigar, negociar o ambas?</w:t>
            </w:r>
          </w:p>
        </w:tc>
        <w:tc>
          <w:tcPr>
            <w:tcW w:type="dxa" w:w="3288"/>
            <w:vAlign w:val="top"/>
          </w:tcPr>
          <w:p>
            <w:r>
              <w:t>Escenario principal y alternativo.</w:t>
            </w:r>
          </w:p>
        </w:tc>
      </w:tr>
    </w:tbl>
    <w:p>
      <w:r>
        <w:rPr>
          <w:b/>
        </w:rPr>
        <w:t>5. Rutas procesales prácticas</w:t>
      </w:r>
    </w:p>
    <w:p>
      <w:r>
        <w:t>La ruta no se define por el nombre del problema, sino por el acto impugnable, la autoridad competente, el plazo y la vía prevista en la ley especial. Antes de presentar cualquier escrito, dejar documentada la elección de vía.</w:t>
      </w:r>
    </w:p>
    <w:p>
      <w:r>
        <w:rPr>
          <w:b/>
        </w:rPr>
        <w:t>A. Impugnación de acto administrativo, fiscal o de autoridad</w:t>
      </w:r>
    </w:p>
    <w:p>
      <w:r>
        <w:t>1. Identificar el acto y obtener la resolución íntegra y sus constancias de notificación.</w:t>
      </w:r>
    </w:p>
    <w:p>
      <w:r>
        <w:t>2. Definir autoridad emisora, materia y competencia (federal, estatal o municipal).</w:t>
      </w:r>
    </w:p>
    <w:p>
      <w:r>
        <w:t>3. Determinar si el acto es definitivo, de trámite con afectación relevante o si existe un medio previo obligatorio.</w:t>
      </w:r>
    </w:p>
    <w:p>
      <w:r>
        <w:t>4. Calcular el plazo con fecha y documento de referencia; registrar la fecha límite en SIGDE.</w:t>
      </w:r>
    </w:p>
    <w:p>
      <w:r>
        <w:t>5. Elegir la vía: recurso administrativo, juicio contencioso, medio especial o amparo, según la ley aplicable.</w:t>
      </w:r>
    </w:p>
    <w:p>
      <w:r>
        <w:t>6. Analizar suspensión o medida cautelar antes de que el acto produzca efectos de difícil reparación.</w:t>
      </w:r>
    </w:p>
    <w:p>
      <w:r>
        <w:t>7. Preparar demanda o recurso: autoridad, acto, hechos, conceptos de impugnación, pruebas y petitorios.</w:t>
      </w:r>
    </w:p>
    <w:p>
      <w:r>
        <w:t>8. Presentar y obtener acuse; registrar expediente, órgano y fecha de la siguiente actuación.</w:t>
      </w:r>
    </w:p>
    <w:p>
      <w:r>
        <w:t>9. Atender prevención, contestación de la autoridad, pruebas y alegatos conforme a la vía.</w:t>
      </w:r>
    </w:p>
    <w:p>
      <w:r>
        <w:t>10. Recibir resolución y analizar cumplimiento, recurso o amparo que proceda.</w:t>
      </w:r>
    </w:p>
    <w:p>
      <w:r>
        <w:t>11. Si la resolución es favorable, controlar su cumplimiento; si es desfavorable, abrir inmediatamente la ruta de impugnación correspondiente.</w:t>
      </w:r>
    </w:p>
    <w:p>
      <w:r>
        <w:rPr>
          <w:b/>
        </w:rPr>
        <w:t>B. Responsabilidad administrativa de personas servidoras públicas</w:t>
      </w:r>
    </w:p>
    <w:p>
      <w:r>
        <w:t>1. Recibir denuncia o noticia y definir si existe materia de responsabilidad administrativa.</w:t>
      </w:r>
    </w:p>
    <w:p>
      <w:r>
        <w:t>2. Preservar evidencia y determinar autoridad investigadora competente.</w:t>
      </w:r>
    </w:p>
    <w:p>
      <w:r>
        <w:t>3. Etapa de investigación y, en su caso, informe de presunta responsabilidad.</w:t>
      </w:r>
    </w:p>
    <w:p>
      <w:r>
        <w:t>4. Verificar autoridad substanciadora y separar funciones cuando la ley lo exija.</w:t>
      </w:r>
    </w:p>
    <w:p>
      <w:r>
        <w:t>5. Emplazamiento y defensa de la persona señalada.</w:t>
      </w:r>
    </w:p>
    <w:p>
      <w:r>
        <w:t>6. Ofrecimiento y desahogo de pruebas dentro de la etapa correspondiente.</w:t>
      </w:r>
    </w:p>
    <w:p>
      <w:r>
        <w:t>7. Resolución de la autoridad competente.</w:t>
      </w:r>
    </w:p>
    <w:p>
      <w:r>
        <w:t>8. Determinar recurso o medio de defensa procedente y plazo.</w:t>
      </w:r>
    </w:p>
    <w:p>
      <w:r>
        <w:t>9. Controlar cumplimiento de la sanción o de la resolución favorable y cerrar expediente.</w:t>
      </w:r>
    </w:p>
    <w:p>
      <w:r>
        <w:rPr>
          <w:b/>
        </w:rPr>
        <w:t>6. Checklist imprimible específico</w:t>
      </w:r>
    </w:p>
    <w:p>
      <w:r>
        <w:t>Este formato debe imprimirse y marcarse en cada asunto. Si un punto no aplica, marcar N/A y dejar la razón en el expediente.</w:t>
      </w:r>
    </w:p>
    <w:tbl>
      <w:tblPr>
        <w:tblW w:type="auto" w:w="0"/>
        <w:jc w:val="center"/>
        <w:tblLook w:firstColumn="1" w:firstRow="1" w:lastColumn="0" w:lastRow="0" w:noHBand="0" w:noVBand="1" w:val="04A0"/>
      </w:tblPr>
      <w:tblGrid>
        <w:gridCol w:w="1973"/>
        <w:gridCol w:w="1973"/>
        <w:gridCol w:w="1973"/>
        <w:gridCol w:w="1973"/>
        <w:gridCol w:w="1973"/>
      </w:tblGrid>
      <w:tr>
        <w:tc>
          <w:tcPr>
            <w:tcW w:type="dxa" w:w="1973"/>
            <w:shd w:fill="EAF2FF"/>
          </w:tcPr>
          <w:p>
            <w:r>
              <w:rPr>
                <w:b/>
              </w:rPr>
              <w:t>No.</w:t>
            </w:r>
          </w:p>
        </w:tc>
        <w:tc>
          <w:tcPr>
            <w:tcW w:type="dxa" w:w="1973"/>
            <w:shd w:fill="EAF2FF"/>
          </w:tcPr>
          <w:p>
            <w:r>
              <w:rPr>
                <w:b/>
              </w:rPr>
              <w:t>Verificación</w:t>
            </w:r>
          </w:p>
        </w:tc>
        <w:tc>
          <w:tcPr>
            <w:tcW w:type="dxa" w:w="1973"/>
            <w:shd w:fill="EAF2FF"/>
          </w:tcPr>
          <w:p>
            <w:r>
              <w:rPr>
                <w:b/>
              </w:rPr>
              <w:t>Sí</w:t>
            </w:r>
          </w:p>
        </w:tc>
        <w:tc>
          <w:tcPr>
            <w:tcW w:type="dxa" w:w="1973"/>
            <w:shd w:fill="EAF2FF"/>
          </w:tcPr>
          <w:p>
            <w:r>
              <w:rPr>
                <w:b/>
              </w:rPr>
              <w:t>No</w:t>
            </w:r>
          </w:p>
        </w:tc>
        <w:tc>
          <w:tcPr>
            <w:tcW w:type="dxa" w:w="1973"/>
            <w:shd w:fill="EAF2FF"/>
          </w:tcPr>
          <w:p>
            <w:r>
              <w:rPr>
                <w:b/>
              </w:rPr>
              <w:t>N/A</w:t>
            </w:r>
          </w:p>
        </w:tc>
      </w:tr>
      <w:tr>
        <w:tc>
          <w:tcPr>
            <w:tcW w:type="dxa" w:w="1973"/>
            <w:vAlign w:val="center"/>
          </w:tcPr>
          <w:p>
            <w:r>
              <w:t>1</w:t>
            </w:r>
          </w:p>
        </w:tc>
        <w:tc>
          <w:tcPr>
            <w:tcW w:type="dxa" w:w="1973"/>
            <w:vAlign w:val="center"/>
          </w:tcPr>
          <w:p>
            <w:r>
              <w:t>Acto o hecho generador plenamente identificado.</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2</w:t>
            </w:r>
          </w:p>
        </w:tc>
        <w:tc>
          <w:tcPr>
            <w:tcW w:type="dxa" w:w="1973"/>
            <w:vAlign w:val="center"/>
          </w:tcPr>
          <w:p>
            <w:r>
              <w:t>Autoridad competente identificada.</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3</w:t>
            </w:r>
          </w:p>
        </w:tc>
        <w:tc>
          <w:tcPr>
            <w:tcW w:type="dxa" w:w="1973"/>
            <w:vAlign w:val="center"/>
          </w:tcPr>
          <w:p>
            <w:r>
              <w:t>Expediente y resolución íntegros disponibles.</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4</w:t>
            </w:r>
          </w:p>
        </w:tc>
        <w:tc>
          <w:tcPr>
            <w:tcW w:type="dxa" w:w="1973"/>
            <w:vAlign w:val="center"/>
          </w:tcPr>
          <w:p>
            <w:r>
              <w:t>Fecha de notificación y plazo documentados.</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5</w:t>
            </w:r>
          </w:p>
        </w:tc>
        <w:tc>
          <w:tcPr>
            <w:tcW w:type="dxa" w:w="1973"/>
            <w:vAlign w:val="center"/>
          </w:tcPr>
          <w:p>
            <w:r>
              <w:t>Vía elegida y fundamento de procedencia asentados.</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6</w:t>
            </w:r>
          </w:p>
        </w:tc>
        <w:tc>
          <w:tcPr>
            <w:tcW w:type="dxa" w:w="1973"/>
            <w:vAlign w:val="center"/>
          </w:tcPr>
          <w:p>
            <w:r>
              <w:t>Suspensión o medida cautelar analizada.</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7</w:t>
            </w:r>
          </w:p>
        </w:tc>
        <w:tc>
          <w:tcPr>
            <w:tcW w:type="dxa" w:w="1973"/>
            <w:vAlign w:val="center"/>
          </w:tcPr>
          <w:p>
            <w:r>
              <w:t>Legitimación y personalidad acreditadas.</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8</w:t>
            </w:r>
          </w:p>
        </w:tc>
        <w:tc>
          <w:tcPr>
            <w:tcW w:type="dxa" w:w="1973"/>
            <w:vAlign w:val="center"/>
          </w:tcPr>
          <w:p>
            <w:r>
              <w:t>Cada hecho está vinculado con una prueba.</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9</w:t>
            </w:r>
          </w:p>
        </w:tc>
        <w:tc>
          <w:tcPr>
            <w:tcW w:type="dxa" w:w="1973"/>
            <w:vAlign w:val="center"/>
          </w:tcPr>
          <w:p>
            <w:r>
              <w:t>Fundamentos y jurisprudencia revisados en texto vigente.</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10</w:t>
            </w:r>
          </w:p>
        </w:tc>
        <w:tc>
          <w:tcPr>
            <w:tcW w:type="dxa" w:w="1973"/>
            <w:vAlign w:val="center"/>
          </w:tcPr>
          <w:p>
            <w:r>
              <w:t>Anexos, copias y acuses completos.</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11</w:t>
            </w:r>
          </w:p>
        </w:tc>
        <w:tc>
          <w:tcPr>
            <w:tcW w:type="dxa" w:w="1973"/>
            <w:vAlign w:val="center"/>
          </w:tcPr>
          <w:p>
            <w:r>
              <w:t>Petitorios concretos y congruentes.</w:t>
            </w:r>
          </w:p>
        </w:tc>
        <w:tc>
          <w:tcPr>
            <w:tcW w:type="dxa" w:w="1973"/>
            <w:vAlign w:val="center"/>
          </w:tcPr>
          <w:p>
            <w:r>
              <w:t>☐</w:t>
            </w:r>
          </w:p>
        </w:tc>
        <w:tc>
          <w:tcPr>
            <w:tcW w:type="dxa" w:w="1973"/>
            <w:vAlign w:val="center"/>
          </w:tcPr>
          <w:p>
            <w:r>
              <w:t>☐</w:t>
            </w:r>
          </w:p>
        </w:tc>
        <w:tc>
          <w:tcPr>
            <w:tcW w:type="dxa" w:w="1973"/>
            <w:vAlign w:val="center"/>
          </w:tcPr>
          <w:p>
            <w:r>
              <w:t>☐</w:t>
            </w:r>
          </w:p>
        </w:tc>
      </w:tr>
      <w:tr>
        <w:tc>
          <w:tcPr>
            <w:tcW w:type="dxa" w:w="1973"/>
            <w:vAlign w:val="center"/>
          </w:tcPr>
          <w:p>
            <w:r>
              <w:t>12</w:t>
            </w:r>
          </w:p>
        </w:tc>
        <w:tc>
          <w:tcPr>
            <w:tcW w:type="dxa" w:w="1973"/>
            <w:vAlign w:val="center"/>
          </w:tcPr>
          <w:p>
            <w:r>
              <w:t>Próximo término registrado en SIGDE.</w:t>
            </w:r>
          </w:p>
        </w:tc>
        <w:tc>
          <w:tcPr>
            <w:tcW w:type="dxa" w:w="1973"/>
            <w:vAlign w:val="center"/>
          </w:tcPr>
          <w:p>
            <w:r>
              <w:t>☐</w:t>
            </w:r>
          </w:p>
        </w:tc>
        <w:tc>
          <w:tcPr>
            <w:tcW w:type="dxa" w:w="1973"/>
            <w:vAlign w:val="center"/>
          </w:tcPr>
          <w:p>
            <w:r>
              <w:t>☐</w:t>
            </w:r>
          </w:p>
        </w:tc>
        <w:tc>
          <w:tcPr>
            <w:tcW w:type="dxa" w:w="1973"/>
            <w:vAlign w:val="center"/>
          </w:tcPr>
          <w:p>
            <w:r>
              <w:t>☐</w:t>
            </w:r>
          </w:p>
        </w:tc>
      </w:tr>
    </w:tbl>
    <w:p>
      <w:r>
        <w:rPr>
          <w:b/>
        </w:rPr>
        <w:t>1. Identificar acto y autoridad</w:t>
      </w:r>
    </w:p>
    <w:p>
      <w:r>
        <w:rPr>
          <w:b/>
        </w:rPr>
        <w:t>2. Determinar régimen federal o Jalisco</w:t>
      </w:r>
    </w:p>
    <w:p>
      <w:r>
        <w:rPr>
          <w:b/>
        </w:rPr>
        <w:t>3. Revisar competencia, fundamentación, motivación y procedimiento</w:t>
      </w:r>
    </w:p>
    <w:p>
      <w:r>
        <w:rPr>
          <w:b/>
        </w:rPr>
        <w:t>4. Calcular oportunidad</w:t>
      </w:r>
    </w:p>
    <w:p>
      <w:r>
        <w:rPr>
          <w:b/>
        </w:rPr>
        <w:t>5. Elegir recurso, juicio contencioso, defensa fiscal, medio especial o amparo</w:t>
      </w:r>
    </w:p>
    <w:p>
      <w:r>
        <w:rPr>
          <w:b/>
        </w:rPr>
        <w:t>6. Analizar suspensión/medida cautelar</w:t>
      </w:r>
    </w:p>
    <w:p>
      <w:r>
        <w:rPr>
          <w:b/>
        </w:rPr>
        <w:t>7. Ofrecer y vincular pruebas</w:t>
      </w:r>
    </w:p>
    <w:p>
      <w:r>
        <w:rPr>
          <w:b/>
        </w:rPr>
        <w:t>8. Resolver y preparar recursos</w:t>
      </w:r>
    </w:p>
    <w:p>
      <w:r>
        <w:rPr>
          <w:b/>
        </w:rPr>
        <w:t>9. Ejecutar o combatir la ejecución</w:t>
      </w:r>
    </w:p>
    <w:p>
      <w:r>
        <w:rPr>
          <w:b/>
        </w:rPr>
        <w:t>7. Matriz de pruebas y control del expediente</w:t>
      </w:r>
    </w:p>
    <w:p>
      <w:r>
        <w:t>Usar la matriz de pruebas para relacionar cada hecho controvertido con la evidencia que lo acredita y mantener actualizado el expediente.</w:t>
      </w:r>
    </w:p>
    <w:tbl>
      <w:tblPr>
        <w:tblW w:type="auto" w:w="0"/>
        <w:jc w:val="center"/>
        <w:tblLook w:firstColumn="1" w:firstRow="1" w:lastColumn="0" w:lastRow="0" w:noHBand="0" w:noVBand="1" w:val="04A0"/>
      </w:tblPr>
      <w:tblGrid>
        <w:gridCol w:w="3288"/>
        <w:gridCol w:w="3288"/>
        <w:gridCol w:w="3288"/>
      </w:tblGrid>
      <w:tr>
        <w:tc>
          <w:tcPr>
            <w:tcW w:type="dxa" w:w="3288"/>
          </w:tcPr>
          <w:p>
            <w:r>
              <w:rPr>
                <w:b/>
              </w:rPr>
              <w:t>Hecho a probar</w:t>
            </w:r>
          </w:p>
        </w:tc>
        <w:tc>
          <w:tcPr>
            <w:tcW w:type="dxa" w:w="3288"/>
          </w:tcPr>
          <w:p>
            <w:r>
              <w:rPr>
                <w:b/>
              </w:rPr>
              <w:t>Prueba sugerida</w:t>
            </w:r>
          </w:p>
        </w:tc>
        <w:tc>
          <w:tcPr>
            <w:tcW w:type="dxa" w:w="3288"/>
          </w:tcPr>
          <w:p>
            <w:r>
              <w:rPr>
                <w:b/>
              </w:rPr>
              <w:t>Qué revisar</w:t>
            </w:r>
          </w:p>
        </w:tc>
      </w:tr>
      <w:tr>
        <w:tc>
          <w:tcPr>
            <w:tcW w:type="dxa" w:w="3288"/>
            <w:vAlign w:val="top"/>
          </w:tcPr>
          <w:p>
            <w:r>
              <w:t>Hecho principal</w:t>
            </w:r>
          </w:p>
        </w:tc>
        <w:tc>
          <w:tcPr>
            <w:tcW w:type="dxa" w:w="3288"/>
            <w:vAlign w:val="top"/>
          </w:tcPr>
          <w:p>
            <w:r>
              <w:t>Documento base / testimonio / pericial</w:t>
            </w:r>
          </w:p>
        </w:tc>
        <w:tc>
          <w:tcPr>
            <w:tcW w:type="dxa" w:w="3288"/>
            <w:vAlign w:val="top"/>
          </w:tcPr>
          <w:p>
            <w:r>
              <w:t>Autenticidad, origen y relación con el hecho.</w:t>
            </w:r>
          </w:p>
        </w:tc>
      </w:tr>
      <w:tr>
        <w:tc>
          <w:tcPr>
            <w:tcW w:type="dxa" w:w="3288"/>
            <w:vAlign w:val="top"/>
          </w:tcPr>
          <w:p>
            <w:r>
              <w:t>Fecha</w:t>
            </w:r>
          </w:p>
        </w:tc>
        <w:tc>
          <w:tcPr>
            <w:tcW w:type="dxa" w:w="3288"/>
            <w:vAlign w:val="top"/>
          </w:tcPr>
          <w:p>
            <w:r>
              <w:t>Acuse, acta, registro, comunicación</w:t>
            </w:r>
          </w:p>
        </w:tc>
        <w:tc>
          <w:tcPr>
            <w:tcW w:type="dxa" w:w="3288"/>
            <w:vAlign w:val="top"/>
          </w:tcPr>
          <w:p>
            <w:r>
              <w:t>Fecha cierta y efectos jurídicos.</w:t>
            </w:r>
          </w:p>
        </w:tc>
      </w:tr>
      <w:tr>
        <w:tc>
          <w:tcPr>
            <w:tcW w:type="dxa" w:w="3288"/>
            <w:vAlign w:val="top"/>
          </w:tcPr>
          <w:p>
            <w:r>
              <w:t>Conducta de la contraparte</w:t>
            </w:r>
          </w:p>
        </w:tc>
        <w:tc>
          <w:tcPr>
            <w:tcW w:type="dxa" w:w="3288"/>
            <w:vAlign w:val="top"/>
          </w:tcPr>
          <w:p>
            <w:r>
              <w:t>Documento, comunicación o evidencia digital</w:t>
            </w:r>
          </w:p>
        </w:tc>
        <w:tc>
          <w:tcPr>
            <w:tcW w:type="dxa" w:w="3288"/>
            <w:vAlign w:val="top"/>
          </w:tcPr>
          <w:p>
            <w:r>
              <w:t>Contexto e integridad.</w:t>
            </w:r>
          </w:p>
        </w:tc>
      </w:tr>
      <w:tr>
        <w:tc>
          <w:tcPr>
            <w:tcW w:type="dxa" w:w="3288"/>
            <w:vAlign w:val="top"/>
          </w:tcPr>
          <w:p>
            <w:r>
              <w:t>Daño/afectación</w:t>
            </w:r>
          </w:p>
        </w:tc>
        <w:tc>
          <w:tcPr>
            <w:tcW w:type="dxa" w:w="3288"/>
            <w:vAlign w:val="top"/>
          </w:tcPr>
          <w:p>
            <w:r>
              <w:t>Documental, pericial o contable</w:t>
            </w:r>
          </w:p>
        </w:tc>
        <w:tc>
          <w:tcPr>
            <w:tcW w:type="dxa" w:w="3288"/>
            <w:vAlign w:val="top"/>
          </w:tcPr>
          <w:p>
            <w:r>
              <w:t>Nexo con el hecho.</w:t>
            </w:r>
          </w:p>
        </w:tc>
      </w:tr>
      <w:tr>
        <w:tc>
          <w:tcPr>
            <w:tcW w:type="dxa" w:w="3288"/>
            <w:vAlign w:val="top"/>
          </w:tcPr>
          <w:p>
            <w:r>
              <w:t>Excepción/defensa</w:t>
            </w:r>
          </w:p>
        </w:tc>
        <w:tc>
          <w:tcPr>
            <w:tcW w:type="dxa" w:w="3288"/>
            <w:vAlign w:val="top"/>
          </w:tcPr>
          <w:p>
            <w:r>
              <w:t>Documental y demás medios idóneos</w:t>
            </w:r>
          </w:p>
        </w:tc>
        <w:tc>
          <w:tcPr>
            <w:tcW w:type="dxa" w:w="3288"/>
            <w:vAlign w:val="top"/>
          </w:tcPr>
          <w:p>
            <w:r>
              <w:t>Carga de la prueba y oportunidad.</w:t>
            </w:r>
          </w:p>
        </w:tc>
      </w:tr>
    </w:tbl>
    <w:p>
      <w:r>
        <w:rPr>
          <w:b/>
          <w:sz w:val="26"/>
        </w:rPr>
        <w:t>7. Checklist previo a demanda, contestación o promoción</w:t>
      </w:r>
    </w:p>
    <w:p>
      <w:r>
        <w:t>☐ Competencia y vía verificadas.</w:t>
      </w:r>
    </w:p>
    <w:p>
      <w:r>
        <w:t>☐ Personalidad y legitimación verificadas.</w:t>
      </w:r>
    </w:p>
    <w:p>
      <w:r>
        <w:t>☐ Plazo calculado con documento de referencia.</w:t>
      </w:r>
    </w:p>
    <w:p>
      <w:r>
        <w:t>☐ Pretensiones claras y congruentes.</w:t>
      </w:r>
    </w:p>
    <w:p>
      <w:r>
        <w:t>☐ Hechos cronológicos y concretos.</w:t>
      </w:r>
    </w:p>
    <w:p>
      <w:r>
        <w:t>☐ Pruebas vinculadas a hechos.</w:t>
      </w:r>
    </w:p>
    <w:p>
      <w:r>
        <w:t>☐ Fundamentos revisados en texto vigente.</w:t>
      </w:r>
    </w:p>
    <w:p>
      <w:r>
        <w:t>☐ Anexos completos y correctamente identificados.</w:t>
      </w:r>
    </w:p>
    <w:p>
      <w:r>
        <w:t>☐ Medidas provisionales/cautelares analizadas.</w:t>
      </w:r>
    </w:p>
    <w:p>
      <w:r>
        <w:t>☐ Datos personales y confidenciales revisados.</w:t>
      </w:r>
    </w:p>
    <w:p>
      <w:r>
        <w:t>☐ Petitorios completos.</w:t>
      </w:r>
    </w:p>
    <w:p>
      <w:r>
        <w:t>☐ Copia final cotejada antes de presentar.</w:t>
      </w:r>
    </w:p>
    <w:p>
      <w:r>
        <w:rPr>
          <w:b/>
          <w:sz w:val="26"/>
        </w:rPr>
        <w:t>8. Errores comunes</w:t>
      </w:r>
    </w:p>
    <w:p>
      <w:r>
        <w:rPr>
          <w:b/>
        </w:rPr>
        <w:t xml:space="preserve">• </w:t>
      </w:r>
      <w:r>
        <w:t>Impugnar sin tener la resolución íntegra.</w:t>
      </w:r>
    </w:p>
    <w:p>
      <w:r>
        <w:rPr>
          <w:b/>
        </w:rPr>
        <w:t xml:space="preserve">• </w:t>
      </w:r>
      <w:r>
        <w:t>Confundir un acto de trámite con uno definitivo sin analizar sus efectos.</w:t>
      </w:r>
    </w:p>
    <w:p>
      <w:r>
        <w:rPr>
          <w:b/>
        </w:rPr>
        <w:t xml:space="preserve">• </w:t>
      </w:r>
      <w:r>
        <w:t>Aplicar LFPA a una materia excluida o regida por ley especial.</w:t>
      </w:r>
    </w:p>
    <w:p>
      <w:r>
        <w:rPr>
          <w:b/>
        </w:rPr>
        <w:t xml:space="preserve">• </w:t>
      </w:r>
      <w:r>
        <w:t>No documentar el cómputo del plazo.</w:t>
      </w:r>
    </w:p>
    <w:p>
      <w:r>
        <w:rPr>
          <w:b/>
        </w:rPr>
        <w:t xml:space="preserve">• </w:t>
      </w:r>
      <w:r>
        <w:t>No analizar la suspensión antes de que la ejecución produzca efectos irreparables.</w:t>
      </w:r>
    </w:p>
    <w:p>
      <w:r>
        <w:rPr>
          <w:b/>
        </w:rPr>
        <w:t xml:space="preserve">• </w:t>
      </w:r>
      <w:r>
        <w:t>No dejar constancia de por qué se eligió una vía y no otra.</w:t>
      </w:r>
    </w:p>
    <w:p>
      <w:r>
        <w:rPr>
          <w:b/>
        </w:rPr>
        <w:t xml:space="preserve">• </w:t>
      </w:r>
      <w:r>
        <w:t>No actualizar el control de términos después de cada actuación.</w:t>
      </w:r>
    </w:p>
    <w:p>
      <w:r>
        <w:rPr>
          <w:b/>
        </w:rPr>
        <w:t xml:space="preserve">• </w:t>
      </w:r>
      <w:r>
        <w:t>No preparar desde el inicio la etapa de ejecución.</w:t>
      </w:r>
    </w:p>
    <w:p>
      <w:r>
        <w:rPr>
          <w:b/>
        </w:rPr>
        <w:t xml:space="preserve">• </w:t>
      </w:r>
      <w:r>
        <w:t>No separar el asesoramiento jurídico de una promesa de resultado.</w:t>
      </w:r>
    </w:p>
    <w:p>
      <w:r>
        <w:rPr>
          <w:b/>
          <w:sz w:val="26"/>
        </w:rPr>
        <w:t>9. Preparación de audiencia</w:t>
      </w:r>
    </w:p>
    <w:p>
      <w:r>
        <w:t>☐ Teoría del caso o teoría de defensa en una frase.</w:t>
      </w:r>
    </w:p>
    <w:p>
      <w:r>
        <w:t>☐ Tres hechos decisivos perfectamente identificados.</w:t>
      </w:r>
    </w:p>
    <w:p>
      <w:r>
        <w:t>☐ Pruebas que acreditan cada hecho decisivo.</w:t>
      </w:r>
    </w:p>
    <w:p>
      <w:r>
        <w:t>☐ Tres argumentos previsibles de la contraparte y respuesta.</w:t>
      </w:r>
    </w:p>
    <w:p>
      <w:r>
        <w:t>☐ Petición concreta que se formulará al órgano.</w:t>
      </w:r>
    </w:p>
    <w:p>
      <w:r>
        <w:t>☐ Documentos y folios localizados para consulta inmediata.</w:t>
      </w:r>
    </w:p>
    <w:p>
      <w:r>
        <w:t>☐ Próximos términos anotados después de la audiencia.</w:t>
      </w:r>
    </w:p>
    <w:p>
      <w:r>
        <w:rPr>
          <w:b/>
          <w:sz w:val="26"/>
        </w:rPr>
        <w:t>10. Estrategia procesal — hoja de trabajo</w:t>
      </w:r>
    </w:p>
    <w:tbl>
      <w:tblPr>
        <w:tblW w:type="auto" w:w="0"/>
        <w:jc w:val="center"/>
        <w:tblLook w:firstColumn="1" w:firstRow="1" w:lastColumn="0" w:lastRow="0" w:noHBand="0" w:noVBand="1" w:val="04A0"/>
      </w:tblPr>
      <w:tblGrid>
        <w:gridCol w:w="4932"/>
        <w:gridCol w:w="4932"/>
      </w:tblGrid>
      <w:tr>
        <w:tc>
          <w:tcPr>
            <w:tcW w:type="dxa" w:w="4932"/>
          </w:tcPr>
          <w:p>
            <w:r>
              <w:rPr>
                <w:b/>
              </w:rPr>
              <w:t>Elemento</w:t>
            </w:r>
          </w:p>
        </w:tc>
        <w:tc>
          <w:tcPr>
            <w:tcW w:type="dxa" w:w="4932"/>
          </w:tcPr>
          <w:p>
            <w:r>
              <w:rPr>
                <w:b/>
              </w:rPr>
              <w:t>Registro</w:t>
            </w:r>
          </w:p>
        </w:tc>
      </w:tr>
      <w:tr>
        <w:tc>
          <w:tcPr>
            <w:tcW w:type="dxa" w:w="4932"/>
            <w:vAlign w:val="top"/>
          </w:tcPr>
          <w:p>
            <w:r>
              <w:t>Objetivo principal</w:t>
            </w:r>
          </w:p>
        </w:tc>
        <w:tc>
          <w:tcPr>
            <w:tcW w:type="dxa" w:w="4932"/>
            <w:vAlign w:val="top"/>
          </w:tcPr>
          <w:p>
            <w:r>
              <w:t>____________________________________________</w:t>
            </w:r>
          </w:p>
        </w:tc>
      </w:tr>
      <w:tr>
        <w:tc>
          <w:tcPr>
            <w:tcW w:type="dxa" w:w="4932"/>
            <w:vAlign w:val="top"/>
          </w:tcPr>
          <w:p>
            <w:r>
              <w:t>Objetivo alternativo</w:t>
            </w:r>
          </w:p>
        </w:tc>
        <w:tc>
          <w:tcPr>
            <w:tcW w:type="dxa" w:w="4932"/>
            <w:vAlign w:val="top"/>
          </w:tcPr>
          <w:p>
            <w:r>
              <w:t>____________________________________________</w:t>
            </w:r>
          </w:p>
        </w:tc>
      </w:tr>
      <w:tr>
        <w:tc>
          <w:tcPr>
            <w:tcW w:type="dxa" w:w="4932"/>
            <w:vAlign w:val="top"/>
          </w:tcPr>
          <w:p>
            <w:r>
              <w:t>Hecho decisivo 1</w:t>
            </w:r>
          </w:p>
        </w:tc>
        <w:tc>
          <w:tcPr>
            <w:tcW w:type="dxa" w:w="4932"/>
            <w:vAlign w:val="top"/>
          </w:tcPr>
          <w:p>
            <w:r>
              <w:t>____________________________________________</w:t>
            </w:r>
          </w:p>
        </w:tc>
      </w:tr>
      <w:tr>
        <w:tc>
          <w:tcPr>
            <w:tcW w:type="dxa" w:w="4932"/>
            <w:vAlign w:val="top"/>
          </w:tcPr>
          <w:p>
            <w:r>
              <w:t>Hecho decisivo 2</w:t>
            </w:r>
          </w:p>
        </w:tc>
        <w:tc>
          <w:tcPr>
            <w:tcW w:type="dxa" w:w="4932"/>
            <w:vAlign w:val="top"/>
          </w:tcPr>
          <w:p>
            <w:r>
              <w:t>____________________________________________</w:t>
            </w:r>
          </w:p>
        </w:tc>
      </w:tr>
      <w:tr>
        <w:tc>
          <w:tcPr>
            <w:tcW w:type="dxa" w:w="4932"/>
            <w:vAlign w:val="top"/>
          </w:tcPr>
          <w:p>
            <w:r>
              <w:t>Prueba crítica</w:t>
            </w:r>
          </w:p>
        </w:tc>
        <w:tc>
          <w:tcPr>
            <w:tcW w:type="dxa" w:w="4932"/>
            <w:vAlign w:val="top"/>
          </w:tcPr>
          <w:p>
            <w:r>
              <w:t>____________________________________________</w:t>
            </w:r>
          </w:p>
        </w:tc>
      </w:tr>
      <w:tr>
        <w:tc>
          <w:tcPr>
            <w:tcW w:type="dxa" w:w="4932"/>
            <w:vAlign w:val="top"/>
          </w:tcPr>
          <w:p>
            <w:r>
              <w:t>Debilidad propia</w:t>
            </w:r>
          </w:p>
        </w:tc>
        <w:tc>
          <w:tcPr>
            <w:tcW w:type="dxa" w:w="4932"/>
            <w:vAlign w:val="top"/>
          </w:tcPr>
          <w:p>
            <w:r>
              <w:t>____________________________________________</w:t>
            </w:r>
          </w:p>
        </w:tc>
      </w:tr>
      <w:tr>
        <w:tc>
          <w:tcPr>
            <w:tcW w:type="dxa" w:w="4932"/>
            <w:vAlign w:val="top"/>
          </w:tcPr>
          <w:p>
            <w:r>
              <w:t>Debilidad de contraparte</w:t>
            </w:r>
          </w:p>
        </w:tc>
        <w:tc>
          <w:tcPr>
            <w:tcW w:type="dxa" w:w="4932"/>
            <w:vAlign w:val="top"/>
          </w:tcPr>
          <w:p>
            <w:r>
              <w:t>____________________________________________</w:t>
            </w:r>
          </w:p>
        </w:tc>
      </w:tr>
      <w:tr>
        <w:tc>
          <w:tcPr>
            <w:tcW w:type="dxa" w:w="4932"/>
            <w:vAlign w:val="top"/>
          </w:tcPr>
          <w:p>
            <w:r>
              <w:t>Medida urgente</w:t>
            </w:r>
          </w:p>
        </w:tc>
        <w:tc>
          <w:tcPr>
            <w:tcW w:type="dxa" w:w="4932"/>
            <w:vAlign w:val="top"/>
          </w:tcPr>
          <w:p>
            <w:r>
              <w:t>____________________________________________</w:t>
            </w:r>
          </w:p>
        </w:tc>
      </w:tr>
      <w:tr>
        <w:tc>
          <w:tcPr>
            <w:tcW w:type="dxa" w:w="4932"/>
            <w:vAlign w:val="top"/>
          </w:tcPr>
          <w:p>
            <w:r>
              <w:t>Escenario de negociación</w:t>
            </w:r>
          </w:p>
        </w:tc>
        <w:tc>
          <w:tcPr>
            <w:tcW w:type="dxa" w:w="4932"/>
            <w:vAlign w:val="top"/>
          </w:tcPr>
          <w:p>
            <w:r>
              <w:t>____________________________________________</w:t>
            </w:r>
          </w:p>
        </w:tc>
      </w:tr>
      <w:tr>
        <w:tc>
          <w:tcPr>
            <w:tcW w:type="dxa" w:w="4932"/>
            <w:vAlign w:val="top"/>
          </w:tcPr>
          <w:p>
            <w:r>
              <w:t>Plan ante resolución desfavorable</w:t>
            </w:r>
          </w:p>
        </w:tc>
        <w:tc>
          <w:tcPr>
            <w:tcW w:type="dxa" w:w="4932"/>
            <w:vAlign w:val="top"/>
          </w:tcPr>
          <w:p>
            <w:r>
              <w:t>____________________________________________</w:t>
            </w:r>
          </w:p>
        </w:tc>
      </w:tr>
      <w:tr>
        <w:tc>
          <w:tcPr>
            <w:tcW w:type="dxa" w:w="4932"/>
            <w:vAlign w:val="top"/>
          </w:tcPr>
          <w:p>
            <w:r>
              <w:t>Plan de ejecución</w:t>
            </w:r>
          </w:p>
        </w:tc>
        <w:tc>
          <w:tcPr>
            <w:tcW w:type="dxa" w:w="4932"/>
            <w:vAlign w:val="top"/>
          </w:tcPr>
          <w:p>
            <w:r>
              <w:t>____________________________________________</w:t>
            </w:r>
          </w:p>
        </w:tc>
      </w:tr>
    </w:tbl>
    <w:p>
      <w:r>
        <w:rPr>
          <w:b/>
          <w:sz w:val="26"/>
        </w:rPr>
        <w:t>11. Ejemplos de casos de entrenamiento</w:t>
      </w:r>
    </w:p>
    <w:p>
      <w:r>
        <w:rPr>
          <w:b/>
        </w:rPr>
        <w:t>Multa administrativa</w:t>
      </w:r>
    </w:p>
    <w:p>
      <w:r>
        <w:t>Una empresa recibe una sanción. Se revisan competencia, procedimiento de inspección, tipicidad, motivación, notificación y plazo antes de elegir la vía.</w:t>
      </w:r>
    </w:p>
    <w:p>
      <w:r>
        <w:t>Ejercicio: identifica cliente, pretensión, competencia, vía, plazo, tres hechos decisivos, cinco documentos y la primera actuación que debe realizar el abogado.</w:t>
      </w:r>
    </w:p>
    <w:p>
      <w:r>
        <w:rPr>
          <w:b/>
        </w:rPr>
        <w:t>Crédito fiscal y PAE</w:t>
      </w:r>
    </w:p>
    <w:p>
      <w:r>
        <w:t>El contribuyente recibe un acto de ejecución. Se integra expediente de notificación, crédito, garantía, embargo y actuaciones del PAE para definir la defensa procedente.</w:t>
      </w:r>
    </w:p>
    <w:p>
      <w:r>
        <w:t>Ejercicio: identifica cliente, pretensión, competencia, vía, plazo, tres hechos decisivos, cinco documentos y la primera actuación que debe realizar el abogado.</w:t>
      </w:r>
    </w:p>
    <w:p>
      <w:r>
        <w:rPr>
          <w:b/>
        </w:rPr>
        <w:t>Responsabilidad de servidor público</w:t>
      </w:r>
    </w:p>
    <w:p>
      <w:r>
        <w:t>Se inicia investigación. Se separan hechos, evidencia, autoridad competente, clasificación de la falta y etapa procesal antes de diseñar la defensa.</w:t>
      </w:r>
    </w:p>
    <w:p>
      <w:r>
        <w:t>Ejercicio: identifica cliente, pretensión, competencia, vía, plazo, tres hechos decisivos, cinco documentos y la primera actuación que debe realizar el abogado.</w:t>
      </w:r>
    </w:p>
    <w:p>
      <w:r>
        <w:rPr>
          <w:b/>
          <w:sz w:val="26"/>
        </w:rPr>
        <w:t>12. Control del expediente en SIGDE</w:t>
      </w:r>
    </w:p>
    <w:p>
      <w:r>
        <w:rPr>
          <w:b/>
        </w:rPr>
        <w:t xml:space="preserve">• </w:t>
      </w:r>
      <w:r>
        <w:t>Registrar el asunto y su materia jurídica.</w:t>
      </w:r>
    </w:p>
    <w:p>
      <w:r>
        <w:rPr>
          <w:b/>
        </w:rPr>
        <w:t xml:space="preserve">• </w:t>
      </w:r>
      <w:r>
        <w:t>Capturar la entrevista y el diagnóstico.</w:t>
      </w:r>
    </w:p>
    <w:p>
      <w:r>
        <w:rPr>
          <w:b/>
        </w:rPr>
        <w:t xml:space="preserve">• </w:t>
      </w:r>
      <w:r>
        <w:t>Subir documentos con descripción y tipo.</w:t>
      </w:r>
    </w:p>
    <w:p>
      <w:r>
        <w:rPr>
          <w:b/>
        </w:rPr>
        <w:t xml:space="preserve">• </w:t>
      </w:r>
      <w:r>
        <w:t>Registrar cada actuación con fecha y resultado.</w:t>
      </w:r>
    </w:p>
    <w:p>
      <w:r>
        <w:rPr>
          <w:b/>
        </w:rPr>
        <w:t xml:space="preserve">• </w:t>
      </w:r>
      <w:r>
        <w:t>Crear términos procesales desde la primera actuación.</w:t>
      </w:r>
    </w:p>
    <w:p>
      <w:r>
        <w:rPr>
          <w:b/>
        </w:rPr>
        <w:t xml:space="preserve">• </w:t>
      </w:r>
      <w:r>
        <w:t>Relacionar la estrategia con el asunto.</w:t>
      </w:r>
    </w:p>
    <w:p>
      <w:r>
        <w:rPr>
          <w:b/>
        </w:rPr>
        <w:t xml:space="preserve">• </w:t>
      </w:r>
      <w:r>
        <w:t>Mantener la bitácora de comunicaciones relevantes.</w:t>
      </w:r>
    </w:p>
    <w:p>
      <w:r>
        <w:rPr>
          <w:b/>
        </w:rPr>
        <w:t xml:space="preserve">• </w:t>
      </w:r>
      <w:r>
        <w:t>Cerrar cada etapa con una nota de resultado y siguiente acción.</w:t>
      </w:r>
    </w:p>
    <w:p>
      <w:r>
        <w:rPr>
          <w:b/>
          <w:sz w:val="26"/>
        </w:rPr>
        <w:t>13. Nota profesional de actualización</w:t>
      </w:r>
    </w:p>
    <w:p>
      <w:r>
        <w:t>Los manuales principales aportan la normativa y práctica específica de cada materia. Este módulo complementario agrega una metodología uniforme de trabajo forense para que el abogado pueda pasar de la entrevista al diagnóstico, de éste a la estrategia y de la estrategia a la actuación procesal. Antes de presentar cualquier promoción deben verificarse la legislación vigente, transitorios, competencia, criterios obligatorios y reglas del órgano jurisdiccional o autoridad competente.</w:t>
      </w:r>
    </w:p>
    <w:sectPr w:rsidR="00306296">
      <w:headerReference w:type="default" r:id="rId7"/>
      <w:footerReference w:type="default" r:id="rId8"/>
      <w:pgSz w:w="12240" w:h="15840"/>
      <w:pgMar w:top="1296" w:right="1152" w:bottom="1224"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26861" w14:textId="77777777" w:rsidR="00980A5B" w:rsidRDefault="00980A5B">
      <w:r>
        <w:separator/>
      </w:r>
    </w:p>
  </w:endnote>
  <w:endnote w:type="continuationSeparator" w:id="0">
    <w:p w14:paraId="1F75F39E" w14:textId="77777777" w:rsidR="00980A5B" w:rsidRDefault="00980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rPr>
        <w:rFonts w:ascii="Garamond" w:hAnsi="Garamond"/>
        <w:color w:val="5B6573"/>
        <w:sz w:val="16"/>
      </w:rPr>
      <w:t xml:space="preserve">Página </w:t>
    </w:r>
    <w:fldSimple w:instr="PAGE"/>
    <w:r>
      <w:rPr>
        <w:color w:val="5B6573"/>
        <w:sz w:val="16"/>
      </w:rPr>
      <w:t xml:space="preserve"> de </w:t>
    </w:r>
    <w:fldSimple w:instr="NUMPAGES"/>
    <w:r>
      <w:rPr>
        <w:i/>
      </w:rPr>
      <w:t>SIGDE · Guía complementaria de práctica forense · Edición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9965F" w14:textId="77777777" w:rsidR="00980A5B" w:rsidRDefault="00980A5B">
      <w:r>
        <w:separator/>
      </w:r>
    </w:p>
  </w:footnote>
  <w:footnote w:type="continuationSeparator" w:id="0">
    <w:p w14:paraId="2F3256B6" w14:textId="77777777" w:rsidR="00980A5B" w:rsidRDefault="00980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Bdr>
        <w:bottom w:val="single" w:sz="8" w:space="1" w:color="2E5B9E"/>
      </w:pBdr>
    </w:pPr>
    <w:r>
      <w:rPr>
        <w:sz w:val="16"/>
      </w:rPr>
      <w:t>MANUAL DE LITIGACIÓN — DERECHO ADMINISTRATIVO, FISCAL Y RESPONSABILIDADES | EDICIÓN AMPLIADA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9728A"/>
    <w:multiLevelType w:val="hybridMultilevel"/>
    <w:tmpl w:val="CF082660"/>
    <w:lvl w:ilvl="0" w:tplc="BAB06B4A">
      <w:start w:val="1"/>
      <w:numFmt w:val="bullet"/>
      <w:lvlText w:val="•"/>
      <w:lvlJc w:val="left"/>
      <w:pPr>
        <w:ind w:left="440" w:hanging="220"/>
      </w:pPr>
      <w:rPr>
        <w:rFonts w:ascii="Calibri" w:eastAsia="Calibri" w:hAnsi="Calibri" w:cs="Calibri"/>
        <w:sz w:val="22"/>
        <w:szCs w:val="22"/>
      </w:rPr>
    </w:lvl>
    <w:lvl w:ilvl="1" w:tplc="73BA0D1A">
      <w:start w:val="1"/>
      <w:numFmt w:val="bullet"/>
      <w:lvlText w:val="◦"/>
      <w:lvlJc w:val="left"/>
      <w:pPr>
        <w:ind w:left="800" w:hanging="220"/>
      </w:pPr>
      <w:rPr>
        <w:rFonts w:ascii="Calibri" w:eastAsia="Calibri" w:hAnsi="Calibri" w:cs="Calibri"/>
        <w:sz w:val="22"/>
        <w:szCs w:val="22"/>
      </w:rPr>
    </w:lvl>
    <w:lvl w:ilvl="2" w:tplc="EE1E91FE">
      <w:numFmt w:val="decimal"/>
      <w:lvlText w:val=""/>
      <w:lvlJc w:val="left"/>
    </w:lvl>
    <w:lvl w:ilvl="3" w:tplc="658C1B62">
      <w:numFmt w:val="decimal"/>
      <w:lvlText w:val=""/>
      <w:lvlJc w:val="left"/>
    </w:lvl>
    <w:lvl w:ilvl="4" w:tplc="E4B0BDDE">
      <w:numFmt w:val="decimal"/>
      <w:lvlText w:val=""/>
      <w:lvlJc w:val="left"/>
    </w:lvl>
    <w:lvl w:ilvl="5" w:tplc="9036CD24">
      <w:numFmt w:val="decimal"/>
      <w:lvlText w:val=""/>
      <w:lvlJc w:val="left"/>
    </w:lvl>
    <w:lvl w:ilvl="6" w:tplc="64F6BE14">
      <w:numFmt w:val="decimal"/>
      <w:lvlText w:val=""/>
      <w:lvlJc w:val="left"/>
    </w:lvl>
    <w:lvl w:ilvl="7" w:tplc="9182B7C6">
      <w:numFmt w:val="decimal"/>
      <w:lvlText w:val=""/>
      <w:lvlJc w:val="left"/>
    </w:lvl>
    <w:lvl w:ilvl="8" w:tplc="9896339A">
      <w:numFmt w:val="decimal"/>
      <w:lvlText w:val=""/>
      <w:lvlJc w:val="left"/>
    </w:lvl>
  </w:abstractNum>
  <w:abstractNum w:abstractNumId="1" w15:restartNumberingAfterBreak="0">
    <w:nsid w:val="17A4172F"/>
    <w:multiLevelType w:val="hybridMultilevel"/>
    <w:tmpl w:val="244CFBD0"/>
    <w:lvl w:ilvl="0" w:tplc="014E6454">
      <w:start w:val="1"/>
      <w:numFmt w:val="bullet"/>
      <w:lvlText w:val="●"/>
      <w:lvlJc w:val="left"/>
      <w:pPr>
        <w:ind w:left="720" w:hanging="360"/>
      </w:pPr>
    </w:lvl>
    <w:lvl w:ilvl="1" w:tplc="5810C7B6">
      <w:start w:val="1"/>
      <w:numFmt w:val="bullet"/>
      <w:lvlText w:val="○"/>
      <w:lvlJc w:val="left"/>
      <w:pPr>
        <w:ind w:left="1440" w:hanging="360"/>
      </w:pPr>
    </w:lvl>
    <w:lvl w:ilvl="2" w:tplc="38AA3016">
      <w:start w:val="1"/>
      <w:numFmt w:val="bullet"/>
      <w:lvlText w:val="■"/>
      <w:lvlJc w:val="left"/>
      <w:pPr>
        <w:ind w:left="2160" w:hanging="360"/>
      </w:pPr>
    </w:lvl>
    <w:lvl w:ilvl="3" w:tplc="291EDB36">
      <w:start w:val="1"/>
      <w:numFmt w:val="bullet"/>
      <w:lvlText w:val="●"/>
      <w:lvlJc w:val="left"/>
      <w:pPr>
        <w:ind w:left="2880" w:hanging="360"/>
      </w:pPr>
    </w:lvl>
    <w:lvl w:ilvl="4" w:tplc="5FF6EEE2">
      <w:start w:val="1"/>
      <w:numFmt w:val="bullet"/>
      <w:lvlText w:val="○"/>
      <w:lvlJc w:val="left"/>
      <w:pPr>
        <w:ind w:left="3600" w:hanging="360"/>
      </w:pPr>
    </w:lvl>
    <w:lvl w:ilvl="5" w:tplc="E0CCA118">
      <w:start w:val="1"/>
      <w:numFmt w:val="bullet"/>
      <w:lvlText w:val="■"/>
      <w:lvlJc w:val="left"/>
      <w:pPr>
        <w:ind w:left="4320" w:hanging="360"/>
      </w:pPr>
    </w:lvl>
    <w:lvl w:ilvl="6" w:tplc="C590ABE0">
      <w:start w:val="1"/>
      <w:numFmt w:val="bullet"/>
      <w:lvlText w:val="●"/>
      <w:lvlJc w:val="left"/>
      <w:pPr>
        <w:ind w:left="5040" w:hanging="360"/>
      </w:pPr>
    </w:lvl>
    <w:lvl w:ilvl="7" w:tplc="62966AD4">
      <w:start w:val="1"/>
      <w:numFmt w:val="bullet"/>
      <w:lvlText w:val="●"/>
      <w:lvlJc w:val="left"/>
      <w:pPr>
        <w:ind w:left="5760" w:hanging="360"/>
      </w:pPr>
    </w:lvl>
    <w:lvl w:ilvl="8" w:tplc="A1A47D1C">
      <w:start w:val="1"/>
      <w:numFmt w:val="bullet"/>
      <w:lvlText w:val="●"/>
      <w:lvlJc w:val="left"/>
      <w:pPr>
        <w:ind w:left="6480" w:hanging="360"/>
      </w:pPr>
    </w:lvl>
  </w:abstractNum>
  <w:num w:numId="1" w16cid:durableId="1995721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296"/>
    <w:rsid w:val="00184411"/>
    <w:rsid w:val="00306296"/>
    <w:rsid w:val="0088682F"/>
    <w:rsid w:val="00980A5B"/>
    <w:rsid w:val="00EC72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B43B"/>
  <w15:docId w15:val="{8653A3D8-FFAC-42EF-AC7D-2E1F6242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Aptos" w:hAnsi="Aptos" w:eastAsia="Garamond"/>
      <w:color w:val="222222"/>
      <w:sz w:val="20"/>
    </w:rPr>
  </w:style>
  <w:style w:type="paragraph" w:styleId="Ttulo1">
    <w:name w:val="heading 1"/>
    <w:uiPriority w:val="9"/>
    <w:qFormat/>
    <w:pPr>
      <w:spacing w:before="160" w:after="160"/>
      <w:outlineLvl w:val="0"/>
    </w:pPr>
    <w:rPr>
      <w:rFonts w:ascii="Garamond" w:hAnsi="Garamond" w:eastAsia="Garamond"/>
      <w:b/>
      <w:bCs/>
      <w:color w:val="1A2B4A"/>
      <w:sz w:val="36"/>
      <w:szCs w:val="36"/>
    </w:rPr>
  </w:style>
  <w:style w:type="paragraph" w:styleId="Ttulo2">
    <w:name w:val="heading 2"/>
    <w:uiPriority w:val="9"/>
    <w:unhideWhenUsed/>
    <w:qFormat/>
    <w:pPr>
      <w:spacing w:before="160" w:after="120"/>
      <w:outlineLvl w:val="1"/>
    </w:pPr>
    <w:rPr>
      <w:rFonts w:ascii="Garamond" w:hAnsi="Garamond" w:eastAsia="Garamond"/>
      <w:b/>
      <w:bCs/>
      <w:color w:val="2E5B9E"/>
      <w:sz w:val="28"/>
      <w:szCs w:val="28"/>
    </w:rPr>
  </w:style>
  <w:style w:type="paragraph" w:styleId="Ttulo3">
    <w:name w:val="heading 3"/>
    <w:uiPriority w:val="9"/>
    <w:unhideWhenUsed/>
    <w:qFormat/>
    <w:pPr>
      <w:spacing w:before="160" w:after="80"/>
      <w:outlineLvl w:val="2"/>
    </w:pPr>
    <w:rPr>
      <w:rFonts w:ascii="Garamond" w:hAnsi="Garamond" w:eastAsia="Garamond"/>
      <w:b/>
      <w:bCs/>
      <w:color w:val="1A2B4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mallText">
    <w:name w:val="Small Text"/>
    <w:pPr>
      <w:spacing w:after="60"/>
    </w:pPr>
    <w:rPr>
      <w:rFonts w:ascii="Garamond" w:hAnsi="Garamond"/>
      <w:color w:val="5B6573"/>
      <w:sz w:val="17"/>
    </w:rPr>
  </w:style>
  <w:style w:type="paragraph" w:customStyle="1" w:styleId="Callout">
    <w:name w:val="Callout"/>
    <w:pPr>
      <w:spacing w:after="40"/>
      <w:ind w:left="115" w:right="115"/>
    </w:pPr>
    <w:rPr>
      <w:rFonts w:ascii="Garamond" w:hAnsi="Garamond"/>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7207</Words>
  <Characters>39639</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Sánchez Flores</dc:creator>
  <cp:lastModifiedBy>JORGE SANCHEZ FLORES</cp:lastModifiedBy>
  <cp:revision>3</cp:revision>
  <dcterms:created xsi:type="dcterms:W3CDTF">2026-07-15T02:30:00Z</dcterms:created>
  <dcterms:modified xsi:type="dcterms:W3CDTF">2026-07-15T04:33:00Z</dcterms:modified>
  <dc:title>Manual de Litigación en Derecho Administrativo, Fiscal y Responsabilidades de Servidores Públicos — México</dc:title>
  <dc:subject>Manual práctico de litigación administrativa y fiscal actualizado a 2026</dc:subject>
  <dc:description>Desarrollado con base en guía de estudio de práctica forense administrativa y fiscal y legislación vigente consultada en 2026.</dc:description>
</cp:coreProperties>
</file>