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0"/>
        <w:jc w:val="center"/>
      </w:pPr>
      <w:r>
        <w:rPr>
          <w:rFonts w:ascii="Calibri" w:cs="Calibri" w:eastAsia="Calibri" w:hAnsi="Calibri"/>
          <w:b/>
          <w:bCs/>
          <w:color w:val="2E5B9E"/>
          <w:sz w:val="28"/>
          <w:szCs w:val="28"/>
        </w:rPr>
        <w:t xml:space="preserve">MANUAL DE LITIGACIÓN EN</w:t>
      </w:r>
    </w:p>
    <w:p>
      <w:pPr>
        <w:pBdr>
          <w:bottom w:val="single" w:color="C8962A" w:sz="20" w:space="6"/>
        </w:pBdr>
        <w:spacing w:after="60" w:before="0"/>
        <w:jc w:val="center"/>
      </w:pPr>
      <w:r>
        <w:rPr>
          <w:rFonts w:ascii="Calibri" w:cs="Calibri" w:eastAsia="Calibri" w:hAnsi="Calibri"/>
          <w:b/>
          <w:bCs/>
          <w:color w:val="1A2B4A"/>
          <w:sz w:val="56"/>
          <w:szCs w:val="56"/>
        </w:rPr>
        <w:t xml:space="preserve">DERECHO CIVIL PATRIMONIAL</w:t>
      </w:r>
    </w:p>
    <w:p>
      <w:pPr>
        <w:spacing w:after="40" w:before="80"/>
        <w:jc w:val="center"/>
      </w:pPr>
      <w:r>
        <w:rPr>
          <w:rFonts w:ascii="Calibri" w:cs="Calibri" w:eastAsia="Calibri" w:hAnsi="Calibri"/>
          <w:color w:val="2E5B9E"/>
          <w:sz w:val="24"/>
          <w:szCs w:val="24"/>
        </w:rPr>
        <w:t xml:space="preserve">Jalisco · Códigos Civil y de Procedimientos Civiles Vigentes</w:t>
      </w:r>
    </w:p>
    <w:p>
      <w:pPr>
        <w:spacing w:after="240" w:before="0"/>
      </w:pPr>
    </w:p>
    <w:p>
      <w:pPr>
        <w:spacing w:after="40" w:before="0"/>
        <w:jc w:val="center"/>
      </w:pPr>
      <w:r>
        <w:rPr>
          <w:rFonts w:ascii="Calibri" w:cs="Calibri" w:eastAsia="Calibri" w:hAnsi="Calibri"/>
          <w:i/>
          <w:iCs/>
          <w:color w:val="555555"/>
          <w:sz w:val="21"/>
          <w:szCs w:val="21"/>
        </w:rPr>
        <w:t xml:space="preserve">Contratos · Obligaciones · Responsabilidad Civil · Prescripción · Acciones Reales y Personales</w:t>
      </w:r>
    </w:p>
    <w:p>
      <w:pPr>
        <w:spacing w:after="800" w:before="0"/>
      </w:pPr>
    </w:p>
    <w:p>
      <w:pPr>
        <w:spacing w:after="40" w:before="0"/>
        <w:jc w:val="center"/>
      </w:pPr>
      <w:r>
        <w:rPr>
          <w:rFonts w:ascii="Calibri" w:cs="Calibri" w:eastAsia="Calibri" w:hAnsi="Calibri"/>
          <w:color w:val="666666"/>
          <w:sz w:val="22"/>
          <w:szCs w:val="22"/>
        </w:rPr>
        <w:t xml:space="preserve">Para litigantes y asesores en práctica profesional inicial</w:t>
      </w:r>
    </w:p>
    <w:p>
      <w:pPr>
        <w:spacing w:after="40" w:before="0"/>
        <w:jc w:val="center"/>
      </w:pPr>
      <w:r>
        <w:rPr>
          <w:rFonts w:ascii="Calibri" w:cs="Calibri" w:eastAsia="Calibri" w:hAnsi="Calibri"/>
          <w:i/>
          <w:iCs/>
          <w:color w:val="666666"/>
          <w:sz w:val="22"/>
          <w:szCs w:val="22"/>
        </w:rPr>
        <w:t xml:space="preserve">Con más de 20 años de experiencia en el foro civil jalisciense</w:t>
      </w:r>
    </w:p>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NOTA METODOLÓGICA</w:t>
      </w:r>
    </w:p>
    <w:p>
      <w:pPr>
        <w:spacing w:after="100" w:before="40"/>
        <w:ind/>
        <w:jc w:val="both"/>
      </w:pPr>
      <w:r>
        <w:rPr>
          <w:rFonts w:ascii="Calibri" w:cs="Calibri" w:eastAsia="Calibri" w:hAnsi="Calibri"/>
          <w:b w:val="false"/>
          <w:bCs w:val="false"/>
          <w:i w:val="false"/>
          <w:iCs w:val="false"/>
          <w:color w:val="222222"/>
          <w:sz w:val="22"/>
          <w:szCs w:val="22"/>
        </w:rPr>
        <w:t xml:space="preserve">Este manual está diseñado para el abogado que inicia o consolida su práctica en materia civil patrimonial en el Estado de Jalisco. El derecho civil es el tronco del árbol jurídico: sus categorías —contrato, obligación, responsabilidad, prescripción, nulidad— permean todas las demás materias. Dominarlas no es opcional; es el piso mínimo de cualquier litigante.</w:t>
      </w:r>
    </w:p>
    <w:p>
      <w:pPr>
        <w:spacing w:after="100" w:before="40"/>
        <w:ind/>
        <w:jc w:val="both"/>
      </w:pPr>
      <w:r>
        <w:rPr>
          <w:rFonts w:ascii="Calibri" w:cs="Calibri" w:eastAsia="Calibri" w:hAnsi="Calibri"/>
          <w:b w:val="false"/>
          <w:bCs w:val="false"/>
          <w:i w:val="false"/>
          <w:iCs w:val="false"/>
          <w:color w:val="222222"/>
          <w:sz w:val="22"/>
          <w:szCs w:val="22"/>
        </w:rPr>
        <w:t xml:space="preserve">El marco normativo de este manual es el Código Civil del Estado de Jalisco (CCEJ), estructurado en seis Libros, y el Código de Procedimientos Civiles del Estado de Jalisco (CPCEJ). Excluimos expresamente la materia familiar y la sucesoria, que se tratan en manuales independientes de esta misma serie.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none"/>
              <w:left w:val="single" w:color="2E5B9E" w:sz="24"/>
              <w:bottom w:val="none"/>
              <w:right w:val="none"/>
            </w:tcBorders>
            <w:shd w:fill="F2F4F7"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Cuando marque 🔄 ADAPTAR, es porque el punto difiere notablemente del régimen de CDMX u otros estados. Cuando el CCEJ tiene una redacción propia que no es idéntica al CCDF 1928 o al código federal, lo señalo expresamente.</w:t>
            </w:r>
          </w:p>
        </w:tc>
      </w:tr>
    </w:tbl>
    <w:p>
      <w:pPr>
        <w:spacing w:after="120" w:before="0"/>
      </w:pPr>
    </w:p>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1. FUNDAMENTOS DEL DERECHO CIVIL PATRIMONIAL</w:t>
      </w:r>
    </w:p>
    <w:p>
      <w:pPr>
        <w:pStyle w:val="Heading2"/>
        <w:spacing w:after="120" w:before="340"/>
      </w:pPr>
      <w:r>
        <w:rPr>
          <w:rFonts w:ascii="Calibri" w:cs="Calibri" w:eastAsia="Calibri" w:hAnsi="Calibri"/>
          <w:b/>
          <w:bCs/>
          <w:color w:val="2E5B9E"/>
          <w:sz w:val="28"/>
          <w:szCs w:val="28"/>
        </w:rPr>
        <w:t xml:space="preserve">1.1 Las fuentes de las obligaciones civiles</w:t>
      </w:r>
    </w:p>
    <w:p>
      <w:pPr>
        <w:spacing w:after="100" w:before="40"/>
        <w:ind/>
        <w:jc w:val="both"/>
      </w:pPr>
      <w:r>
        <w:rPr>
          <w:rFonts w:ascii="Calibri" w:cs="Calibri" w:eastAsia="Calibri" w:hAnsi="Calibri"/>
          <w:b w:val="false"/>
          <w:bCs w:val="false"/>
          <w:i w:val="false"/>
          <w:iCs w:val="false"/>
          <w:color w:val="222222"/>
          <w:sz w:val="22"/>
          <w:szCs w:val="22"/>
        </w:rPr>
        <w:t xml:space="preserve">El artículo 1260 del CCEJ establece con claridad el catálogo completo de fuentes de las obligaciones civiles en Jalisco:</w:t>
      </w:r>
    </w:p>
    <w:p>
      <w:pPr>
        <w:pBdr>
          <w:left w:val="single" w:color="C8962A" w:sz="16"/>
        </w:pBdr>
        <w:spacing w:after="100" w:before="60"/>
        <w:ind w:left="720" w:right="720"/>
      </w:pPr>
      <w:r>
        <w:rPr>
          <w:rFonts w:ascii="Calibri" w:cs="Calibri" w:eastAsia="Calibri" w:hAnsi="Calibri"/>
          <w:i/>
          <w:iCs/>
          <w:color w:val="444444"/>
          <w:sz w:val="21"/>
          <w:szCs w:val="21"/>
        </w:rPr>
        <w:t xml:space="preserve">"Las obligaciones civiles nacen de la voluntad de las partes, de disposiciones expresas de la ley o como consecuencia de delitos, de faltas, o de hechos u omisiones ejecutadas con perjuicio ajeno, que ameriten una indemnización." (Art. 1260 CCEJ)</w:t>
      </w:r>
    </w:p>
    <w:p>
      <w:pPr>
        <w:spacing w:after="100" w:before="40"/>
        <w:ind/>
        <w:jc w:val="both"/>
      </w:pPr>
      <w:r>
        <w:rPr>
          <w:rFonts w:ascii="Calibri" w:cs="Calibri" w:eastAsia="Calibri" w:hAnsi="Calibri"/>
          <w:b w:val="false"/>
          <w:bCs w:val="false"/>
          <w:i w:val="false"/>
          <w:iCs w:val="false"/>
          <w:color w:val="222222"/>
          <w:sz w:val="22"/>
          <w:szCs w:val="22"/>
        </w:rPr>
        <w:t xml:space="preserve">Esto significa que en Jalisco existen cuatro grandes fuentes de obligaciones: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La voluntad de las partes (contratos y declaraciones unilaterales de voluntad).</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La ley directamente (obligaciones legales: alimentos, medianería, etc.).</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delito (responsabilidad civil derivada del ilícito penal).</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Los hechos ilícitos civiles, es decir, la responsabilidad extracontractual o aquiliana (art. 1385 ss. CCEJ).</w:t>
      </w:r>
    </w:p>
    <w:p>
      <w:pPr>
        <w:spacing w:after="100" w:before="40"/>
        <w:ind/>
        <w:jc w:val="both"/>
      </w:pPr>
      <w:r>
        <w:rPr>
          <w:rFonts w:ascii="Calibri" w:cs="Calibri" w:eastAsia="Calibri" w:hAnsi="Calibri"/>
          <w:b w:val="false"/>
          <w:bCs w:val="false"/>
          <w:i w:val="false"/>
          <w:iCs w:val="false"/>
          <w:color w:val="222222"/>
          <w:sz w:val="22"/>
          <w:szCs w:val="22"/>
        </w:rPr>
        <w:t xml:space="preserve">El art. 1259 CCEJ añade una regla procesal fundamental que debes grabar en tu memoria: "Las obligaciones no se presumen: quien afirme su existencia deberá referirse al título que las origine." Esto te dice que la carga de la prueba recae siempre en quien afirma la existencia de una obligación.</w:t>
      </w:r>
    </w:p>
    <w:p>
      <w:pPr>
        <w:pStyle w:val="Heading2"/>
        <w:spacing w:after="120" w:before="340"/>
      </w:pPr>
      <w:r>
        <w:rPr>
          <w:rFonts w:ascii="Calibri" w:cs="Calibri" w:eastAsia="Calibri" w:hAnsi="Calibri"/>
          <w:b/>
          <w:bCs/>
          <w:color w:val="2E5B9E"/>
          <w:sz w:val="28"/>
          <w:szCs w:val="28"/>
        </w:rPr>
        <w:t xml:space="preserve">1.2 El acto jurídico y el contrato — distinción esencial</w:t>
      </w:r>
    </w:p>
    <w:p>
      <w:pPr>
        <w:spacing w:after="100" w:before="40"/>
        <w:ind/>
        <w:jc w:val="both"/>
      </w:pPr>
      <w:r>
        <w:rPr>
          <w:rFonts w:ascii="Calibri" w:cs="Calibri" w:eastAsia="Calibri" w:hAnsi="Calibri"/>
          <w:b w:val="false"/>
          <w:bCs w:val="false"/>
          <w:i w:val="false"/>
          <w:iCs w:val="false"/>
          <w:color w:val="222222"/>
          <w:sz w:val="22"/>
          <w:szCs w:val="22"/>
        </w:rPr>
        <w:t xml:space="preserve">El CCEJ en su Libro Cuarto regula el acto jurídico como la categoría genérica y el contrato como su especie más importante. El contrato es el acuerdo de voluntades que crea, modifica, transmite o extingue obligaciones y derechos.</w:t>
      </w:r>
    </w:p>
    <w:p>
      <w:pPr>
        <w:spacing w:after="100" w:before="40"/>
        <w:ind/>
        <w:jc w:val="both"/>
      </w:pPr>
      <w:r>
        <w:rPr>
          <w:rFonts w:ascii="Calibri" w:cs="Calibri" w:eastAsia="Calibri" w:hAnsi="Calibri"/>
          <w:b w:val="false"/>
          <w:bCs w:val="false"/>
          <w:i w:val="false"/>
          <w:iCs w:val="false"/>
          <w:color w:val="222222"/>
          <w:sz w:val="22"/>
          <w:szCs w:val="22"/>
        </w:rPr>
        <w:t xml:space="preserve">Para la validez de un contrato (art. 1264 CCEJ) se requieren dos elementos de existencia: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Consentimiento.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Objeto que pueda ser materia de contrato.</w:t>
      </w:r>
    </w:p>
    <w:p>
      <w:pPr>
        <w:spacing w:after="100" w:before="40"/>
        <w:ind/>
        <w:jc w:val="both"/>
      </w:pPr>
      <w:r>
        <w:rPr>
          <w:rFonts w:ascii="Calibri" w:cs="Calibri" w:eastAsia="Calibri" w:hAnsi="Calibri"/>
          <w:b w:val="false"/>
          <w:bCs w:val="false"/>
          <w:i w:val="false"/>
          <w:iCs w:val="false"/>
          <w:color w:val="222222"/>
          <w:sz w:val="22"/>
          <w:szCs w:val="22"/>
        </w:rPr>
        <w:t xml:space="preserve">Y puede ser invalidado (art. 1265 CCEJ) por cuatro causas: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Incapacidad de alguna de las partes.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Vicios del consentimiento (error, dolo, mala fe, violencia, lesión, reticencia).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Objeto o causa ilícitos.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Defectos en la forma exigida por la ley.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none"/>
              <w:left w:val="single" w:color="C8962A" w:sz="24"/>
              <w:bottom w:val="none"/>
              <w:right w:val="none"/>
            </w:tcBorders>
            <w:shd w:fill="F2F4F7"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Particularidad de Jalisco: el CCEJ incluye la LESIÓN (art. 1297) como vicio del consentimiento que da lugar a nulidad relativa, y la RETICENCIA (art. 1289) como causa autónoma de anulabilidad cuando un contratante no informa a otro hechos que, de haberlos conocido, no habría contratado. Ambas figuras son relevantes para impugnar contratos aparentemente voluntarios.</w:t>
            </w:r>
          </w:p>
        </w:tc>
      </w:tr>
    </w:tbl>
    <w:p>
      <w:pPr>
        <w:pStyle w:val="Heading2"/>
        <w:spacing w:after="120" w:before="340"/>
      </w:pPr>
      <w:r>
        <w:rPr>
          <w:rFonts w:ascii="Calibri" w:cs="Calibri" w:eastAsia="Calibri" w:hAnsi="Calibri"/>
          <w:b/>
          <w:bCs/>
          <w:color w:val="2E5B9E"/>
          <w:sz w:val="28"/>
          <w:szCs w:val="28"/>
        </w:rPr>
        <w:t xml:space="preserve">1.3 Principios rectores del derecho civil en Jalisco</w:t>
      </w:r>
    </w:p>
    <w:p>
      <w:pPr>
        <w:spacing w:after="100" w:before="40"/>
        <w:ind/>
        <w:jc w:val="both"/>
      </w:pPr>
      <w:r>
        <w:rPr>
          <w:rFonts w:ascii="Calibri" w:cs="Calibri" w:eastAsia="Calibri" w:hAnsi="Calibri"/>
          <w:b w:val="false"/>
          <w:bCs w:val="false"/>
          <w:i w:val="false"/>
          <w:iCs w:val="false"/>
          <w:color w:val="222222"/>
          <w:sz w:val="22"/>
          <w:szCs w:val="22"/>
        </w:rPr>
        <w:t xml:space="preserve">Estos principios impregnan toda la práctica; el juez los aplica, te los invocará la contraparte y debes usarlos estratégicamente:</w:t>
      </w:r>
    </w:p>
    <w:p>
      <w:pPr>
        <w:spacing w:after="100" w:before="40"/>
        <w:jc w:val="both"/>
      </w:pPr>
      <w:r>
        <w:rPr>
          <w:rFonts w:ascii="Calibri" w:cs="Calibri" w:eastAsia="Calibri" w:hAnsi="Calibri"/>
          <w:b/>
          <w:bCs/>
          <w:i w:val="false"/>
          <w:iCs w:val="false"/>
          <w:color w:val="222222"/>
          <w:sz w:val="22"/>
          <w:szCs w:val="22"/>
        </w:rPr>
        <w:t xml:space="preserve">Buena fe contractual </w:t>
      </w:r>
      <w:r>
        <w:rPr>
          <w:rFonts w:ascii="Calibri" w:cs="Calibri" w:eastAsia="Calibri" w:hAnsi="Calibri"/>
          <w:b w:val="false"/>
          <w:bCs w:val="false"/>
          <w:i w:val="false"/>
          <w:iCs w:val="false"/>
          <w:color w:val="222222"/>
          <w:sz w:val="22"/>
          <w:szCs w:val="22"/>
        </w:rPr>
        <w:t xml:space="preserve">(art. 1266): el contrato obliga no solo a lo pactado, sino a las consecuencias conformes a la buena fe, uso, costumbre o ley.</w:t>
      </w:r>
    </w:p>
    <w:p>
      <w:pPr>
        <w:spacing w:after="100" w:before="40"/>
        <w:jc w:val="both"/>
      </w:pPr>
      <w:r>
        <w:rPr>
          <w:rFonts w:ascii="Calibri" w:cs="Calibri" w:eastAsia="Calibri" w:hAnsi="Calibri"/>
          <w:b/>
          <w:bCs/>
          <w:i w:val="false"/>
          <w:iCs w:val="false"/>
          <w:color w:val="222222"/>
          <w:sz w:val="22"/>
          <w:szCs w:val="22"/>
        </w:rPr>
        <w:t xml:space="preserve">Autonomía de la voluntad: </w:t>
      </w:r>
      <w:r>
        <w:rPr>
          <w:rFonts w:ascii="Calibri" w:cs="Calibri" w:eastAsia="Calibri" w:hAnsi="Calibri"/>
          <w:b w:val="false"/>
          <w:bCs w:val="false"/>
          <w:i w:val="false"/>
          <w:iCs w:val="false"/>
          <w:color w:val="222222"/>
          <w:sz w:val="22"/>
          <w:szCs w:val="22"/>
        </w:rPr>
        <w:t xml:space="preserve">las partes son libres de pactar lo que quieran, con el límite del orden público y las buenas costumbres.</w:t>
      </w:r>
    </w:p>
    <w:p>
      <w:pPr>
        <w:spacing w:after="100" w:before="40"/>
        <w:jc w:val="both"/>
      </w:pPr>
      <w:r>
        <w:rPr>
          <w:rFonts w:ascii="Calibri" w:cs="Calibri" w:eastAsia="Calibri" w:hAnsi="Calibri"/>
          <w:b/>
          <w:bCs/>
          <w:i w:val="false"/>
          <w:iCs w:val="false"/>
          <w:color w:val="222222"/>
          <w:sz w:val="22"/>
          <w:szCs w:val="22"/>
        </w:rPr>
        <w:t xml:space="preserve">Efecto relativo de los contratos: </w:t>
      </w:r>
      <w:r>
        <w:rPr>
          <w:rFonts w:ascii="Calibri" w:cs="Calibri" w:eastAsia="Calibri" w:hAnsi="Calibri"/>
          <w:b w:val="false"/>
          <w:bCs w:val="false"/>
          <w:i w:val="false"/>
          <w:iCs w:val="false"/>
          <w:color w:val="222222"/>
          <w:sz w:val="22"/>
          <w:szCs w:val="22"/>
        </w:rPr>
        <w:t xml:space="preserve">los contratos solo obligan a quienes los celebran y no pueden perjudicar a terceros ("res inter alios acta").</w:t>
      </w:r>
    </w:p>
    <w:p>
      <w:pPr>
        <w:spacing w:after="100" w:before="40"/>
        <w:jc w:val="both"/>
      </w:pPr>
      <w:r>
        <w:rPr>
          <w:rFonts w:ascii="Calibri" w:cs="Calibri" w:eastAsia="Calibri" w:hAnsi="Calibri"/>
          <w:b/>
          <w:bCs/>
          <w:i w:val="false"/>
          <w:iCs w:val="false"/>
          <w:color w:val="222222"/>
          <w:sz w:val="22"/>
          <w:szCs w:val="22"/>
        </w:rPr>
        <w:t xml:space="preserve">Cumplimiento forzoso: </w:t>
      </w:r>
      <w:r>
        <w:rPr>
          <w:rFonts w:ascii="Calibri" w:cs="Calibri" w:eastAsia="Calibri" w:hAnsi="Calibri"/>
          <w:b w:val="false"/>
          <w:bCs w:val="false"/>
          <w:i w:val="false"/>
          <w:iCs w:val="false"/>
          <w:color w:val="222222"/>
          <w:sz w:val="22"/>
          <w:szCs w:val="22"/>
        </w:rPr>
        <w:t xml:space="preserve">ante incumplimiento, el acreedor puede optar por la ejecución forzada o la resolución, con daños y perjuicios en ambos casos (art. 1446 CCEJ).</w:t>
      </w:r>
    </w:p>
    <w:p>
      <w:pPr>
        <w:spacing w:after="100" w:before="40"/>
        <w:jc w:val="both"/>
      </w:pPr>
      <w:r>
        <w:rPr>
          <w:rFonts w:ascii="Calibri" w:cs="Calibri" w:eastAsia="Calibri" w:hAnsi="Calibri"/>
          <w:b/>
          <w:bCs/>
          <w:i w:val="false"/>
          <w:iCs w:val="false"/>
          <w:color w:val="222222"/>
          <w:sz w:val="22"/>
          <w:szCs w:val="22"/>
        </w:rPr>
        <w:t xml:space="preserve">Patrimonio como garantía general: </w:t>
      </w:r>
      <w:r>
        <w:rPr>
          <w:rFonts w:ascii="Calibri" w:cs="Calibri" w:eastAsia="Calibri" w:hAnsi="Calibri"/>
          <w:b w:val="false"/>
          <w:bCs w:val="false"/>
          <w:i w:val="false"/>
          <w:iCs w:val="false"/>
          <w:color w:val="222222"/>
          <w:sz w:val="22"/>
          <w:szCs w:val="22"/>
        </w:rPr>
        <w:t xml:space="preserve">el deudor responde de sus obligaciones con todo su patrimonio, salvo bienes inalienables o inembargables (art. 1796 CCEJ).</w:t>
      </w:r>
    </w:p>
    <w:p>
      <w:pPr>
        <w:spacing w:after="100" w:before="40"/>
        <w:jc w:val="both"/>
      </w:pPr>
      <w:r>
        <w:rPr>
          <w:rFonts w:ascii="Calibri" w:cs="Calibri" w:eastAsia="Calibri" w:hAnsi="Calibri"/>
          <w:b/>
          <w:bCs/>
          <w:i w:val="false"/>
          <w:iCs w:val="false"/>
          <w:color w:val="222222"/>
          <w:sz w:val="22"/>
          <w:szCs w:val="22"/>
        </w:rPr>
        <w:t xml:space="preserve">Irretroactividad de la nulidad absoluta: </w:t>
      </w:r>
      <w:r>
        <w:rPr>
          <w:rFonts w:ascii="Calibri" w:cs="Calibri" w:eastAsia="Calibri" w:hAnsi="Calibri"/>
          <w:b w:val="false"/>
          <w:bCs w:val="false"/>
          <w:i w:val="false"/>
          <w:iCs w:val="false"/>
          <w:color w:val="222222"/>
          <w:sz w:val="22"/>
          <w:szCs w:val="22"/>
        </w:rPr>
        <w:t xml:space="preserve">produce efectos provisionales que se destruyen retroactivamente al decretarse (art. 1763 CCEJ).</w:t>
      </w:r>
    </w:p>
    <w:p>
      <w:pPr>
        <w:pStyle w:val="Heading2"/>
        <w:spacing w:after="120" w:before="340"/>
      </w:pPr>
      <w:r>
        <w:rPr>
          <w:rFonts w:ascii="Calibri" w:cs="Calibri" w:eastAsia="Calibri" w:hAnsi="Calibri"/>
          <w:b/>
          <w:bCs/>
          <w:color w:val="2E5B9E"/>
          <w:sz w:val="28"/>
          <w:szCs w:val="28"/>
        </w:rPr>
        <w:t xml:space="preserve">1.4 Bienes: clasificación fundamental para el litigante</w:t>
      </w:r>
    </w:p>
    <w:p>
      <w:pPr>
        <w:spacing w:after="100" w:before="40"/>
        <w:ind/>
        <w:jc w:val="both"/>
      </w:pPr>
      <w:r>
        <w:rPr>
          <w:rFonts w:ascii="Calibri" w:cs="Calibri" w:eastAsia="Calibri" w:hAnsi="Calibri"/>
          <w:b w:val="false"/>
          <w:bCs w:val="false"/>
          <w:i w:val="false"/>
          <w:iCs w:val="false"/>
          <w:color w:val="222222"/>
          <w:sz w:val="22"/>
          <w:szCs w:val="22"/>
        </w:rPr>
        <w:t xml:space="preserve">El Libro Tercero del CCEJ (arts. 796-795) regula los bienes. Como litigante, lo que más necesitas dominar es la distinción entre: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Clasificación</w:t>
            </w:r>
          </w:p>
        </w:tc>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Ejemplos</w:t>
            </w:r>
          </w:p>
        </w:tc>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Relevancia procesal</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Inmuebles por naturaleza (art. 799)</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Suelo, construcciones, plantas unidas, máquinas adheridas</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Compraventas requieren escritura pública; hipoteca como garantía; acción reivindicatoria</w:t>
            </w:r>
          </w:p>
        </w:tc>
      </w:tr>
      <w:tr>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Muebles por naturaleza (art. 801)</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Vehículos, mercancías, dinero, joyas</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Acción reivindicatoria; prenda como garantía; prescripción adquisitiva 3 años</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Bienes fungibles (art. 811)</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Dinero, granos, productos fungibles</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Mutuo; compensación; se reemplazan por otros de igual especie</w:t>
            </w:r>
          </w:p>
        </w:tc>
      </w:tr>
      <w:tr>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Bienes del dominio público (arts. 813-818)</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Calles, plazas, edificios gubernamentales</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Inalienables; no susceptibles de usucapión; acción administrativa, no civil</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Bienes mostrencos (art. 822)</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Muebles abandonados en vía pública</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Trámite ante autoridad municipal; cuarta parte al hallador</w:t>
            </w:r>
          </w:p>
        </w:tc>
      </w:tr>
      <w:tr>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Bienes vacantes (art. 833)</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Inmuebles sin dueño conocido y abandonados</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Denuncia ante Procuraduría Social; adjudicación a asistencia pública</w:t>
            </w:r>
          </w:p>
        </w:tc>
      </w:tr>
    </w:tbl>
    <w:p>
      <w:pPr>
        <w:spacing w:after="120" w:before="0"/>
      </w:pPr>
    </w:p>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2. PRIMERA ENTREVISTA CON EL CLIENTE</w:t>
      </w:r>
    </w:p>
    <w:p>
      <w:pPr>
        <w:pStyle w:val="Heading2"/>
        <w:spacing w:after="120" w:before="340"/>
      </w:pPr>
      <w:r>
        <w:rPr>
          <w:rFonts w:ascii="Calibri" w:cs="Calibri" w:eastAsia="Calibri" w:hAnsi="Calibri"/>
          <w:b/>
          <w:bCs/>
          <w:color w:val="2E5B9E"/>
          <w:sz w:val="28"/>
          <w:szCs w:val="28"/>
        </w:rPr>
        <w:t xml:space="preserve">2.1 Las cuatro preguntas diagnósticas previas</w:t>
      </w:r>
    </w:p>
    <w:p>
      <w:pPr>
        <w:spacing w:after="100" w:before="40"/>
        <w:ind/>
        <w:jc w:val="both"/>
      </w:pPr>
      <w:r>
        <w:rPr>
          <w:rFonts w:ascii="Calibri" w:cs="Calibri" w:eastAsia="Calibri" w:hAnsi="Calibri"/>
          <w:b w:val="false"/>
          <w:bCs w:val="false"/>
          <w:i w:val="false"/>
          <w:iCs w:val="false"/>
          <w:color w:val="222222"/>
          <w:sz w:val="22"/>
          <w:szCs w:val="22"/>
        </w:rPr>
        <w:t xml:space="preserve">Antes de empezar a tomar datos, yo me hago mentalmente cuatro preguntas mientras escucho al cliente. Son el filtro que determina todo lo demás:</w:t>
      </w:r>
    </w:p>
    <w:p>
      <w:pPr>
        <w:pStyle w:val="ListParagraph"/>
        <w:numPr>
          <w:ilvl w:val="0"/>
          <w:numId w:val="1"/>
        </w:numPr>
        <w:spacing w:after="60" w:before="30"/>
        <w:ind w:left="576" w:hanging="288"/>
      </w:pPr>
      <w:r>
        <w:rPr>
          <w:rFonts w:ascii="Calibri" w:cs="Calibri" w:eastAsia="Calibri" w:hAnsi="Calibri"/>
          <w:b/>
          <w:bCs/>
          <w:color w:val="222222"/>
          <w:sz w:val="22"/>
          <w:szCs w:val="22"/>
        </w:rPr>
        <w:t xml:space="preserve">¿Qué tipo de acto o contrato origina el conflicto?</w:t>
      </w:r>
    </w:p>
    <w:p>
      <w:pPr>
        <w:pStyle w:val="ListParagraph"/>
        <w:numPr>
          <w:ilvl w:val="0"/>
          <w:numId w:val="1"/>
        </w:numPr>
        <w:spacing w:after="60" w:before="30"/>
        <w:ind w:left="576" w:hanging="288"/>
      </w:pPr>
      <w:r>
        <w:rPr>
          <w:rFonts w:ascii="Calibri" w:cs="Calibri" w:eastAsia="Calibri" w:hAnsi="Calibri"/>
          <w:b/>
          <w:bCs/>
          <w:color w:val="222222"/>
          <w:sz w:val="22"/>
          <w:szCs w:val="22"/>
        </w:rPr>
        <w:t xml:space="preserve">¿El conflicto es sobre existencia del acto, validez del acto, o cumplimiento del acto?</w:t>
      </w:r>
    </w:p>
    <w:p>
      <w:pPr>
        <w:pStyle w:val="ListParagraph"/>
        <w:numPr>
          <w:ilvl w:val="0"/>
          <w:numId w:val="1"/>
        </w:numPr>
        <w:spacing w:after="60" w:before="30"/>
        <w:ind w:left="576" w:hanging="288"/>
      </w:pPr>
      <w:r>
        <w:rPr>
          <w:rFonts w:ascii="Calibri" w:cs="Calibri" w:eastAsia="Calibri" w:hAnsi="Calibri"/>
          <w:b/>
          <w:bCs/>
          <w:color w:val="222222"/>
          <w:sz w:val="22"/>
          <w:szCs w:val="22"/>
        </w:rPr>
        <w:t xml:space="preserve">¿Qué quiere realmente el cliente: que le paguen, que le devuelvan algo, que se declare nulo algo, o que se ejecute una obligación?</w:t>
      </w:r>
    </w:p>
    <w:p>
      <w:pPr>
        <w:pStyle w:val="ListParagraph"/>
        <w:numPr>
          <w:ilvl w:val="0"/>
          <w:numId w:val="1"/>
        </w:numPr>
        <w:spacing w:after="60" w:before="30"/>
        <w:ind w:left="576" w:hanging="288"/>
      </w:pPr>
      <w:r>
        <w:rPr>
          <w:rFonts w:ascii="Calibri" w:cs="Calibri" w:eastAsia="Calibri" w:hAnsi="Calibri"/>
          <w:b/>
          <w:bCs/>
          <w:color w:val="222222"/>
          <w:sz w:val="22"/>
          <w:szCs w:val="22"/>
        </w:rPr>
        <w:t xml:space="preserve">¿Tiene documentos que prueben el acto jurídico base de su pretensión?</w:t>
      </w:r>
    </w:p>
    <w:p>
      <w:pPr>
        <w:spacing w:after="100" w:before="40"/>
        <w:ind/>
        <w:jc w:val="both"/>
      </w:pPr>
      <w:r>
        <w:rPr>
          <w:rFonts w:ascii="Calibri" w:cs="Calibri" w:eastAsia="Calibri" w:hAnsi="Calibri"/>
          <w:b w:val="false"/>
          <w:bCs w:val="false"/>
          <w:i w:val="false"/>
          <w:iCs w:val="false"/>
          <w:color w:val="222222"/>
          <w:sz w:val="22"/>
          <w:szCs w:val="22"/>
        </w:rPr>
        <w:t xml:space="preserve">Estas cuatro preguntas determinan: la acción procedente, la vía procesal, el plazo de prescripción disponible, y la estrategia de prueba.</w:t>
      </w:r>
    </w:p>
    <w:p>
      <w:pPr>
        <w:pStyle w:val="Heading2"/>
        <w:spacing w:after="120" w:before="340"/>
      </w:pPr>
      <w:r>
        <w:rPr>
          <w:rFonts w:ascii="Calibri" w:cs="Calibri" w:eastAsia="Calibri" w:hAnsi="Calibri"/>
          <w:b/>
          <w:bCs/>
          <w:color w:val="2E5B9E"/>
          <w:sz w:val="28"/>
          <w:szCs w:val="28"/>
        </w:rPr>
        <w:t xml:space="preserve">2.2 Estructura de la entrevista (60-90 minutos recomendados)</w:t>
      </w:r>
    </w:p>
    <w:p>
      <w:pPr>
        <w:pStyle w:val="Heading3"/>
        <w:spacing w:after="80" w:before="240"/>
      </w:pPr>
      <w:r>
        <w:rPr>
          <w:rFonts w:ascii="Calibri" w:cs="Calibri" w:eastAsia="Calibri" w:hAnsi="Calibri"/>
          <w:b/>
          <w:bCs/>
          <w:color w:val="1A2B4A"/>
          <w:sz w:val="24"/>
          <w:szCs w:val="24"/>
        </w:rPr>
        <w:t xml:space="preserve">Bloque 1: Naturaleza del acto jurídico base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¿Qué tipo de contrato o acto dio origen a la relación? (compraventa, arrendamiento, préstamo, prestación de servicios, promesa de contrato, etc.)</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¿Consta por escrito o fue verbal? ¿Hay testigos?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¿Cuándo se celebró y cuándo ocurrió el incumplimiento, el daño o el hecho que genera el conflicto? (Esencial para calcular prescripción.)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¿Hay algún documento que pruebe el acto? (Contrato, recibo, correos, transferencias bancarias.)</w:t>
      </w:r>
    </w:p>
    <w:p>
      <w:pPr>
        <w:pStyle w:val="Heading3"/>
        <w:spacing w:after="80" w:before="240"/>
      </w:pPr>
      <w:r>
        <w:rPr>
          <w:rFonts w:ascii="Calibri" w:cs="Calibri" w:eastAsia="Calibri" w:hAnsi="Calibri"/>
          <w:b/>
          <w:bCs/>
          <w:color w:val="1A2B4A"/>
          <w:sz w:val="24"/>
          <w:szCs w:val="24"/>
        </w:rPr>
        <w:t xml:space="preserve">Bloque 2: La pretensión concreta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¿Qué quiere el cliente exactamente? Que le paguen una cantidad, que le devuelvan un bien, que le anulen un contrato, que le reconozcan un derecho. Anota la respuesta textual.</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¿Cuánto vale económicamente la pretensión? (Determina competencia por cuantía y valor estratégico de litigar.)</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¿Está dispuesto a negociar o quiere ir directamente a juicio?</w:t>
      </w:r>
    </w:p>
    <w:p>
      <w:pPr>
        <w:pStyle w:val="Heading3"/>
        <w:spacing w:after="80" w:before="240"/>
      </w:pPr>
      <w:r>
        <w:rPr>
          <w:rFonts w:ascii="Calibri" w:cs="Calibri" w:eastAsia="Calibri" w:hAnsi="Calibri"/>
          <w:b/>
          <w:bCs/>
          <w:color w:val="1A2B4A"/>
          <w:sz w:val="24"/>
          <w:szCs w:val="24"/>
        </w:rPr>
        <w:t xml:space="preserve">Bloque 3: Situación de la contraparte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¿Quién es la contraparte? ¿Persona física o moral?</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¿Tiene bienes conocidos susceptibles de embargo? (Si no tiene con qué pagar, la sentencia puede ser papel mojado.)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¿Está domiciliada en Jalisco? (Para competencia y emplazamiento.)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¿Existe algún bien dado en garantía (prenda, hipoteca, fianza)?</w:t>
      </w:r>
    </w:p>
    <w:p>
      <w:pPr>
        <w:pStyle w:val="Heading3"/>
        <w:spacing w:after="80" w:before="240"/>
      </w:pPr>
      <w:r>
        <w:rPr>
          <w:rFonts w:ascii="Calibri" w:cs="Calibri" w:eastAsia="Calibri" w:hAnsi="Calibri"/>
          <w:b/>
          <w:bCs/>
          <w:color w:val="1A2B4A"/>
          <w:sz w:val="24"/>
          <w:szCs w:val="24"/>
        </w:rPr>
        <w:t xml:space="preserve">Bloque 4: Detección de riesgos procesales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¿Cuándo ocurrió el hecho o el incumplimiento? Calcula mentalmente si la acción está prescrita o próxima a prescribir. Si hay urgencia, esto define prioridades inmediatas.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¿Existe algún proceso paralelo (penal, mercantil, laboral) relacionado?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¿Hay litispendencia (mismo juicio ya promovido en otro juzgado)?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cliente fue demandado y ya tiene plazo para contestar corriendo?</w:t>
      </w:r>
    </w:p>
    <w:p>
      <w:pPr>
        <w:pStyle w:val="Heading2"/>
        <w:spacing w:after="120" w:before="340"/>
      </w:pPr>
      <w:r>
        <w:rPr>
          <w:rFonts w:ascii="Calibri" w:cs="Calibri" w:eastAsia="Calibri" w:hAnsi="Calibri"/>
          <w:b/>
          <w:bCs/>
          <w:color w:val="2E5B9E"/>
          <w:sz w:val="28"/>
          <w:szCs w:val="28"/>
        </w:rPr>
        <w:t xml:space="preserve">2.3 Checklist documental inicial (entrégalo por escrito)</w:t>
      </w:r>
    </w:p>
    <w:p>
      <w:pPr>
        <w:spacing w:after="100" w:before="40"/>
        <w:ind/>
        <w:jc w:val="both"/>
      </w:pPr>
      <w:r>
        <w:rPr>
          <w:rFonts w:ascii="Calibri" w:cs="Calibri" w:eastAsia="Calibri" w:hAnsi="Calibri"/>
          <w:b w:val="false"/>
          <w:bCs w:val="false"/>
          <w:i w:val="false"/>
          <w:iCs w:val="false"/>
          <w:color w:val="222222"/>
          <w:sz w:val="22"/>
          <w:szCs w:val="22"/>
        </w:rPr>
        <w:t xml:space="preserve">Para toda acción civil, necesito al menos: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Contrato o documento base de la obligación (el título del que emana la pretensión).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Identificación oficial del cliente y de la contraparte (si la tiene).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Documentos de pago, recibos, transferencias, estados de cuenta que prueben cumplimiento o incumplimiento.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Correos electrónicos, mensajes de texto, WhatsApp: capturas con fe de hechos notarial cuando sean relevantes.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Escrituras o documentos de propiedad si hay bienes inmuebles involucrados.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Certificados registrales recientes (Registro Público de la Propiedad) si la acción afecta un inmueble.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Avalúos, facturas o tasaciones si el valor del bien está en disputa.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Pagarés, letras de cambio u otros títulos ejecutivos si los hay.</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Documentación de la garantía si la hay (contrato de fianza, escritura de hipoteca, contrato de prenda).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Cualquier comunicación previa de cobro, intimación o reconocimiento de deuda por la contraparte.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none"/>
              <w:left w:val="single" w:color="C8962A" w:sz="24"/>
              <w:bottom w:val="none"/>
              <w:right w:val="none"/>
            </w:tcBorders>
            <w:shd w:fill="F2F4F7"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Error frecuente: el cliente llega convencido de que tiene la razón pero sin ningún documento que lo pruebe. El derecho civil es el derecho de los documentos: si no hay papel, hay que probar con otros medios y eso siempre es más caro, lento e incierto. Adviérteselo desde la primera cita.</w:t>
            </w:r>
          </w:p>
        </w:tc>
      </w:tr>
    </w:tbl>
    <w:p>
      <w:pPr>
        <w:pStyle w:val="Heading2"/>
        <w:spacing w:after="120" w:before="340"/>
      </w:pPr>
      <w:r>
        <w:rPr>
          <w:rFonts w:ascii="Calibri" w:cs="Calibri" w:eastAsia="Calibri" w:hAnsi="Calibri"/>
          <w:b/>
          <w:bCs/>
          <w:color w:val="2E5B9E"/>
          <w:sz w:val="28"/>
          <w:szCs w:val="28"/>
        </w:rPr>
        <w:t xml:space="preserve">2.4 Nota de estrategia (redáctala por escrito al terminar la entrevista)</w:t>
      </w:r>
    </w:p>
    <w:p>
      <w:pPr>
        <w:spacing w:after="100" w:before="40"/>
        <w:ind/>
        <w:jc w:val="both"/>
      </w:pPr>
      <w:r>
        <w:rPr>
          <w:rFonts w:ascii="Calibri" w:cs="Calibri" w:eastAsia="Calibri" w:hAnsi="Calibri"/>
          <w:b w:val="false"/>
          <w:bCs w:val="false"/>
          <w:i w:val="false"/>
          <w:iCs w:val="false"/>
          <w:color w:val="222222"/>
          <w:sz w:val="22"/>
          <w:szCs w:val="22"/>
        </w:rPr>
        <w:t xml:space="preserve">Al concluir la entrevista, redacta para tu archivo una nota que responda: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¿Cuál es la acción procedente? (Cumplimiento forzado, nulidad, rescisión, reivindicación, daños, etc.)</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¿En qué vía procesal se tramita? (Ordinaria, ejecutiva, sumaria.)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¿Hay riesgo de prescripción? ¿Con qué urgencia hay que actuar?</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¿Qué pruebas tenemos y cuáles faltan?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¿Tiene la contraparte bienes para garantizar el cobro de una sentencia favorable?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¿Es viable negociar? ¿Cuál es el mínimo aceptable para el cliente?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¿Cuál es el escenario realista (no optimista) del resultado?</w:t>
      </w:r>
    </w:p>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3. PRESUPUESTO Y COBRO DE HONORARIOS</w:t>
      </w:r>
    </w:p>
    <w:p>
      <w:pPr>
        <w:pStyle w:val="Heading2"/>
        <w:spacing w:after="120" w:before="340"/>
      </w:pPr>
      <w:r>
        <w:rPr>
          <w:rFonts w:ascii="Calibri" w:cs="Calibri" w:eastAsia="Calibri" w:hAnsi="Calibri"/>
          <w:b/>
          <w:bCs/>
          <w:color w:val="2E5B9E"/>
          <w:sz w:val="28"/>
          <w:szCs w:val="28"/>
        </w:rPr>
        <w:t xml:space="preserve">3.1 Variables para cotizar en materia civil</w:t>
      </w:r>
    </w:p>
    <w:p>
      <w:pPr>
        <w:spacing w:after="100" w:before="40"/>
        <w:ind/>
        <w:jc w:val="both"/>
      </w:pPr>
      <w:r>
        <w:rPr>
          <w:rFonts w:ascii="Calibri" w:cs="Calibri" w:eastAsia="Calibri" w:hAnsi="Calibri"/>
          <w:b w:val="false"/>
          <w:bCs w:val="false"/>
          <w:i w:val="false"/>
          <w:iCs w:val="false"/>
          <w:color w:val="222222"/>
          <w:sz w:val="22"/>
          <w:szCs w:val="22"/>
        </w:rPr>
        <w:t xml:space="preserve">La materia civil tiene la ventaja de que los litigios son usualmente cuantificables económicamente. Eso facilita la cotización, pero también exige que seas preciso. Las variables clave son: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Cuantía del litigio (valor de lo que se reclama). Determina competencia y calibra el esfuerzo proporcional.</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Tipo de vía procesal: la ejecutiva es más rápida (por tanto menor carga de horas); la ordinaria es más larga.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Complejidad probatoria: un juicio donde la deuda consta en pagaré sin oposición previsible es muy distinto de uno donde hay que probar un contrato verbal con testigos.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Existencia de garantías: si hay hipoteca o prenda, la recuperación es más segura y eso afecta el valor del servicio.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Calidad de la contraparte: deudor solvente vs. deudor sin bienes identificados cambia radicalmente la estrategia y el esfuerzo.</w:t>
      </w:r>
    </w:p>
    <w:p>
      <w:pPr>
        <w:pStyle w:val="Heading2"/>
        <w:spacing w:after="120" w:before="340"/>
      </w:pPr>
      <w:r>
        <w:rPr>
          <w:rFonts w:ascii="Calibri" w:cs="Calibri" w:eastAsia="Calibri" w:hAnsi="Calibri"/>
          <w:b/>
          <w:bCs/>
          <w:color w:val="2E5B9E"/>
          <w:sz w:val="28"/>
          <w:szCs w:val="28"/>
        </w:rPr>
        <w:t xml:space="preserve">3.2 Ejemplos de presupuesto por escenario</w:t>
      </w:r>
    </w:p>
    <w:p>
      <w:pPr>
        <w:pStyle w:val="Heading3"/>
        <w:spacing w:after="80" w:before="240"/>
      </w:pPr>
      <w:r>
        <w:rPr>
          <w:rFonts w:ascii="Calibri" w:cs="Calibri" w:eastAsia="Calibri" w:hAnsi="Calibri"/>
          <w:b/>
          <w:bCs/>
          <w:color w:val="1A2B4A"/>
          <w:sz w:val="24"/>
          <w:szCs w:val="24"/>
        </w:rPr>
        <w:t xml:space="preserve">Escenario A — Juicio ejecutivo sobre pagaré o documento que trae aparejada ejecución</w:t>
      </w:r>
    </w:p>
    <w:p>
      <w:pPr>
        <w:spacing w:after="100" w:before="40"/>
        <w:ind/>
        <w:jc w:val="both"/>
      </w:pPr>
      <w:r>
        <w:rPr>
          <w:rFonts w:ascii="Calibri" w:cs="Calibri" w:eastAsia="Calibri" w:hAnsi="Calibri"/>
          <w:b w:val="false"/>
          <w:bCs w:val="false"/>
          <w:i w:val="false"/>
          <w:iCs w:val="false"/>
          <w:color w:val="222222"/>
          <w:sz w:val="22"/>
          <w:szCs w:val="22"/>
        </w:rPr>
        <w:t xml:space="preserve">Deuda documentada en pagaré, contrato simple, sin reconvención previsible ni bienes complejos.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Anticipo (demanda + embargo precautorio + audiencia inicial): $15,000–$25,000 MXN.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Seguimiento a sentencia y ejecución de embargo: $8,000–$15,000 MXN.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Total estimado: $25,000–$45,000 MXN (más gastos de ejecución registral si hay inmuebles).</w:t>
      </w:r>
    </w:p>
    <w:p>
      <w:pPr>
        <w:pStyle w:val="Heading3"/>
        <w:spacing w:after="80" w:before="240"/>
      </w:pPr>
      <w:r>
        <w:rPr>
          <w:rFonts w:ascii="Calibri" w:cs="Calibri" w:eastAsia="Calibri" w:hAnsi="Calibri"/>
          <w:b/>
          <w:bCs/>
          <w:color w:val="1A2B4A"/>
          <w:sz w:val="24"/>
          <w:szCs w:val="24"/>
        </w:rPr>
        <w:t xml:space="preserve">Escenario B — Juicio ordinario civil, cobro de contrato, complejidad media</w:t>
      </w:r>
    </w:p>
    <w:p>
      <w:pPr>
        <w:spacing w:after="100" w:before="40"/>
        <w:ind/>
        <w:jc w:val="both"/>
      </w:pPr>
      <w:r>
        <w:rPr>
          <w:rFonts w:ascii="Calibri" w:cs="Calibri" w:eastAsia="Calibri" w:hAnsi="Calibri"/>
          <w:b w:val="false"/>
          <w:bCs w:val="false"/>
          <w:i w:val="false"/>
          <w:iCs w:val="false"/>
          <w:color w:val="222222"/>
          <w:sz w:val="22"/>
          <w:szCs w:val="22"/>
        </w:rPr>
        <w:t xml:space="preserve">Contrato escrito pero con disputa sobre montos, calidad o cumplimiento. Etapa probatoria con documentales y posiblemente testimonial.</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Anticipo (demanda): $20,000–$35,000 MXN.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Etapa probatoria (audiencias, testigos, peritos si aplica): $15,000–$25,000 MXN adicionales.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Alegatos y sentencia: $8,000–$12,000 MXN.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Total estimado: $45,000–$75,000 MXN.</w:t>
      </w:r>
    </w:p>
    <w:p>
      <w:pPr>
        <w:pStyle w:val="Heading3"/>
        <w:spacing w:after="80" w:before="240"/>
      </w:pPr>
      <w:r>
        <w:rPr>
          <w:rFonts w:ascii="Calibri" w:cs="Calibri" w:eastAsia="Calibri" w:hAnsi="Calibri"/>
          <w:b/>
          <w:bCs/>
          <w:color w:val="1A2B4A"/>
          <w:sz w:val="24"/>
          <w:szCs w:val="24"/>
        </w:rPr>
        <w:t xml:space="preserve">Escenario C — Nulidad de contrato o acto jurídico</w:t>
      </w:r>
    </w:p>
    <w:p>
      <w:pPr>
        <w:spacing w:after="100" w:before="40"/>
        <w:ind/>
        <w:jc w:val="both"/>
      </w:pPr>
      <w:r>
        <w:rPr>
          <w:rFonts w:ascii="Calibri" w:cs="Calibri" w:eastAsia="Calibri" w:hAnsi="Calibri"/>
          <w:b w:val="false"/>
          <w:bCs w:val="false"/>
          <w:i w:val="false"/>
          <w:iCs w:val="false"/>
          <w:color w:val="222222"/>
          <w:sz w:val="22"/>
          <w:szCs w:val="22"/>
        </w:rPr>
        <w:t xml:space="preserve">Acción de nulidad con elementos de prueba complejos (incapacidad del otorgante, vicios del consentimiento, simulación). Puede requerir pericial médica, grafoscópica o contable.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Anticipo: $25,000–$45,000 MXN.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Etapa probatoria (pericial incluida): $20,000–$40,000 MXN + costo del perito ($10,000–$30,000 MXN dependiendo del tipo).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Total estimado: $60,000–$120,000 MXN.</w:t>
      </w:r>
    </w:p>
    <w:p>
      <w:pPr>
        <w:pStyle w:val="Heading3"/>
        <w:spacing w:after="80" w:before="240"/>
      </w:pPr>
      <w:r>
        <w:rPr>
          <w:rFonts w:ascii="Calibri" w:cs="Calibri" w:eastAsia="Calibri" w:hAnsi="Calibri"/>
          <w:b/>
          <w:bCs/>
          <w:color w:val="1A2B4A"/>
          <w:sz w:val="24"/>
          <w:szCs w:val="24"/>
        </w:rPr>
        <w:t xml:space="preserve">Escenario D — Acción reivindicatoria o posesoria (bienes inmuebles)</w:t>
      </w:r>
    </w:p>
    <w:p>
      <w:pPr>
        <w:spacing w:after="100" w:before="40"/>
        <w:ind/>
        <w:jc w:val="both"/>
      </w:pPr>
      <w:r>
        <w:rPr>
          <w:rFonts w:ascii="Calibri" w:cs="Calibri" w:eastAsia="Calibri" w:hAnsi="Calibri"/>
          <w:b w:val="false"/>
          <w:bCs w:val="false"/>
          <w:i w:val="false"/>
          <w:iCs w:val="false"/>
          <w:color w:val="222222"/>
          <w:sz w:val="22"/>
          <w:szCs w:val="22"/>
        </w:rPr>
        <w:t xml:space="preserve">Juicio para recuperar la posesión o la propiedad de un inmueble. Alta complejidad, requiere inscripción registral y ejecución forzosa de entrega.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Anticipo: $30,000–$60,000 MXN.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Etapa probatoria y sentencia: $25,000–$50,000 MXN.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Ejecución (desocupación forzosa si aplica): cotización adicional.</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Total estimado: $70,000–$150,000 MXN o más.</w:t>
      </w:r>
    </w:p>
    <w:p>
      <w:pPr>
        <w:pStyle w:val="Heading2"/>
        <w:spacing w:after="120" w:before="340"/>
      </w:pPr>
      <w:r>
        <w:rPr>
          <w:rFonts w:ascii="Calibri" w:cs="Calibri" w:eastAsia="Calibri" w:hAnsi="Calibri"/>
          <w:b/>
          <w:bCs/>
          <w:color w:val="2E5B9E"/>
          <w:sz w:val="28"/>
          <w:szCs w:val="28"/>
        </w:rPr>
        <w:t xml:space="preserve">3.3 Estructura de cobro por etapas (recomendada)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Etapa</w:t>
            </w:r>
          </w:p>
        </w:tc>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Qué incluye</w:t>
            </w:r>
          </w:p>
        </w:tc>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Cuándo se cobra</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Anticipo de apertura</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Entrevista, análisis documental, demanda, medidas cautelares iniciales</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Antes de presentar la demanda</w:t>
            </w:r>
          </w:p>
        </w:tc>
      </w:tr>
      <w:tr>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Etapa de contestación/reconvención</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Análisis de contestación, escrito de réplica o contestación reconvencional</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Al recibir contestación</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Etapa probatoria</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Ofrecimiento, preparación de testigos, peritos, audiencias, desahogo de pruebas</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Al inicio del periodo probatorio</w:t>
            </w:r>
          </w:p>
        </w:tc>
      </w:tr>
      <w:tr>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Alegatos y sentencia</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Redacción de alegatos, seguimiento a sentencia</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Al dictarse sentencia</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Ejecución</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Embargo, remates, desocupación, recuperación de bien</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Se cotiza aparte por evento</w:t>
            </w:r>
          </w:p>
        </w:tc>
      </w:tr>
    </w:tbl>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none"/>
              <w:left w:val="single" w:color="C8962A" w:sz="24"/>
              <w:bottom w:val="none"/>
              <w:right w:val="none"/>
            </w:tcBorders>
            <w:shd w:fill="F2F4F7"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Siempre documenta el alcance del contrato de honorarios. Incluye cláusula expresa que diga que la ejecución de sentencia, recursos de apelación, amparo e incidentes extraordinarios se cotizan por separado. El conflicto de honorarios más común en materia civil es el cliente que cree que 'ya pagó todo' cuando solo pagó la primera instancia.</w:t>
            </w:r>
          </w:p>
        </w:tc>
      </w:tr>
    </w:tbl>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4. LOS CONTRATOS MÁS LITIGADOS EN JALISCO — FUNDAMENTOS Y ESTRATEGIA</w:t>
      </w:r>
    </w:p>
    <w:p>
      <w:pPr>
        <w:pStyle w:val="Heading2"/>
        <w:spacing w:after="120" w:before="340"/>
      </w:pPr>
      <w:r>
        <w:rPr>
          <w:rFonts w:ascii="Calibri" w:cs="Calibri" w:eastAsia="Calibri" w:hAnsi="Calibri"/>
          <w:b/>
          <w:bCs/>
          <w:color w:val="2E5B9E"/>
          <w:sz w:val="28"/>
          <w:szCs w:val="28"/>
        </w:rPr>
        <w:t xml:space="preserve">4.1 Compraventa (arts. 1850-1833 CCEJ)</w:t>
      </w:r>
    </w:p>
    <w:p>
      <w:pPr>
        <w:spacing w:after="100" w:before="40"/>
        <w:ind/>
        <w:jc w:val="both"/>
      </w:pPr>
      <w:r>
        <w:rPr>
          <w:rFonts w:ascii="Calibri" w:cs="Calibri" w:eastAsia="Calibri" w:hAnsi="Calibri"/>
          <w:b w:val="false"/>
          <w:bCs w:val="false"/>
          <w:i w:val="false"/>
          <w:iCs w:val="false"/>
          <w:color w:val="222222"/>
          <w:sz w:val="22"/>
          <w:szCs w:val="22"/>
        </w:rPr>
        <w:t xml:space="preserve">La compraventa es la columna vertebral de los litigios civiles patrimoniales. El art. 1850 CCEJ la define: "La compraventa es un contrato por virtud del cual una persona transfiere a otra la propiedad de un bien, a cambio de un precio cierto y en dinero."</w:t>
      </w:r>
    </w:p>
    <w:p>
      <w:pPr>
        <w:pStyle w:val="Heading3"/>
        <w:spacing w:after="80" w:before="240"/>
      </w:pPr>
      <w:r>
        <w:rPr>
          <w:rFonts w:ascii="Calibri" w:cs="Calibri" w:eastAsia="Calibri" w:hAnsi="Calibri"/>
          <w:b/>
          <w:bCs/>
          <w:color w:val="1A2B4A"/>
          <w:sz w:val="24"/>
          <w:szCs w:val="24"/>
        </w:rPr>
        <w:t xml:space="preserve">Cuándo se perfecciona</w:t>
      </w:r>
    </w:p>
    <w:p>
      <w:pPr>
        <w:spacing w:after="100" w:before="40"/>
        <w:ind/>
        <w:jc w:val="both"/>
      </w:pPr>
      <w:r>
        <w:rPr>
          <w:rFonts w:ascii="Calibri" w:cs="Calibri" w:eastAsia="Calibri" w:hAnsi="Calibri"/>
          <w:b w:val="false"/>
          <w:bCs w:val="false"/>
          <w:i w:val="false"/>
          <w:iCs w:val="false"/>
          <w:color w:val="222222"/>
          <w:sz w:val="22"/>
          <w:szCs w:val="22"/>
        </w:rPr>
        <w:t xml:space="preserve">Por regla general (art. 1851 CCEJ) cuando hay acuerdo sobre el bien y el precio, aunque no se haya entregado el bien ni pagado el precio. Esto es importante: en Jalisco el contrato de compraventa de un inmueble se perfecciona con el consentimiento, aunque la propiedad se transmita hasta la escritura pública e inscripción en el Registro Público.</w:t>
      </w:r>
    </w:p>
    <w:p>
      <w:pPr>
        <w:pStyle w:val="Heading3"/>
        <w:spacing w:after="80" w:before="240"/>
      </w:pPr>
      <w:r>
        <w:rPr>
          <w:rFonts w:ascii="Calibri" w:cs="Calibri" w:eastAsia="Calibri" w:hAnsi="Calibri"/>
          <w:b/>
          <w:bCs/>
          <w:color w:val="1A2B4A"/>
          <w:sz w:val="24"/>
          <w:szCs w:val="24"/>
        </w:rPr>
        <w:t xml:space="preserve">Obligaciones del vendedor (art. 1871 CCEJ)</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Entregar el bien vendido (material, jurídica o virtualmente).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Garantizar las calidades del bien.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Saneamiento para el caso de evicción (art. 1622: responde cuando el comprador es privado del bien por sentencia firme de mejor derecho).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Garantizar posesión útil y pacífica.</w:t>
      </w:r>
    </w:p>
    <w:p>
      <w:pPr>
        <w:pStyle w:val="Heading3"/>
        <w:spacing w:after="80" w:before="240"/>
      </w:pPr>
      <w:r>
        <w:rPr>
          <w:rFonts w:ascii="Calibri" w:cs="Calibri" w:eastAsia="Calibri" w:hAnsi="Calibri"/>
          <w:b/>
          <w:bCs/>
          <w:color w:val="1A2B4A"/>
          <w:sz w:val="24"/>
          <w:szCs w:val="24"/>
        </w:rPr>
        <w:t xml:space="preserve">Vicios redhibitorios (arts. 1646-1665 CCEJ)</w:t>
      </w:r>
    </w:p>
    <w:p>
      <w:pPr>
        <w:spacing w:after="100" w:before="40"/>
        <w:ind/>
        <w:jc w:val="both"/>
      </w:pPr>
      <w:r>
        <w:rPr>
          <w:rFonts w:ascii="Calibri" w:cs="Calibri" w:eastAsia="Calibri" w:hAnsi="Calibri"/>
          <w:b w:val="false"/>
          <w:bCs w:val="false"/>
          <w:i w:val="false"/>
          <w:iCs w:val="false"/>
          <w:color w:val="222222"/>
          <w:sz w:val="22"/>
          <w:szCs w:val="22"/>
        </w:rPr>
        <w:t xml:space="preserve">Son defectos ocultos del bien que lo hacen impropio para el uso al que se destina, o que lo disminuyen de tal modo que si el comprador los hubiera conocido no habría comprado. El comprador puede elegir entre la acción redhibitoria (rescisión) o la acción estimatoria (reducción del precio). Las acciones prescriben a los seis meses para inmuebles y treinta días para muebles desde la entrega (art. 1656 CCEJ).</w:t>
      </w:r>
    </w:p>
    <w:p>
      <w:pPr>
        <w:pStyle w:val="Heading3"/>
        <w:spacing w:after="80" w:before="240"/>
      </w:pPr>
      <w:r>
        <w:rPr>
          <w:rFonts w:ascii="Calibri" w:cs="Calibri" w:eastAsia="Calibri" w:hAnsi="Calibri"/>
          <w:b/>
          <w:bCs/>
          <w:color w:val="1A2B4A"/>
          <w:sz w:val="24"/>
          <w:szCs w:val="24"/>
        </w:rPr>
        <w:t xml:space="preserve">Prohibiciones específicas de comprar (art. 1869 CCEJ)</w:t>
      </w:r>
    </w:p>
    <w:p>
      <w:pPr>
        <w:spacing w:after="100" w:before="40"/>
        <w:ind/>
        <w:jc w:val="both"/>
      </w:pPr>
      <w:r>
        <w:rPr>
          <w:rFonts w:ascii="Calibri" w:cs="Calibri" w:eastAsia="Calibri" w:hAnsi="Calibri"/>
          <w:b w:val="false"/>
          <w:bCs w:val="false"/>
          <w:i w:val="false"/>
          <w:iCs w:val="false"/>
          <w:color w:val="222222"/>
          <w:sz w:val="22"/>
          <w:szCs w:val="22"/>
        </w:rPr>
        <w:t xml:space="preserve">Jalisco prohíbe expresamente: cónyuge al cónyuge salvo bienes exclusivos; jueces y magistrados de bienes en juicios de su jurisdicción; albaceas de los bienes que administran; tutores y curadores de los bienes de su pupilo; notarios de bienes en cuya venta intervinieron. Las compras en contravención son nulas.</w:t>
      </w:r>
    </w:p>
    <w:p>
      <w:pPr>
        <w:pStyle w:val="Heading3"/>
        <w:spacing w:after="80" w:before="240"/>
      </w:pPr>
      <w:r>
        <w:rPr>
          <w:rFonts w:ascii="Calibri" w:cs="Calibri" w:eastAsia="Calibri" w:hAnsi="Calibri"/>
          <w:b/>
          <w:bCs/>
          <w:color w:val="1A2B4A"/>
          <w:sz w:val="24"/>
          <w:szCs w:val="24"/>
        </w:rPr>
        <w:t xml:space="preserve">Qué probar en un juicio de compraventa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Pretensión</w:t>
            </w:r>
          </w:p>
        </w:tc>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Qué debes probar</w:t>
            </w:r>
          </w:p>
        </w:tc>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Prueba principal</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Precio impagado (vendedor demanda)</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Contrato, entrega del bien, falta de pago</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Escritura pública o contrato privado + testigos de entrega + no pago</w:t>
            </w:r>
          </w:p>
        </w:tc>
      </w:tr>
      <w:tr>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No entrega del bien (comprador demanda)</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Contrato, pago del precio, incumplimiento del vendedor</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Contrato + comprobante de pago + intimación previa</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Nulidad por vicio redhibitorio</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Defecto oculto, preexistencia al contrato, su importancia</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Pericial técnica + documentales de quejas previas</w:t>
            </w:r>
          </w:p>
        </w:tc>
      </w:tr>
      <w:tr>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Evicción (el comprador fue privado)</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Sentencia de tercero, enajenación del mismo bien por vendedor</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Copia de sentencia de tercero + escritura de compraventa</w:t>
            </w:r>
          </w:p>
        </w:tc>
      </w:tr>
    </w:tbl>
    <w:p>
      <w:pPr>
        <w:spacing w:after="120" w:before="0"/>
      </w:pPr>
    </w:p>
    <w:p>
      <w:pPr>
        <w:pStyle w:val="Heading2"/>
        <w:spacing w:after="120" w:before="340"/>
      </w:pPr>
      <w:r>
        <w:rPr>
          <w:rFonts w:ascii="Calibri" w:cs="Calibri" w:eastAsia="Calibri" w:hAnsi="Calibri"/>
          <w:b/>
          <w:bCs/>
          <w:color w:val="2E5B9E"/>
          <w:sz w:val="28"/>
          <w:szCs w:val="28"/>
        </w:rPr>
        <w:t xml:space="preserve">4.2 Promesa de contrato y carta intención (arts. 1834-1848 CCEJ)</w:t>
      </w:r>
    </w:p>
    <w:p>
      <w:pPr>
        <w:spacing w:after="100" w:before="40"/>
        <w:ind/>
        <w:jc w:val="both"/>
      </w:pPr>
      <w:r>
        <w:rPr>
          <w:rFonts w:ascii="Calibri" w:cs="Calibri" w:eastAsia="Calibri" w:hAnsi="Calibri"/>
          <w:b w:val="false"/>
          <w:bCs w:val="false"/>
          <w:i w:val="false"/>
          <w:iCs w:val="false"/>
          <w:color w:val="222222"/>
          <w:sz w:val="22"/>
          <w:szCs w:val="22"/>
        </w:rPr>
        <w:t xml:space="preserve">El CCEJ distingue tres figuras precontractuales con efectos jurídicos propios: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Figura</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Artículo</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Requisitos de validez</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Efecto al incumplir</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Promesa de contratar</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1834-1838</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Escrito + elementos esenciales del contrato definitivo + plazo</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El juez firma en rebeldía del promitente; o daños y perjuicios si el bien pasó a tercero de buena fe</w:t>
            </w:r>
          </w:p>
        </w:tc>
      </w:tr>
      <w:tr>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Opción</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1839-1843</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Escrito; para inmuebles: escritura pública</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Caducidad automática al vencer el plazo; si es onerosa no se devuelve el precio</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Carta intención</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1845-1849</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Escrito + plazo de cumplimiento + condición pendiente (autorización administrativa o estudios)</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Caducidad al vencer el plazo; retroactividad al cumplirse la condición</w:t>
            </w:r>
          </w:p>
        </w:tc>
      </w:tr>
    </w:tbl>
    <w:p>
      <w:pPr>
        <w:spacing w:after="8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none"/>
              <w:left w:val="single" w:color="C8962A" w:sz="24"/>
              <w:bottom w:val="none"/>
              <w:right w:val="none"/>
            </w:tcBorders>
            <w:shd w:fill="F2F4F7"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Error frecuente: confundir la promesa de contratar (que obliga a celebrar el contrato definitivo) con el contrato definitivo mismo. Si tu cliente firmó una 'promesa de compraventa' y la contraparte no quiere escriturar, la acción es de cumplimiento de la promesa y el juez puede firmar en rebeldía. No demandes como si fuera la compraventa consumada.</w:t>
            </w:r>
          </w:p>
        </w:tc>
      </w:tr>
    </w:tbl>
    <w:p>
      <w:pPr>
        <w:pStyle w:val="Heading2"/>
        <w:spacing w:after="120" w:before="340"/>
      </w:pPr>
      <w:r>
        <w:rPr>
          <w:rFonts w:ascii="Calibri" w:cs="Calibri" w:eastAsia="Calibri" w:hAnsi="Calibri"/>
          <w:b/>
          <w:bCs/>
          <w:color w:val="2E5B9E"/>
          <w:sz w:val="28"/>
          <w:szCs w:val="28"/>
        </w:rPr>
        <w:t xml:space="preserve">4.3 Arrendamiento (arts. 2050-2140 CCEJ)</w:t>
      </w:r>
    </w:p>
    <w:p>
      <w:pPr>
        <w:spacing w:after="100" w:before="40"/>
        <w:ind/>
        <w:jc w:val="both"/>
      </w:pPr>
      <w:r>
        <w:rPr>
          <w:rFonts w:ascii="Calibri" w:cs="Calibri" w:eastAsia="Calibri" w:hAnsi="Calibri"/>
          <w:b w:val="false"/>
          <w:bCs w:val="false"/>
          <w:i w:val="false"/>
          <w:iCs w:val="false"/>
          <w:color w:val="222222"/>
          <w:sz w:val="22"/>
          <w:szCs w:val="22"/>
        </w:rPr>
        <w:t xml:space="preserve">El arrendamiento en Jalisco tiene una protección especial al arrendatario de inmuebles destinados a habitación, con normas de orden público que no pueden renunciarse. Lo más relevante para el litigante:</w:t>
      </w:r>
    </w:p>
    <w:p>
      <w:pPr>
        <w:pStyle w:val="Heading3"/>
        <w:spacing w:after="80" w:before="240"/>
      </w:pPr>
      <w:r>
        <w:rPr>
          <w:rFonts w:ascii="Calibri" w:cs="Calibri" w:eastAsia="Calibri" w:hAnsi="Calibri"/>
          <w:b/>
          <w:bCs/>
          <w:color w:val="1A2B4A"/>
          <w:sz w:val="24"/>
          <w:szCs w:val="24"/>
        </w:rPr>
        <w:t xml:space="preserve">Elementos esenciales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Consentimiento de arrendador y arrendatario.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bien arrendado (debe existir y estar en el comercio).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Precio o renta (debe ser cierto y determinable).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Plazo (puede ser determinado o indeterminado).</w:t>
      </w:r>
    </w:p>
    <w:p>
      <w:pPr>
        <w:pStyle w:val="Heading3"/>
        <w:spacing w:after="80" w:before="240"/>
      </w:pPr>
      <w:r>
        <w:rPr>
          <w:rFonts w:ascii="Calibri" w:cs="Calibri" w:eastAsia="Calibri" w:hAnsi="Calibri"/>
          <w:b/>
          <w:bCs/>
          <w:color w:val="1A2B4A"/>
          <w:sz w:val="24"/>
          <w:szCs w:val="24"/>
        </w:rPr>
        <w:t xml:space="preserve">Forma</w:t>
      </w:r>
    </w:p>
    <w:p>
      <w:pPr>
        <w:spacing w:after="100" w:before="40"/>
        <w:ind/>
        <w:jc w:val="both"/>
      </w:pPr>
      <w:r>
        <w:rPr>
          <w:rFonts w:ascii="Calibri" w:cs="Calibri" w:eastAsia="Calibri" w:hAnsi="Calibri"/>
          <w:b w:val="false"/>
          <w:bCs w:val="false"/>
          <w:i w:val="false"/>
          <w:iCs w:val="false"/>
          <w:color w:val="222222"/>
          <w:sz w:val="22"/>
          <w:szCs w:val="22"/>
        </w:rPr>
        <w:t xml:space="preserve">El arrendamiento de inmuebles debe constar por escrito. A falta de escrito, la ley presume que rige el precio y las condiciones del arrendamiento anterior, pero el locador puede dar por terminado el contrato con un aviso previo (art. 2060 CCEJ).</w:t>
      </w:r>
    </w:p>
    <w:p>
      <w:pPr>
        <w:pStyle w:val="Heading3"/>
        <w:spacing w:after="80" w:before="240"/>
      </w:pPr>
      <w:r>
        <w:rPr>
          <w:rFonts w:ascii="Calibri" w:cs="Calibri" w:eastAsia="Calibri" w:hAnsi="Calibri"/>
          <w:b/>
          <w:bCs/>
          <w:color w:val="1A2B4A"/>
          <w:sz w:val="24"/>
          <w:szCs w:val="24"/>
        </w:rPr>
        <w:t xml:space="preserve">Acciones más frecuentes en arrendamiento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Rescisión por falta de pago de rentas: el arrendador puede rescindirlo cuando el arrendatario no paga la renta en el plazo convenido. Art. 1792 CCEJ: excepción de solvencia si el demandado paga antes de sentencia, el juez sobresee. Esto es de orden público e irrenunciable.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Lanzamiento (desocupación forzosa): procede la vía sumaria de lanzamiento cuando venció el contrato o se rescindió. Se tramita ante el juez de lo civil competente por cuantía.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Cobro de rentas vencidas: acción de pago en la vía ordinaria o ejecutiva según el título que tenga el arrendador.</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Acción de daños contra el arrendatario: si devolvió el inmueble en mal estado o realizó modificaciones sin autorización.</w:t>
      </w:r>
    </w:p>
    <w:p>
      <w:pPr>
        <w:pStyle w:val="Heading3"/>
        <w:spacing w:after="80" w:before="240"/>
      </w:pPr>
      <w:r>
        <w:rPr>
          <w:rFonts w:ascii="Calibri" w:cs="Calibri" w:eastAsia="Calibri" w:hAnsi="Calibri"/>
          <w:b/>
          <w:bCs/>
          <w:color w:val="1A2B4A"/>
          <w:sz w:val="24"/>
          <w:szCs w:val="24"/>
        </w:rPr>
        <w:t xml:space="preserve">Depósito en garantía</w:t>
      </w:r>
    </w:p>
    <w:p>
      <w:pPr>
        <w:spacing w:after="100" w:before="40"/>
        <w:ind/>
        <w:jc w:val="both"/>
      </w:pPr>
      <w:r>
        <w:rPr>
          <w:rFonts w:ascii="Calibri" w:cs="Calibri" w:eastAsia="Calibri" w:hAnsi="Calibri"/>
          <w:b w:val="false"/>
          <w:bCs w:val="false"/>
          <w:i w:val="false"/>
          <w:iCs w:val="false"/>
          <w:color w:val="222222"/>
          <w:sz w:val="22"/>
          <w:szCs w:val="22"/>
        </w:rPr>
        <w:t xml:space="preserve">El depósito convencional que se exige al inicio del arrendamiento debe restituirse al terminarlo si no hubo daños. Si el arrendador no lo devuelve sin causa, el arrendatario puede demandar su devolución con intereses. Documenta siempre el estado del inmueble al inicio con acta fotográfica o notarial.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none"/>
              <w:left w:val="single" w:color="2E5B9E" w:sz="24"/>
              <w:bottom w:val="none"/>
              <w:right w:val="none"/>
            </w:tcBorders>
            <w:shd w:fill="F2F4F7"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El art. 1792 CCEJ establece que si la única causa de rescisión es falta de pago y el demandado exhibe el importe reclamado antes de sentencia, el juez debe sobreseer. Esto impide que el arrendador use el juicio como herramienta de desalojo sin dar oportunidad al arrendatario de ponerse al corriente. Conoce esta norma porque la contraparte la usará.</w:t>
            </w:r>
          </w:p>
        </w:tc>
      </w:tr>
    </w:tbl>
    <w:p>
      <w:pPr>
        <w:pStyle w:val="Heading2"/>
        <w:spacing w:after="120" w:before="340"/>
      </w:pPr>
      <w:r>
        <w:rPr>
          <w:rFonts w:ascii="Calibri" w:cs="Calibri" w:eastAsia="Calibri" w:hAnsi="Calibri"/>
          <w:b/>
          <w:bCs/>
          <w:color w:val="2E5B9E"/>
          <w:sz w:val="28"/>
          <w:szCs w:val="28"/>
        </w:rPr>
        <w:t xml:space="preserve">4.4 Mutuo (arts. 2142-2165 CCEJ)</w:t>
      </w:r>
    </w:p>
    <w:p>
      <w:pPr>
        <w:spacing w:after="100" w:before="40"/>
        <w:ind/>
        <w:jc w:val="both"/>
      </w:pPr>
      <w:r>
        <w:rPr>
          <w:rFonts w:ascii="Calibri" w:cs="Calibri" w:eastAsia="Calibri" w:hAnsi="Calibri"/>
          <w:b w:val="false"/>
          <w:bCs w:val="false"/>
          <w:i w:val="false"/>
          <w:iCs w:val="false"/>
          <w:color w:val="222222"/>
          <w:sz w:val="22"/>
          <w:szCs w:val="22"/>
        </w:rPr>
        <w:t xml:space="preserve">El mutuo es el préstamo de bienes fungibles (especialmente dinero) con obligación de devolver otro tanto de la misma especie, calidad y cantidad. En la práctica el mutuo con interés —préstamo de dinero con tasa pactada— es uno de los litigios más frecuentes.</w:t>
      </w:r>
    </w:p>
    <w:p>
      <w:pPr>
        <w:pStyle w:val="Heading3"/>
        <w:spacing w:after="80" w:before="240"/>
      </w:pPr>
      <w:r>
        <w:rPr>
          <w:rFonts w:ascii="Calibri" w:cs="Calibri" w:eastAsia="Calibri" w:hAnsi="Calibri"/>
          <w:b/>
          <w:bCs/>
          <w:color w:val="1A2B4A"/>
          <w:sz w:val="24"/>
          <w:szCs w:val="24"/>
        </w:rPr>
        <w:t xml:space="preserve">Reglas clave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mutuo gratuito se presume a falta de pacto expreso de intereses (art. 2148 CCEJ).</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Los intereses deben pactarse expresamente por escrito.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Si se pactaron intereses pero no la tasa, se aplica el interés legal (actualmente 9% anual, equivalente a lo que establezca el Código de Comercio para tasas civiles — verifica actualización).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mutuatario puede anticipar el pago, pero si hay plazo en beneficio del mutuante, debe respetarlo.</w:t>
      </w:r>
    </w:p>
    <w:p>
      <w:pPr>
        <w:pStyle w:val="Heading3"/>
        <w:spacing w:after="80" w:before="240"/>
      </w:pPr>
      <w:r>
        <w:rPr>
          <w:rFonts w:ascii="Calibri" w:cs="Calibri" w:eastAsia="Calibri" w:hAnsi="Calibri"/>
          <w:b/>
          <w:bCs/>
          <w:color w:val="1A2B4A"/>
          <w:sz w:val="24"/>
          <w:szCs w:val="24"/>
        </w:rPr>
        <w:t xml:space="preserve">Prueba en juicios de mutuo</w:t>
      </w:r>
    </w:p>
    <w:p>
      <w:pPr>
        <w:spacing w:after="100" w:before="40"/>
        <w:ind/>
        <w:jc w:val="both"/>
      </w:pPr>
      <w:r>
        <w:rPr>
          <w:rFonts w:ascii="Calibri" w:cs="Calibri" w:eastAsia="Calibri" w:hAnsi="Calibri"/>
          <w:b w:val="false"/>
          <w:bCs w:val="false"/>
          <w:i w:val="false"/>
          <w:iCs w:val="false"/>
          <w:color w:val="222222"/>
          <w:sz w:val="22"/>
          <w:szCs w:val="22"/>
        </w:rPr>
        <w:t xml:space="preserve">La existencia del préstamo: lo ideal es un contrato escrito. A falta de éste, puede acreditarse con transferencias bancarias, testigos, reconocimiento judicial. Sin embargo, en Jalisco el art. 2150 CCEJ establece que si el mutuo supera el equivalente a 400 UMA diarias, debe constar por escrito. Sin escrito no puede probarse con testigos.</w:t>
      </w:r>
    </w:p>
    <w:p>
      <w:pPr>
        <w:pStyle w:val="Heading2"/>
        <w:spacing w:after="120" w:before="340"/>
      </w:pPr>
      <w:r>
        <w:rPr>
          <w:rFonts w:ascii="Calibri" w:cs="Calibri" w:eastAsia="Calibri" w:hAnsi="Calibri"/>
          <w:b/>
          <w:bCs/>
          <w:color w:val="2E5B9E"/>
          <w:sz w:val="28"/>
          <w:szCs w:val="28"/>
        </w:rPr>
        <w:t xml:space="preserve">4.5 Mandato y poder (arts. 2197-2253 CCEJ)</w:t>
      </w:r>
    </w:p>
    <w:p>
      <w:pPr>
        <w:spacing w:after="100" w:before="40"/>
        <w:ind/>
        <w:jc w:val="both"/>
      </w:pPr>
      <w:r>
        <w:rPr>
          <w:rFonts w:ascii="Calibri" w:cs="Calibri" w:eastAsia="Calibri" w:hAnsi="Calibri"/>
          <w:b w:val="false"/>
          <w:bCs w:val="false"/>
          <w:i w:val="false"/>
          <w:iCs w:val="false"/>
          <w:color w:val="222222"/>
          <w:sz w:val="22"/>
          <w:szCs w:val="22"/>
        </w:rPr>
        <w:t xml:space="preserve">El mandato es un contrato por el que el mandante otorga al mandatario la facultad de realizar un acto jurídico en su nombre (art. 2197 CCEJ). Para el litigante, el mandato es relevante tanto como objeto de litigio como como herramienta procesal (poder para pleitos y cobranzas).</w:t>
      </w:r>
    </w:p>
    <w:p>
      <w:pPr>
        <w:pStyle w:val="Heading3"/>
        <w:spacing w:after="80" w:before="240"/>
      </w:pPr>
      <w:r>
        <w:rPr>
          <w:rFonts w:ascii="Calibri" w:cs="Calibri" w:eastAsia="Calibri" w:hAnsi="Calibri"/>
          <w:b/>
          <w:bCs/>
          <w:color w:val="1A2B4A"/>
          <w:sz w:val="24"/>
          <w:szCs w:val="24"/>
        </w:rPr>
        <w:t xml:space="preserve">Forma del mandato (art. 2204 CCEJ)</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Tipo</w:t>
            </w:r>
          </w:p>
        </w:tc>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Forma requerida</w:t>
            </w:r>
          </w:p>
        </w:tc>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Cuándo aplica</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General / escritura pública</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Escritura pública ante notario</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Poder general judicial; actos sobre inmuebles; valor &gt; 300 UMA</w:t>
            </w:r>
          </w:p>
        </w:tc>
      </w:tr>
      <w:tr>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Privado con ratificación</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Escrito privado, 2 testigos, firmas ratificadas</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Negocios específicos de menor cuantía</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Privado sin ratificación</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Escrito privado simple</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Casos de menor relevancia no comprendidos en los anteriores</w:t>
            </w:r>
          </w:p>
        </w:tc>
      </w:tr>
    </w:tbl>
    <w:p>
      <w:pPr>
        <w:spacing w:after="80" w:before="0"/>
      </w:pPr>
    </w:p>
    <w:p>
      <w:pPr>
        <w:pStyle w:val="Heading3"/>
        <w:spacing w:after="80" w:before="240"/>
      </w:pPr>
      <w:r>
        <w:rPr>
          <w:rFonts w:ascii="Calibri" w:cs="Calibri" w:eastAsia="Calibri" w:hAnsi="Calibri"/>
          <w:b/>
          <w:bCs/>
          <w:color w:val="1A2B4A"/>
          <w:sz w:val="24"/>
          <w:szCs w:val="24"/>
        </w:rPr>
        <w:t xml:space="preserve">Prohibiciones del mandatario (arts. 1869 fr. V y 2238 CCEJ)</w:t>
      </w:r>
    </w:p>
    <w:p>
      <w:pPr>
        <w:spacing w:after="100" w:before="40"/>
        <w:ind/>
        <w:jc w:val="both"/>
      </w:pPr>
      <w:r>
        <w:rPr>
          <w:rFonts w:ascii="Calibri" w:cs="Calibri" w:eastAsia="Calibri" w:hAnsi="Calibri"/>
          <w:b w:val="false"/>
          <w:bCs w:val="false"/>
          <w:i w:val="false"/>
          <w:iCs w:val="false"/>
          <w:color w:val="222222"/>
          <w:sz w:val="22"/>
          <w:szCs w:val="22"/>
        </w:rPr>
        <w:t xml:space="preserve">El mandatario no puede comprar los bienes cuya venta administra. El abogado que acepta el mandato de una parte no puede, en el mismo juicio, aceptar el de la contraria aunque renuncie al primero. Violar esto genera responsabilidad civil y disciplinaria.</w:t>
      </w:r>
    </w:p>
    <w:p>
      <w:pPr>
        <w:pStyle w:val="Heading3"/>
        <w:spacing w:after="80" w:before="240"/>
      </w:pPr>
      <w:r>
        <w:rPr>
          <w:rFonts w:ascii="Calibri" w:cs="Calibri" w:eastAsia="Calibri" w:hAnsi="Calibri"/>
          <w:b/>
          <w:bCs/>
          <w:color w:val="1A2B4A"/>
          <w:sz w:val="24"/>
          <w:szCs w:val="24"/>
        </w:rPr>
        <w:t xml:space="preserve">Terminación del mandato (art. 2243 CCEJ)</w:t>
      </w:r>
    </w:p>
    <w:p>
      <w:pPr>
        <w:spacing w:after="100" w:before="40"/>
        <w:ind/>
        <w:jc w:val="both"/>
      </w:pPr>
      <w:r>
        <w:rPr>
          <w:rFonts w:ascii="Calibri" w:cs="Calibri" w:eastAsia="Calibri" w:hAnsi="Calibri"/>
          <w:b w:val="false"/>
          <w:bCs w:val="false"/>
          <w:i w:val="false"/>
          <w:iCs w:val="false"/>
          <w:color w:val="222222"/>
          <w:sz w:val="22"/>
          <w:szCs w:val="22"/>
        </w:rPr>
        <w:t xml:space="preserve">El mandato termina por revocación, renuncia, muerte o interdicción de cualquiera de las partes, vencimiento del plazo o conclusión del negocio. La revocación es libre en todo tiempo, pero si se hace en tiempo inoportuno, genera obligación de indemnizar daños y perjuicios a quien la sufre (art. 2244 CCEJ).</w:t>
      </w:r>
    </w:p>
    <w:p>
      <w:pPr>
        <w:pStyle w:val="Heading2"/>
        <w:spacing w:after="120" w:before="340"/>
      </w:pPr>
      <w:r>
        <w:rPr>
          <w:rFonts w:ascii="Calibri" w:cs="Calibri" w:eastAsia="Calibri" w:hAnsi="Calibri"/>
          <w:b/>
          <w:bCs/>
          <w:color w:val="2E5B9E"/>
          <w:sz w:val="28"/>
          <w:szCs w:val="28"/>
        </w:rPr>
        <w:t xml:space="preserve">4.6 Prestación de servicios profesionales (arts. 2254-2286 CCEJ)</w:t>
      </w:r>
    </w:p>
    <w:p>
      <w:pPr>
        <w:spacing w:after="100" w:before="40"/>
        <w:ind/>
        <w:jc w:val="both"/>
      </w:pPr>
      <w:r>
        <w:rPr>
          <w:rFonts w:ascii="Calibri" w:cs="Calibri" w:eastAsia="Calibri" w:hAnsi="Calibri"/>
          <w:b w:val="false"/>
          <w:bCs w:val="false"/>
          <w:i w:val="false"/>
          <w:iCs w:val="false"/>
          <w:color w:val="222222"/>
          <w:sz w:val="22"/>
          <w:szCs w:val="22"/>
        </w:rPr>
        <w:t xml:space="preserve">El CCEJ regula específicamente el contrato de prestación de servicios técnicos o profesionales en los arts. 2254 ss. Esto incluye los servicios de abogados, médicos, ingenieros y otros profesionistas. Destaco lo más relevante: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honorario puede ser cubierto por el receptor del servicio o por un tercero (art. 2255).</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prestador es responsable de negligencia, impericia o dolo propios o de sus dependientes (art. 2261).</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Si el contrato es de iguala (retribución periódica), el prestador debe dar aviso con un mes de anticipación para darlo por concluido; el cliente con tres meses (art. 2258-2260 CCEJ), so pena de indemnización equivalente a los honorarios del período correspondiente.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Los honorarios de abogados y otros profesionistas se fijan por convenio; a falta de éste, por el arancel del colegio respectivo o por estimación judicial (art. 2278 CCEJ).</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none"/>
              <w:left w:val="single" w:color="C8962A" w:sz="24"/>
              <w:bottom w:val="none"/>
              <w:right w:val="none"/>
            </w:tcBorders>
            <w:shd w:fill="F2F4F7"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El contrato de honorarios por escrito no es un capricho del abogado — es su título ejecutivo. Redáctalo siempre. Si tu cliente no paga, lo cobras. Si te demandan por mala práctica, delimita el alcance de lo que te comprometiste a hacer.</w:t>
            </w:r>
          </w:p>
        </w:tc>
      </w:tr>
    </w:tbl>
    <w:p>
      <w:pPr>
        <w:pStyle w:val="Heading2"/>
        <w:spacing w:after="120" w:before="340"/>
      </w:pPr>
      <w:r>
        <w:rPr>
          <w:rFonts w:ascii="Calibri" w:cs="Calibri" w:eastAsia="Calibri" w:hAnsi="Calibri"/>
          <w:b/>
          <w:bCs/>
          <w:color w:val="2E5B9E"/>
          <w:sz w:val="28"/>
          <w:szCs w:val="28"/>
        </w:rPr>
        <w:t xml:space="preserve">4.7 Hipoteca (arts. 2310-2428 CCEJ)</w:t>
      </w:r>
    </w:p>
    <w:p>
      <w:pPr>
        <w:spacing w:after="100" w:before="40"/>
        <w:ind/>
        <w:jc w:val="both"/>
      </w:pPr>
      <w:r>
        <w:rPr>
          <w:rFonts w:ascii="Calibri" w:cs="Calibri" w:eastAsia="Calibri" w:hAnsi="Calibri"/>
          <w:b w:val="false"/>
          <w:bCs w:val="false"/>
          <w:i w:val="false"/>
          <w:iCs w:val="false"/>
          <w:color w:val="222222"/>
          <w:sz w:val="22"/>
          <w:szCs w:val="22"/>
        </w:rPr>
        <w:t xml:space="preserve">La hipoteca es el derecho real de garantía que grava un inmueble o determinados bienes no desplazables, para asegurar el cumplimiento de una obligación y su preferencia en el pago (art. 2310 CCEJ).</w:t>
      </w:r>
    </w:p>
    <w:p>
      <w:pPr>
        <w:pStyle w:val="Heading3"/>
        <w:spacing w:after="80" w:before="240"/>
      </w:pPr>
      <w:r>
        <w:rPr>
          <w:rFonts w:ascii="Calibri" w:cs="Calibri" w:eastAsia="Calibri" w:hAnsi="Calibri"/>
          <w:b/>
          <w:bCs/>
          <w:color w:val="1A2B4A"/>
          <w:sz w:val="24"/>
          <w:szCs w:val="24"/>
        </w:rPr>
        <w:t xml:space="preserve">Requisitos de validez</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Debe constar en escritura pública.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Debe inscribirse en el Registro Público de la Propiedad para tener efectos contra terceros.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Solo pueden hipotecar quienes tienen facultad para enajenar.</w:t>
      </w:r>
    </w:p>
    <w:p>
      <w:pPr>
        <w:pStyle w:val="Heading3"/>
        <w:spacing w:after="80" w:before="240"/>
      </w:pPr>
      <w:r>
        <w:rPr>
          <w:rFonts w:ascii="Calibri" w:cs="Calibri" w:eastAsia="Calibri" w:hAnsi="Calibri"/>
          <w:b/>
          <w:bCs/>
          <w:color w:val="1A2B4A"/>
          <w:sz w:val="24"/>
          <w:szCs w:val="24"/>
        </w:rPr>
        <w:t xml:space="preserve">Ejecución hipotecaria</w:t>
      </w:r>
    </w:p>
    <w:p>
      <w:pPr>
        <w:spacing w:after="100" w:before="40"/>
        <w:ind/>
        <w:jc w:val="both"/>
      </w:pPr>
      <w:r>
        <w:rPr>
          <w:rFonts w:ascii="Calibri" w:cs="Calibri" w:eastAsia="Calibri" w:hAnsi="Calibri"/>
          <w:b w:val="false"/>
          <w:bCs w:val="false"/>
          <w:i w:val="false"/>
          <w:iCs w:val="false"/>
          <w:color w:val="222222"/>
          <w:sz w:val="22"/>
          <w:szCs w:val="22"/>
        </w:rPr>
        <w:t xml:space="preserve">Cuando el deudor incumple, el acreedor hipotecario puede ejecutar la hipoteca mediante el juicio especial hipotecario (art. 406 ss. CPCEJ). En este juicio, el acreedor puede pedir la venta en subasta del inmueble hipotecado para pagarse con el producto. Es un juicio más expedito que el ordinario porque la discusión está limitada a si la deuda existe y si la hipoteca es válida.</w:t>
      </w:r>
    </w:p>
    <w:p>
      <w:pPr>
        <w:pStyle w:val="Heading3"/>
        <w:spacing w:after="80" w:before="240"/>
      </w:pPr>
      <w:r>
        <w:rPr>
          <w:rFonts w:ascii="Calibri" w:cs="Calibri" w:eastAsia="Calibri" w:hAnsi="Calibri"/>
          <w:b/>
          <w:bCs/>
          <w:color w:val="1A2B4A"/>
          <w:sz w:val="24"/>
          <w:szCs w:val="24"/>
        </w:rPr>
        <w:t xml:space="preserve">Prelación del crédito hipotecario</w:t>
      </w:r>
    </w:p>
    <w:p>
      <w:pPr>
        <w:spacing w:after="100" w:before="40"/>
        <w:ind/>
        <w:jc w:val="both"/>
      </w:pPr>
      <w:r>
        <w:rPr>
          <w:rFonts w:ascii="Calibri" w:cs="Calibri" w:eastAsia="Calibri" w:hAnsi="Calibri"/>
          <w:b w:val="false"/>
          <w:bCs w:val="false"/>
          <w:i w:val="false"/>
          <w:iCs w:val="false"/>
          <w:color w:val="222222"/>
          <w:sz w:val="22"/>
          <w:szCs w:val="22"/>
        </w:rPr>
        <w:t xml:space="preserve">El crédito hipotecario tiene preferencia frente a acreedores quirografarios (sin garantía real). Si hay varias hipotecas sobre el mismo bien, la prelación se determina por la fecha de inscripción registral (la primera inscrita, primero pagada).</w:t>
      </w:r>
    </w:p>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5. NULIDAD E INEFICACIA DE LOS ACTOS JURÍDICOS</w:t>
      </w:r>
    </w:p>
    <w:p>
      <w:pPr>
        <w:pStyle w:val="Heading2"/>
        <w:spacing w:after="120" w:before="340"/>
      </w:pPr>
      <w:r>
        <w:rPr>
          <w:rFonts w:ascii="Calibri" w:cs="Calibri" w:eastAsia="Calibri" w:hAnsi="Calibri"/>
          <w:b/>
          <w:bCs/>
          <w:color w:val="2E5B9E"/>
          <w:sz w:val="28"/>
          <w:szCs w:val="28"/>
        </w:rPr>
        <w:t xml:space="preserve">5.1 Mapa conceptual de la ineficacia en Jalisco</w:t>
      </w:r>
    </w:p>
    <w:p>
      <w:pPr>
        <w:spacing w:after="100" w:before="40"/>
        <w:ind/>
        <w:jc w:val="both"/>
      </w:pPr>
      <w:r>
        <w:rPr>
          <w:rFonts w:ascii="Calibri" w:cs="Calibri" w:eastAsia="Calibri" w:hAnsi="Calibri"/>
          <w:b w:val="false"/>
          <w:bCs w:val="false"/>
          <w:i w:val="false"/>
          <w:iCs w:val="false"/>
          <w:color w:val="222222"/>
          <w:sz w:val="22"/>
          <w:szCs w:val="22"/>
        </w:rPr>
        <w:t xml:space="preserve">El CCEJ de Jalisco distingue con precisión poco común en otros códigos mexicanos entre distintas formas de ineficacia del acto jurídico. Dominar esta tipología es esencial porque cada figura tiene distintos legitimados para invocarla, distintos efectos y distintos plazos de prescripción.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6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Figura</w:t>
            </w:r>
          </w:p>
        </w:tc>
        <w:tc>
          <w:tcPr>
            <w:tcW w:type="dxa" w:w="156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Artículo</w:t>
            </w:r>
          </w:p>
        </w:tc>
        <w:tc>
          <w:tcPr>
            <w:tcW w:type="dxa" w:w="156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Causa</w:t>
            </w:r>
          </w:p>
        </w:tc>
        <w:tc>
          <w:tcPr>
            <w:tcW w:type="dxa" w:w="156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Quién la invoca</w:t>
            </w:r>
          </w:p>
        </w:tc>
        <w:tc>
          <w:tcPr>
            <w:tcW w:type="dxa" w:w="156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Efectos</w:t>
            </w:r>
          </w:p>
        </w:tc>
        <w:tc>
          <w:tcPr>
            <w:tcW w:type="dxa" w:w="156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Prescripción</w:t>
            </w:r>
          </w:p>
        </w:tc>
      </w:tr>
      <w:tr>
        <w:tc>
          <w:tcPr>
            <w:tcW w:type="dxa" w:w="1560"/>
            <w:shd w:fill="FFFFFF" w:val="clear"/>
            <w:tcMar>
              <w:top w:type="dxa" w:w="60"/>
              <w:left w:type="dxa" w:w="100"/>
              <w:bottom w:type="dxa" w:w="60"/>
              <w:right w:type="dxa" w:w="100"/>
            </w:tcMar>
          </w:tcPr>
          <w:p>
            <w:r>
              <w:rPr>
                <w:rFonts w:ascii="Calibri" w:cs="Calibri" w:eastAsia="Calibri" w:hAnsi="Calibri"/>
                <w:color w:val="222222"/>
                <w:sz w:val="20"/>
                <w:szCs w:val="20"/>
              </w:rPr>
              <w:t xml:space="preserve">Nulidad absoluta</w:t>
            </w:r>
          </w:p>
        </w:tc>
        <w:tc>
          <w:tcPr>
            <w:tcW w:type="dxa" w:w="1560"/>
            <w:shd w:fill="FFFFFF" w:val="clear"/>
            <w:tcMar>
              <w:top w:type="dxa" w:w="60"/>
              <w:left w:type="dxa" w:w="100"/>
              <w:bottom w:type="dxa" w:w="60"/>
              <w:right w:type="dxa" w:w="100"/>
            </w:tcMar>
          </w:tcPr>
          <w:p>
            <w:r>
              <w:rPr>
                <w:rFonts w:ascii="Calibri" w:cs="Calibri" w:eastAsia="Calibri" w:hAnsi="Calibri"/>
                <w:color w:val="222222"/>
                <w:sz w:val="20"/>
                <w:szCs w:val="20"/>
              </w:rPr>
              <w:t xml:space="preserve">1760-1763</w:t>
            </w:r>
          </w:p>
        </w:tc>
        <w:tc>
          <w:tcPr>
            <w:tcW w:type="dxa" w:w="1560"/>
            <w:shd w:fill="FFFFFF" w:val="clear"/>
            <w:tcMar>
              <w:top w:type="dxa" w:w="60"/>
              <w:left w:type="dxa" w:w="100"/>
              <w:bottom w:type="dxa" w:w="60"/>
              <w:right w:type="dxa" w:w="100"/>
            </w:tcMar>
          </w:tcPr>
          <w:p>
            <w:r>
              <w:rPr>
                <w:rFonts w:ascii="Calibri" w:cs="Calibri" w:eastAsia="Calibri" w:hAnsi="Calibri"/>
                <w:color w:val="222222"/>
                <w:sz w:val="20"/>
                <w:szCs w:val="20"/>
              </w:rPr>
              <w:t xml:space="preserve">Falta de consentimiento, objeto, solemnidades; incapacidad de goce; ilicitud de orden público</w:t>
            </w:r>
          </w:p>
        </w:tc>
        <w:tc>
          <w:tcPr>
            <w:tcW w:type="dxa" w:w="1560"/>
            <w:shd w:fill="FFFFFF" w:val="clear"/>
            <w:tcMar>
              <w:top w:type="dxa" w:w="60"/>
              <w:left w:type="dxa" w:w="100"/>
              <w:bottom w:type="dxa" w:w="60"/>
              <w:right w:type="dxa" w:w="100"/>
            </w:tcMar>
          </w:tcPr>
          <w:p>
            <w:r>
              <w:rPr>
                <w:rFonts w:ascii="Calibri" w:cs="Calibri" w:eastAsia="Calibri" w:hAnsi="Calibri"/>
                <w:color w:val="222222"/>
                <w:sz w:val="20"/>
                <w:szCs w:val="20"/>
              </w:rPr>
              <w:t xml:space="preserve">Cualquier afectado; puede decretarse de oficio</w:t>
            </w:r>
          </w:p>
        </w:tc>
        <w:tc>
          <w:tcPr>
            <w:tcW w:type="dxa" w:w="1560"/>
            <w:shd w:fill="FFFFFF" w:val="clear"/>
            <w:tcMar>
              <w:top w:type="dxa" w:w="60"/>
              <w:left w:type="dxa" w:w="100"/>
              <w:bottom w:type="dxa" w:w="60"/>
              <w:right w:type="dxa" w:w="100"/>
            </w:tcMar>
          </w:tcPr>
          <w:p>
            <w:r>
              <w:rPr>
                <w:rFonts w:ascii="Calibri" w:cs="Calibri" w:eastAsia="Calibri" w:hAnsi="Calibri"/>
                <w:color w:val="222222"/>
                <w:sz w:val="20"/>
                <w:szCs w:val="20"/>
              </w:rPr>
              <w:t xml:space="preserve">Efectos provisionales destruidos retroactivamente; no confirma­ble ni prescriptible</w:t>
            </w:r>
          </w:p>
        </w:tc>
        <w:tc>
          <w:tcPr>
            <w:tcW w:type="dxa" w:w="1560"/>
            <w:shd w:fill="FFFFFF" w:val="clear"/>
            <w:tcMar>
              <w:top w:type="dxa" w:w="60"/>
              <w:left w:type="dxa" w:w="100"/>
              <w:bottom w:type="dxa" w:w="60"/>
              <w:right w:type="dxa" w:w="100"/>
            </w:tcMar>
          </w:tcPr>
          <w:p>
            <w:r>
              <w:rPr>
                <w:rFonts w:ascii="Calibri" w:cs="Calibri" w:eastAsia="Calibri" w:hAnsi="Calibri"/>
                <w:color w:val="222222"/>
                <w:sz w:val="20"/>
                <w:szCs w:val="20"/>
              </w:rPr>
              <w:t xml:space="preserve">No prescribe</w:t>
            </w:r>
          </w:p>
        </w:tc>
      </w:tr>
      <w:tr>
        <w:tc>
          <w:tcPr>
            <w:tcW w:type="dxa" w:w="1560"/>
            <w:shd w:fill="F2F4F7" w:val="clear"/>
            <w:tcMar>
              <w:top w:type="dxa" w:w="60"/>
              <w:left w:type="dxa" w:w="100"/>
              <w:bottom w:type="dxa" w:w="60"/>
              <w:right w:type="dxa" w:w="100"/>
            </w:tcMar>
          </w:tcPr>
          <w:p>
            <w:r>
              <w:rPr>
                <w:rFonts w:ascii="Calibri" w:cs="Calibri" w:eastAsia="Calibri" w:hAnsi="Calibri"/>
                <w:color w:val="222222"/>
                <w:sz w:val="20"/>
                <w:szCs w:val="20"/>
              </w:rPr>
              <w:t xml:space="preserve">Nulidad relativa</w:t>
            </w:r>
          </w:p>
        </w:tc>
        <w:tc>
          <w:tcPr>
            <w:tcW w:type="dxa" w:w="1560"/>
            <w:shd w:fill="F2F4F7" w:val="clear"/>
            <w:tcMar>
              <w:top w:type="dxa" w:w="60"/>
              <w:left w:type="dxa" w:w="100"/>
              <w:bottom w:type="dxa" w:w="60"/>
              <w:right w:type="dxa" w:w="100"/>
            </w:tcMar>
          </w:tcPr>
          <w:p>
            <w:r>
              <w:rPr>
                <w:rFonts w:ascii="Calibri" w:cs="Calibri" w:eastAsia="Calibri" w:hAnsi="Calibri"/>
                <w:color w:val="222222"/>
                <w:sz w:val="20"/>
                <w:szCs w:val="20"/>
              </w:rPr>
              <w:t xml:space="preserve">1764-1779</w:t>
            </w:r>
          </w:p>
        </w:tc>
        <w:tc>
          <w:tcPr>
            <w:tcW w:type="dxa" w:w="1560"/>
            <w:shd w:fill="F2F4F7" w:val="clear"/>
            <w:tcMar>
              <w:top w:type="dxa" w:w="60"/>
              <w:left w:type="dxa" w:w="100"/>
              <w:bottom w:type="dxa" w:w="60"/>
              <w:right w:type="dxa" w:w="100"/>
            </w:tcMar>
          </w:tcPr>
          <w:p>
            <w:r>
              <w:rPr>
                <w:rFonts w:ascii="Calibri" w:cs="Calibri" w:eastAsia="Calibri" w:hAnsi="Calibri"/>
                <w:color w:val="222222"/>
                <w:sz w:val="20"/>
                <w:szCs w:val="20"/>
              </w:rPr>
              <w:t xml:space="preserve">Error, dolo, violencia, lesión, reticencia, incapacidad de ejercicio, falta de forma ordinaria</w:t>
            </w:r>
          </w:p>
        </w:tc>
        <w:tc>
          <w:tcPr>
            <w:tcW w:type="dxa" w:w="1560"/>
            <w:shd w:fill="F2F4F7" w:val="clear"/>
            <w:tcMar>
              <w:top w:type="dxa" w:w="60"/>
              <w:left w:type="dxa" w:w="100"/>
              <w:bottom w:type="dxa" w:w="60"/>
              <w:right w:type="dxa" w:w="100"/>
            </w:tcMar>
          </w:tcPr>
          <w:p>
            <w:r>
              <w:rPr>
                <w:rFonts w:ascii="Calibri" w:cs="Calibri" w:eastAsia="Calibri" w:hAnsi="Calibri"/>
                <w:color w:val="222222"/>
                <w:sz w:val="20"/>
                <w:szCs w:val="20"/>
              </w:rPr>
              <w:t xml:space="preserve">Solo el perjudicado o su representante</w:t>
            </w:r>
          </w:p>
        </w:tc>
        <w:tc>
          <w:tcPr>
            <w:tcW w:type="dxa" w:w="1560"/>
            <w:shd w:fill="F2F4F7" w:val="clear"/>
            <w:tcMar>
              <w:top w:type="dxa" w:w="60"/>
              <w:left w:type="dxa" w:w="100"/>
              <w:bottom w:type="dxa" w:w="60"/>
              <w:right w:type="dxa" w:w="100"/>
            </w:tcMar>
          </w:tcPr>
          <w:p>
            <w:r>
              <w:rPr>
                <w:rFonts w:ascii="Calibri" w:cs="Calibri" w:eastAsia="Calibri" w:hAnsi="Calibri"/>
                <w:color w:val="222222"/>
                <w:sz w:val="20"/>
                <w:szCs w:val="20"/>
              </w:rPr>
              <w:t xml:space="preserve">Efectos definitivos si se confirma; se destruyen retroactiv. si se anula</w:t>
            </w:r>
          </w:p>
        </w:tc>
        <w:tc>
          <w:tcPr>
            <w:tcW w:type="dxa" w:w="1560"/>
            <w:shd w:fill="F2F4F7" w:val="clear"/>
            <w:tcMar>
              <w:top w:type="dxa" w:w="60"/>
              <w:left w:type="dxa" w:w="100"/>
              <w:bottom w:type="dxa" w:w="60"/>
              <w:right w:type="dxa" w:w="100"/>
            </w:tcMar>
          </w:tcPr>
          <w:p>
            <w:r>
              <w:rPr>
                <w:rFonts w:ascii="Calibri" w:cs="Calibri" w:eastAsia="Calibri" w:hAnsi="Calibri"/>
                <w:color w:val="222222"/>
                <w:sz w:val="20"/>
                <w:szCs w:val="20"/>
              </w:rPr>
              <w:t xml:space="preserve">Por incapacidad/error: plazos del art. 53; violencia: 6 meses</w:t>
            </w:r>
          </w:p>
        </w:tc>
      </w:tr>
      <w:tr>
        <w:tc>
          <w:tcPr>
            <w:tcW w:type="dxa" w:w="1560"/>
            <w:shd w:fill="FFFFFF" w:val="clear"/>
            <w:tcMar>
              <w:top w:type="dxa" w:w="60"/>
              <w:left w:type="dxa" w:w="100"/>
              <w:bottom w:type="dxa" w:w="60"/>
              <w:right w:type="dxa" w:w="100"/>
            </w:tcMar>
          </w:tcPr>
          <w:p>
            <w:r>
              <w:rPr>
                <w:rFonts w:ascii="Calibri" w:cs="Calibri" w:eastAsia="Calibri" w:hAnsi="Calibri"/>
                <w:color w:val="222222"/>
                <w:sz w:val="20"/>
                <w:szCs w:val="20"/>
              </w:rPr>
              <w:t xml:space="preserve">Revocación</w:t>
            </w:r>
          </w:p>
        </w:tc>
        <w:tc>
          <w:tcPr>
            <w:tcW w:type="dxa" w:w="1560"/>
            <w:shd w:fill="FFFFFF" w:val="clear"/>
            <w:tcMar>
              <w:top w:type="dxa" w:w="60"/>
              <w:left w:type="dxa" w:w="100"/>
              <w:bottom w:type="dxa" w:w="60"/>
              <w:right w:type="dxa" w:w="100"/>
            </w:tcMar>
          </w:tcPr>
          <w:p>
            <w:r>
              <w:rPr>
                <w:rFonts w:ascii="Calibri" w:cs="Calibri" w:eastAsia="Calibri" w:hAnsi="Calibri"/>
                <w:color w:val="222222"/>
                <w:sz w:val="20"/>
                <w:szCs w:val="20"/>
              </w:rPr>
              <w:t xml:space="preserve">1780-1782</w:t>
            </w:r>
          </w:p>
        </w:tc>
        <w:tc>
          <w:tcPr>
            <w:tcW w:type="dxa" w:w="1560"/>
            <w:shd w:fill="FFFFFF" w:val="clear"/>
            <w:tcMar>
              <w:top w:type="dxa" w:w="60"/>
              <w:left w:type="dxa" w:w="100"/>
              <w:bottom w:type="dxa" w:w="60"/>
              <w:right w:type="dxa" w:w="100"/>
            </w:tcMar>
          </w:tcPr>
          <w:p>
            <w:r>
              <w:rPr>
                <w:rFonts w:ascii="Calibri" w:cs="Calibri" w:eastAsia="Calibri" w:hAnsi="Calibri"/>
                <w:color w:val="222222"/>
                <w:sz w:val="20"/>
                <w:szCs w:val="20"/>
              </w:rPr>
              <w:t xml:space="preserve">Voluntad del otorgante que priva de eficacia hacia el futuro un acto válido</w:t>
            </w:r>
          </w:p>
        </w:tc>
        <w:tc>
          <w:tcPr>
            <w:tcW w:type="dxa" w:w="1560"/>
            <w:shd w:fill="FFFFFF" w:val="clear"/>
            <w:tcMar>
              <w:top w:type="dxa" w:w="60"/>
              <w:left w:type="dxa" w:w="100"/>
              <w:bottom w:type="dxa" w:w="60"/>
              <w:right w:type="dxa" w:w="100"/>
            </w:tcMar>
          </w:tcPr>
          <w:p>
            <w:r>
              <w:rPr>
                <w:rFonts w:ascii="Calibri" w:cs="Calibri" w:eastAsia="Calibri" w:hAnsi="Calibri"/>
                <w:color w:val="222222"/>
                <w:sz w:val="20"/>
                <w:szCs w:val="20"/>
              </w:rPr>
              <w:t xml:space="preserve">El otorgante (unilateral en donación) o todas las partes (sinalagmático)</w:t>
            </w:r>
          </w:p>
        </w:tc>
        <w:tc>
          <w:tcPr>
            <w:tcW w:type="dxa" w:w="1560"/>
            <w:shd w:fill="FFFFFF" w:val="clear"/>
            <w:tcMar>
              <w:top w:type="dxa" w:w="60"/>
              <w:left w:type="dxa" w:w="100"/>
              <w:bottom w:type="dxa" w:w="60"/>
              <w:right w:type="dxa" w:w="100"/>
            </w:tcMar>
          </w:tcPr>
          <w:p>
            <w:r>
              <w:rPr>
                <w:rFonts w:ascii="Calibri" w:cs="Calibri" w:eastAsia="Calibri" w:hAnsi="Calibri"/>
                <w:color w:val="222222"/>
                <w:sz w:val="20"/>
                <w:szCs w:val="20"/>
              </w:rPr>
              <w:t xml:space="preserve">No retroactiva; solo hacia el futuro</w:t>
            </w:r>
          </w:p>
        </w:tc>
        <w:tc>
          <w:tcPr>
            <w:tcW w:type="dxa" w:w="1560"/>
            <w:shd w:fill="FFFFFF" w:val="clear"/>
            <w:tcMar>
              <w:top w:type="dxa" w:w="60"/>
              <w:left w:type="dxa" w:w="100"/>
              <w:bottom w:type="dxa" w:w="60"/>
              <w:right w:type="dxa" w:w="100"/>
            </w:tcMar>
          </w:tcPr>
          <w:p>
            <w:r>
              <w:rPr>
                <w:rFonts w:ascii="Calibri" w:cs="Calibri" w:eastAsia="Calibri" w:hAnsi="Calibri"/>
                <w:color w:val="222222"/>
                <w:sz w:val="20"/>
                <w:szCs w:val="20"/>
              </w:rPr>
              <w:t xml:space="preserve">No aplica prescripción; caduca por acto propio</w:t>
            </w:r>
          </w:p>
        </w:tc>
      </w:tr>
      <w:tr>
        <w:tc>
          <w:tcPr>
            <w:tcW w:type="dxa" w:w="1560"/>
            <w:shd w:fill="F2F4F7" w:val="clear"/>
            <w:tcMar>
              <w:top w:type="dxa" w:w="60"/>
              <w:left w:type="dxa" w:w="100"/>
              <w:bottom w:type="dxa" w:w="60"/>
              <w:right w:type="dxa" w:w="100"/>
            </w:tcMar>
          </w:tcPr>
          <w:p>
            <w:r>
              <w:rPr>
                <w:rFonts w:ascii="Calibri" w:cs="Calibri" w:eastAsia="Calibri" w:hAnsi="Calibri"/>
                <w:color w:val="222222"/>
                <w:sz w:val="20"/>
                <w:szCs w:val="20"/>
              </w:rPr>
              <w:t xml:space="preserve">Resolución/Rescisión</w:t>
            </w:r>
          </w:p>
        </w:tc>
        <w:tc>
          <w:tcPr>
            <w:tcW w:type="dxa" w:w="1560"/>
            <w:shd w:fill="F2F4F7" w:val="clear"/>
            <w:tcMar>
              <w:top w:type="dxa" w:w="60"/>
              <w:left w:type="dxa" w:w="100"/>
              <w:bottom w:type="dxa" w:w="60"/>
              <w:right w:type="dxa" w:w="100"/>
            </w:tcMar>
          </w:tcPr>
          <w:p>
            <w:r>
              <w:rPr>
                <w:rFonts w:ascii="Calibri" w:cs="Calibri" w:eastAsia="Calibri" w:hAnsi="Calibri"/>
                <w:color w:val="222222"/>
                <w:sz w:val="20"/>
                <w:szCs w:val="20"/>
              </w:rPr>
              <w:t xml:space="preserve">1783-1792</w:t>
            </w:r>
          </w:p>
        </w:tc>
        <w:tc>
          <w:tcPr>
            <w:tcW w:type="dxa" w:w="1560"/>
            <w:shd w:fill="F2F4F7" w:val="clear"/>
            <w:tcMar>
              <w:top w:type="dxa" w:w="60"/>
              <w:left w:type="dxa" w:w="100"/>
              <w:bottom w:type="dxa" w:w="60"/>
              <w:right w:type="dxa" w:w="100"/>
            </w:tcMar>
          </w:tcPr>
          <w:p>
            <w:r>
              <w:rPr>
                <w:rFonts w:ascii="Calibri" w:cs="Calibri" w:eastAsia="Calibri" w:hAnsi="Calibri"/>
                <w:color w:val="222222"/>
                <w:sz w:val="20"/>
                <w:szCs w:val="20"/>
              </w:rPr>
              <w:t xml:space="preserve">Incumplimiento de una parte en contrato sinalagmático; opción del que cumplió</w:t>
            </w:r>
          </w:p>
        </w:tc>
        <w:tc>
          <w:tcPr>
            <w:tcW w:type="dxa" w:w="1560"/>
            <w:shd w:fill="F2F4F7" w:val="clear"/>
            <w:tcMar>
              <w:top w:type="dxa" w:w="60"/>
              <w:left w:type="dxa" w:w="100"/>
              <w:bottom w:type="dxa" w:w="60"/>
              <w:right w:type="dxa" w:w="100"/>
            </w:tcMar>
          </w:tcPr>
          <w:p>
            <w:r>
              <w:rPr>
                <w:rFonts w:ascii="Calibri" w:cs="Calibri" w:eastAsia="Calibri" w:hAnsi="Calibri"/>
                <w:color w:val="222222"/>
                <w:sz w:val="20"/>
                <w:szCs w:val="20"/>
              </w:rPr>
              <w:t xml:space="preserve">El que cumplió su obligación</w:t>
            </w:r>
          </w:p>
        </w:tc>
        <w:tc>
          <w:tcPr>
            <w:tcW w:type="dxa" w:w="1560"/>
            <w:shd w:fill="F2F4F7" w:val="clear"/>
            <w:tcMar>
              <w:top w:type="dxa" w:w="60"/>
              <w:left w:type="dxa" w:w="100"/>
              <w:bottom w:type="dxa" w:w="60"/>
              <w:right w:type="dxa" w:w="100"/>
            </w:tcMar>
          </w:tcPr>
          <w:p>
            <w:r>
              <w:rPr>
                <w:rFonts w:ascii="Calibri" w:cs="Calibri" w:eastAsia="Calibri" w:hAnsi="Calibri"/>
                <w:color w:val="222222"/>
                <w:sz w:val="20"/>
                <w:szCs w:val="20"/>
              </w:rPr>
              <w:t xml:space="preserve">Retroactiva; restitución recíproca de prestaciones</w:t>
            </w:r>
          </w:p>
        </w:tc>
        <w:tc>
          <w:tcPr>
            <w:tcW w:type="dxa" w:w="1560"/>
            <w:shd w:fill="F2F4F7" w:val="clear"/>
            <w:tcMar>
              <w:top w:type="dxa" w:w="60"/>
              <w:left w:type="dxa" w:w="100"/>
              <w:bottom w:type="dxa" w:w="60"/>
              <w:right w:type="dxa" w:w="100"/>
            </w:tcMar>
          </w:tcPr>
          <w:p>
            <w:r>
              <w:rPr>
                <w:rFonts w:ascii="Calibri" w:cs="Calibri" w:eastAsia="Calibri" w:hAnsi="Calibri"/>
                <w:color w:val="222222"/>
                <w:sz w:val="20"/>
                <w:szCs w:val="20"/>
              </w:rPr>
              <w:t xml:space="preserve">General contractual</w:t>
            </w:r>
          </w:p>
        </w:tc>
      </w:tr>
      <w:tr>
        <w:tc>
          <w:tcPr>
            <w:tcW w:type="dxa" w:w="1560"/>
            <w:shd w:fill="FFFFFF" w:val="clear"/>
            <w:tcMar>
              <w:top w:type="dxa" w:w="60"/>
              <w:left w:type="dxa" w:w="100"/>
              <w:bottom w:type="dxa" w:w="60"/>
              <w:right w:type="dxa" w:w="100"/>
            </w:tcMar>
          </w:tcPr>
          <w:p>
            <w:r>
              <w:rPr>
                <w:rFonts w:ascii="Calibri" w:cs="Calibri" w:eastAsia="Calibri" w:hAnsi="Calibri"/>
                <w:color w:val="222222"/>
                <w:sz w:val="20"/>
                <w:szCs w:val="20"/>
              </w:rPr>
              <w:t xml:space="preserve">Inoponibilidad</w:t>
            </w:r>
          </w:p>
        </w:tc>
        <w:tc>
          <w:tcPr>
            <w:tcW w:type="dxa" w:w="1560"/>
            <w:shd w:fill="FFFFFF" w:val="clear"/>
            <w:tcMar>
              <w:top w:type="dxa" w:w="60"/>
              <w:left w:type="dxa" w:w="100"/>
              <w:bottom w:type="dxa" w:w="60"/>
              <w:right w:type="dxa" w:w="100"/>
            </w:tcMar>
          </w:tcPr>
          <w:p>
            <w:r>
              <w:rPr>
                <w:rFonts w:ascii="Calibri" w:cs="Calibri" w:eastAsia="Calibri" w:hAnsi="Calibri"/>
                <w:color w:val="222222"/>
                <w:sz w:val="20"/>
                <w:szCs w:val="20"/>
              </w:rPr>
              <w:t xml:space="preserve">1793</w:t>
            </w:r>
          </w:p>
        </w:tc>
        <w:tc>
          <w:tcPr>
            <w:tcW w:type="dxa" w:w="1560"/>
            <w:shd w:fill="FFFFFF" w:val="clear"/>
            <w:tcMar>
              <w:top w:type="dxa" w:w="60"/>
              <w:left w:type="dxa" w:w="100"/>
              <w:bottom w:type="dxa" w:w="60"/>
              <w:right w:type="dxa" w:w="100"/>
            </w:tcMar>
          </w:tcPr>
          <w:p>
            <w:r>
              <w:rPr>
                <w:rFonts w:ascii="Calibri" w:cs="Calibri" w:eastAsia="Calibri" w:hAnsi="Calibri"/>
                <w:color w:val="222222"/>
                <w:sz w:val="20"/>
                <w:szCs w:val="20"/>
              </w:rPr>
              <w:t xml:space="preserve">Acto no notificado/publicitado a terceros con interés</w:t>
            </w:r>
          </w:p>
        </w:tc>
        <w:tc>
          <w:tcPr>
            <w:tcW w:type="dxa" w:w="1560"/>
            <w:shd w:fill="FFFFFF" w:val="clear"/>
            <w:tcMar>
              <w:top w:type="dxa" w:w="60"/>
              <w:left w:type="dxa" w:w="100"/>
              <w:bottom w:type="dxa" w:w="60"/>
              <w:right w:type="dxa" w:w="100"/>
            </w:tcMar>
          </w:tcPr>
          <w:p>
            <w:r>
              <w:rPr>
                <w:rFonts w:ascii="Calibri" w:cs="Calibri" w:eastAsia="Calibri" w:hAnsi="Calibri"/>
                <w:color w:val="222222"/>
                <w:sz w:val="20"/>
                <w:szCs w:val="20"/>
              </w:rPr>
              <w:t xml:space="preserve">El tercero afectado</w:t>
            </w:r>
          </w:p>
        </w:tc>
        <w:tc>
          <w:tcPr>
            <w:tcW w:type="dxa" w:w="1560"/>
            <w:shd w:fill="FFFFFF" w:val="clear"/>
            <w:tcMar>
              <w:top w:type="dxa" w:w="60"/>
              <w:left w:type="dxa" w:w="100"/>
              <w:bottom w:type="dxa" w:w="60"/>
              <w:right w:type="dxa" w:w="100"/>
            </w:tcMar>
          </w:tcPr>
          <w:p>
            <w:r>
              <w:rPr>
                <w:rFonts w:ascii="Calibri" w:cs="Calibri" w:eastAsia="Calibri" w:hAnsi="Calibri"/>
                <w:color w:val="222222"/>
                <w:sz w:val="20"/>
                <w:szCs w:val="20"/>
              </w:rPr>
              <w:t xml:space="preserve">Vale entre partes pero no frente al tercero no enterado</w:t>
            </w:r>
          </w:p>
        </w:tc>
        <w:tc>
          <w:tcPr>
            <w:tcW w:type="dxa" w:w="1560"/>
            <w:shd w:fill="FFFFFF" w:val="clear"/>
            <w:tcMar>
              <w:top w:type="dxa" w:w="60"/>
              <w:left w:type="dxa" w:w="100"/>
              <w:bottom w:type="dxa" w:w="60"/>
              <w:right w:type="dxa" w:w="100"/>
            </w:tcMar>
          </w:tcPr>
          <w:p>
            <w:r>
              <w:rPr>
                <w:rFonts w:ascii="Calibri" w:cs="Calibri" w:eastAsia="Calibri" w:hAnsi="Calibri"/>
                <w:color w:val="222222"/>
                <w:sz w:val="20"/>
                <w:szCs w:val="20"/>
              </w:rPr>
              <w:t xml:space="preserve">General</w:t>
            </w:r>
          </w:p>
        </w:tc>
      </w:tr>
      <w:tr>
        <w:tc>
          <w:tcPr>
            <w:tcW w:type="dxa" w:w="1560"/>
            <w:shd w:fill="F2F4F7" w:val="clear"/>
            <w:tcMar>
              <w:top w:type="dxa" w:w="60"/>
              <w:left w:type="dxa" w:w="100"/>
              <w:bottom w:type="dxa" w:w="60"/>
              <w:right w:type="dxa" w:w="100"/>
            </w:tcMar>
          </w:tcPr>
          <w:p>
            <w:r>
              <w:rPr>
                <w:rFonts w:ascii="Calibri" w:cs="Calibri" w:eastAsia="Calibri" w:hAnsi="Calibri"/>
                <w:color w:val="222222"/>
                <w:sz w:val="20"/>
                <w:szCs w:val="20"/>
              </w:rPr>
              <w:t xml:space="preserve">Reducibilidad</w:t>
            </w:r>
          </w:p>
        </w:tc>
        <w:tc>
          <w:tcPr>
            <w:tcW w:type="dxa" w:w="1560"/>
            <w:shd w:fill="F2F4F7" w:val="clear"/>
            <w:tcMar>
              <w:top w:type="dxa" w:w="60"/>
              <w:left w:type="dxa" w:w="100"/>
              <w:bottom w:type="dxa" w:w="60"/>
              <w:right w:type="dxa" w:w="100"/>
            </w:tcMar>
          </w:tcPr>
          <w:p>
            <w:r>
              <w:rPr>
                <w:rFonts w:ascii="Calibri" w:cs="Calibri" w:eastAsia="Calibri" w:hAnsi="Calibri"/>
                <w:color w:val="222222"/>
                <w:sz w:val="20"/>
                <w:szCs w:val="20"/>
              </w:rPr>
              <w:t xml:space="preserve">1795</w:t>
            </w:r>
          </w:p>
        </w:tc>
        <w:tc>
          <w:tcPr>
            <w:tcW w:type="dxa" w:w="1560"/>
            <w:shd w:fill="F2F4F7" w:val="clear"/>
            <w:tcMar>
              <w:top w:type="dxa" w:w="60"/>
              <w:left w:type="dxa" w:w="100"/>
              <w:bottom w:type="dxa" w:w="60"/>
              <w:right w:type="dxa" w:w="100"/>
            </w:tcMar>
          </w:tcPr>
          <w:p>
            <w:r>
              <w:rPr>
                <w:rFonts w:ascii="Calibri" w:cs="Calibri" w:eastAsia="Calibri" w:hAnsi="Calibri"/>
                <w:color w:val="222222"/>
                <w:sz w:val="20"/>
                <w:szCs w:val="20"/>
              </w:rPr>
              <w:t xml:space="preserve">Prestaciones superiores a las legales que desequilibran la equidad cuando sobrevienen hechos nuevos</w:t>
            </w:r>
          </w:p>
        </w:tc>
        <w:tc>
          <w:tcPr>
            <w:tcW w:type="dxa" w:w="1560"/>
            <w:shd w:fill="F2F4F7" w:val="clear"/>
            <w:tcMar>
              <w:top w:type="dxa" w:w="60"/>
              <w:left w:type="dxa" w:w="100"/>
              <w:bottom w:type="dxa" w:w="60"/>
              <w:right w:type="dxa" w:w="100"/>
            </w:tcMar>
          </w:tcPr>
          <w:p>
            <w:r>
              <w:rPr>
                <w:rFonts w:ascii="Calibri" w:cs="Calibri" w:eastAsia="Calibri" w:hAnsi="Calibri"/>
                <w:color w:val="222222"/>
                <w:sz w:val="20"/>
                <w:szCs w:val="20"/>
              </w:rPr>
              <w:t xml:space="preserve">La parte perjudicada</w:t>
            </w:r>
          </w:p>
        </w:tc>
        <w:tc>
          <w:tcPr>
            <w:tcW w:type="dxa" w:w="1560"/>
            <w:shd w:fill="F2F4F7" w:val="clear"/>
            <w:tcMar>
              <w:top w:type="dxa" w:w="60"/>
              <w:left w:type="dxa" w:w="100"/>
              <w:bottom w:type="dxa" w:w="60"/>
              <w:right w:type="dxa" w:w="100"/>
            </w:tcMar>
          </w:tcPr>
          <w:p>
            <w:r>
              <w:rPr>
                <w:rFonts w:ascii="Calibri" w:cs="Calibri" w:eastAsia="Calibri" w:hAnsi="Calibri"/>
                <w:color w:val="222222"/>
                <w:sz w:val="20"/>
                <w:szCs w:val="20"/>
              </w:rPr>
              <w:t xml:space="preserve">No anula el contrato; restablece la equidad contractual</w:t>
            </w:r>
          </w:p>
        </w:tc>
        <w:tc>
          <w:tcPr>
            <w:tcW w:type="dxa" w:w="1560"/>
            <w:shd w:fill="F2F4F7" w:val="clear"/>
            <w:tcMar>
              <w:top w:type="dxa" w:w="60"/>
              <w:left w:type="dxa" w:w="100"/>
              <w:bottom w:type="dxa" w:w="60"/>
              <w:right w:type="dxa" w:w="100"/>
            </w:tcMar>
          </w:tcPr>
          <w:p>
            <w:r>
              <w:rPr>
                <w:rFonts w:ascii="Calibri" w:cs="Calibri" w:eastAsia="Calibri" w:hAnsi="Calibri"/>
                <w:color w:val="222222"/>
                <w:sz w:val="20"/>
                <w:szCs w:val="20"/>
              </w:rPr>
              <w:t xml:space="preserve">—</w:t>
            </w:r>
          </w:p>
        </w:tc>
      </w:tr>
    </w:tbl>
    <w:p>
      <w:pPr>
        <w:spacing w:after="120" w:before="0"/>
      </w:pPr>
    </w:p>
    <w:p>
      <w:pPr>
        <w:pStyle w:val="Heading2"/>
        <w:spacing w:after="120" w:before="340"/>
      </w:pPr>
      <w:r>
        <w:rPr>
          <w:rFonts w:ascii="Calibri" w:cs="Calibri" w:eastAsia="Calibri" w:hAnsi="Calibri"/>
          <w:b/>
          <w:bCs/>
          <w:color w:val="2E5B9E"/>
          <w:sz w:val="28"/>
          <w:szCs w:val="28"/>
        </w:rPr>
        <w:t xml:space="preserve">5.2 Acción de nulidad — cómo construirla</w:t>
      </w:r>
    </w:p>
    <w:p>
      <w:pPr>
        <w:pStyle w:val="Heading3"/>
        <w:spacing w:after="80" w:before="240"/>
      </w:pPr>
      <w:r>
        <w:rPr>
          <w:rFonts w:ascii="Calibri" w:cs="Calibri" w:eastAsia="Calibri" w:hAnsi="Calibri"/>
          <w:b/>
          <w:bCs/>
          <w:color w:val="1A2B4A"/>
          <w:sz w:val="24"/>
          <w:szCs w:val="24"/>
        </w:rPr>
        <w:t xml:space="preserve">Para nulidad absoluta</w:t>
      </w:r>
    </w:p>
    <w:p>
      <w:pPr>
        <w:spacing w:after="100" w:before="40"/>
        <w:ind/>
        <w:jc w:val="both"/>
      </w:pPr>
      <w:r>
        <w:rPr>
          <w:rFonts w:ascii="Calibri" w:cs="Calibri" w:eastAsia="Calibri" w:hAnsi="Calibri"/>
          <w:b w:val="false"/>
          <w:bCs w:val="false"/>
          <w:i w:val="false"/>
          <w:iCs w:val="false"/>
          <w:color w:val="222222"/>
          <w:sz w:val="22"/>
          <w:szCs w:val="22"/>
        </w:rPr>
        <w:t xml:space="preserve">Debes probar que el acto carece de alguno de sus elementos esenciales: falta de consentimiento (nadie aceptó), falta de objeto (lo que se prometió no existe, es ilícito o imposible), o falta de solemnidad (la ley exige escritura pública y no se hizo).</w:t>
      </w:r>
    </w:p>
    <w:p>
      <w:pPr>
        <w:spacing w:after="100" w:before="40"/>
        <w:ind/>
        <w:jc w:val="both"/>
      </w:pPr>
      <w:r>
        <w:rPr>
          <w:rFonts w:ascii="Calibri" w:cs="Calibri" w:eastAsia="Calibri" w:hAnsi="Calibri"/>
          <w:b w:val="false"/>
          <w:bCs w:val="false"/>
          <w:i w:val="false"/>
          <w:iCs w:val="false"/>
          <w:color w:val="222222"/>
          <w:sz w:val="22"/>
          <w:szCs w:val="22"/>
        </w:rPr>
        <w:t xml:space="preserve">La nulidad absoluta puede pedirla cualquier interesado, incluyendo el que participó en el acto. No prescribe. El juez la puede declarar de oficio si la causal es evidente del expediente.</w:t>
      </w:r>
    </w:p>
    <w:p>
      <w:pPr>
        <w:pStyle w:val="Heading3"/>
        <w:spacing w:after="80" w:before="240"/>
      </w:pPr>
      <w:r>
        <w:rPr>
          <w:rFonts w:ascii="Calibri" w:cs="Calibri" w:eastAsia="Calibri" w:hAnsi="Calibri"/>
          <w:b/>
          <w:bCs/>
          <w:color w:val="1A2B4A"/>
          <w:sz w:val="24"/>
          <w:szCs w:val="24"/>
        </w:rPr>
        <w:t xml:space="preserve">Para nulidad relativa</w:t>
      </w:r>
    </w:p>
    <w:p>
      <w:pPr>
        <w:spacing w:after="100" w:before="40"/>
        <w:ind/>
        <w:jc w:val="both"/>
      </w:pPr>
      <w:r>
        <w:rPr>
          <w:rFonts w:ascii="Calibri" w:cs="Calibri" w:eastAsia="Calibri" w:hAnsi="Calibri"/>
          <w:b w:val="false"/>
          <w:bCs w:val="false"/>
          <w:i w:val="false"/>
          <w:iCs w:val="false"/>
          <w:color w:val="222222"/>
          <w:sz w:val="22"/>
          <w:szCs w:val="22"/>
        </w:rPr>
        <w:t xml:space="preserve">Debes probar: el vicio concreto que afecta la voluntad (el error en qué versó, el dolo con qué artificio, la violencia física o moral, la lesión con qué desproporción y qué circunstancia de inferioridad aprovechó la contraparte).</w:t>
      </w:r>
    </w:p>
    <w:p>
      <w:pPr>
        <w:spacing w:after="100" w:before="40"/>
        <w:ind/>
        <w:jc w:val="both"/>
      </w:pPr>
      <w:r>
        <w:rPr>
          <w:rFonts w:ascii="Calibri" w:cs="Calibri" w:eastAsia="Calibri" w:hAnsi="Calibri"/>
          <w:b w:val="false"/>
          <w:bCs w:val="false"/>
          <w:i w:val="false"/>
          <w:iCs w:val="false"/>
          <w:color w:val="222222"/>
          <w:sz w:val="22"/>
          <w:szCs w:val="22"/>
        </w:rPr>
        <w:t xml:space="preserve">Atención a los plazos: la acción por violencia prescribe en 6 meses desde que cesa el vicio (art. 1774 CCEJ). Por error o incapacidad, en los plazos del art. 53 CCEJ (dependiendo del tipo). Si el error se conoce antes, solo tienes 60 días desde que lo conociste.</w:t>
      </w:r>
    </w:p>
    <w:p>
      <w:pPr>
        <w:pStyle w:val="Heading3"/>
        <w:spacing w:after="80" w:before="240"/>
      </w:pPr>
      <w:r>
        <w:rPr>
          <w:rFonts w:ascii="Calibri" w:cs="Calibri" w:eastAsia="Calibri" w:hAnsi="Calibri"/>
          <w:b/>
          <w:bCs/>
          <w:color w:val="1A2B4A"/>
          <w:sz w:val="24"/>
          <w:szCs w:val="24"/>
        </w:rPr>
        <w:t xml:space="preserve">La simulación (arts. 1685-1695 CCEJ)</w:t>
      </w:r>
    </w:p>
    <w:p>
      <w:pPr>
        <w:spacing w:after="100" w:before="40"/>
        <w:ind/>
        <w:jc w:val="both"/>
      </w:pPr>
      <w:r>
        <w:rPr>
          <w:rFonts w:ascii="Calibri" w:cs="Calibri" w:eastAsia="Calibri" w:hAnsi="Calibri"/>
          <w:b w:val="false"/>
          <w:bCs w:val="false"/>
          <w:i w:val="false"/>
          <w:iCs w:val="false"/>
          <w:color w:val="222222"/>
          <w:sz w:val="22"/>
          <w:szCs w:val="22"/>
        </w:rPr>
        <w:t xml:space="preserve">Es una figura cercana a la nulidad pero distinta. Hay simulación cuando las partes declaran una voluntad aparente diversa de la real. Puede ser absoluta (ningún acto existe) o relativa (el acto existe pero con condiciones distintas a las declaradas). El acto simulado absolutamente es nulo. El simulado relativamente vale como el que realmente las partes quisieron celebrar, si es lícito.</w:t>
      </w:r>
    </w:p>
    <w:p>
      <w:pPr>
        <w:spacing w:after="100" w:before="40"/>
        <w:ind/>
        <w:jc w:val="both"/>
      </w:pPr>
      <w:r>
        <w:rPr>
          <w:rFonts w:ascii="Calibri" w:cs="Calibri" w:eastAsia="Calibri" w:hAnsi="Calibri"/>
          <w:b w:val="false"/>
          <w:bCs w:val="false"/>
          <w:i w:val="false"/>
          <w:iCs w:val="false"/>
          <w:color w:val="222222"/>
          <w:sz w:val="22"/>
          <w:szCs w:val="22"/>
        </w:rPr>
        <w:t xml:space="preserve">Para probarla: indicio + pruebas indirectas son clave, porque los simulantes no dejan rastro documental directo. Usa la relación entre las partes (familiares, socios), la desproporción del precio, la falta de entrega real, la conservación de posesión por el vendedor supuesto.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none"/>
              <w:left w:val="single" w:color="C8962A" w:sz="24"/>
              <w:bottom w:val="none"/>
              <w:right w:val="none"/>
            </w:tcBorders>
            <w:shd w:fill="F2F4F7"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Tienen acción para reclamar la nulidad de los actos simulados (art. 1688 CCEJ): el tercero perjudicado, los acreedores de los contratantes y el Ministerio Público cuando proceda. Esto significa que un tercero ajeno al contrato puede impugnar la simulación que lo perjudica. Muy útil para acreedores que ven cómo el deudor 'vende' sus bienes a la víspera de un juicio.</w:t>
            </w:r>
          </w:p>
        </w:tc>
      </w:tr>
    </w:tbl>
    <w:p>
      <w:pPr>
        <w:pStyle w:val="Heading2"/>
        <w:spacing w:after="120" w:before="340"/>
      </w:pPr>
      <w:r>
        <w:rPr>
          <w:rFonts w:ascii="Calibri" w:cs="Calibri" w:eastAsia="Calibri" w:hAnsi="Calibri"/>
          <w:b/>
          <w:bCs/>
          <w:color w:val="2E5B9E"/>
          <w:sz w:val="28"/>
          <w:szCs w:val="28"/>
        </w:rPr>
        <w:t xml:space="preserve">5.3 La lesión como causa de nulidad — figura peculiar de Jalisco</w:t>
      </w:r>
    </w:p>
    <w:p>
      <w:pPr>
        <w:pBdr>
          <w:left w:val="single" w:color="C8962A" w:sz="16"/>
        </w:pBdr>
        <w:spacing w:after="100" w:before="60"/>
        <w:ind w:left="720" w:right="720"/>
      </w:pPr>
      <w:r>
        <w:rPr>
          <w:rFonts w:ascii="Calibri" w:cs="Calibri" w:eastAsia="Calibri" w:hAnsi="Calibri"/>
          <w:i/>
          <w:iCs/>
          <w:color w:val="444444"/>
          <w:sz w:val="21"/>
          <w:szCs w:val="21"/>
        </w:rPr>
        <w:t xml:space="preserve">"Hay lesión, cuando en un contrato sinalagmático, conmutativo y oneroso uno o varios de los contratantes abusando de la ignorancia o inexperiencia o miseria o necesidad de la otra parte obtenga un lucro desproporcionado a la contraprestación a que se obliga." (Art. 1297 CCEJ)</w:t>
      </w:r>
    </w:p>
    <w:p>
      <w:pPr>
        <w:spacing w:after="100" w:before="40"/>
        <w:ind/>
        <w:jc w:val="both"/>
      </w:pPr>
      <w:r>
        <w:rPr>
          <w:rFonts w:ascii="Calibri" w:cs="Calibri" w:eastAsia="Calibri" w:hAnsi="Calibri"/>
          <w:b w:val="false"/>
          <w:bCs w:val="false"/>
          <w:i w:val="false"/>
          <w:iCs w:val="false"/>
          <w:color w:val="222222"/>
          <w:sz w:val="22"/>
          <w:szCs w:val="22"/>
        </w:rPr>
        <w:t xml:space="preserve">Para que la lesión sea invocable deben concurrir dos elementos: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Elemento objetivo: desproporción manifiesta entre las prestaciones.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Elemento subjetivo: explotación de la ignorancia, inexperiencia, miseria o necesidad del perjudicado.</w:t>
      </w:r>
    </w:p>
    <w:p>
      <w:pPr>
        <w:spacing w:after="100" w:before="40"/>
        <w:ind/>
        <w:jc w:val="both"/>
      </w:pPr>
      <w:r>
        <w:rPr>
          <w:rFonts w:ascii="Calibri" w:cs="Calibri" w:eastAsia="Calibri" w:hAnsi="Calibri"/>
          <w:b w:val="false"/>
          <w:bCs w:val="false"/>
          <w:i w:val="false"/>
          <w:iCs w:val="false"/>
          <w:color w:val="222222"/>
          <w:sz w:val="22"/>
          <w:szCs w:val="22"/>
        </w:rPr>
        <w:t xml:space="preserve">El perjudicado puede pedir nulidad del contrato O reducción equitativa de su obligación. La acción prescribe en un año desde la fecha en que se formalizó el contrato (art. 1297 in fine CCEJ).</w:t>
      </w:r>
    </w:p>
    <w:p>
      <w:pPr>
        <w:spacing w:after="100" w:before="40"/>
        <w:ind/>
        <w:jc w:val="both"/>
      </w:pPr>
      <w:r>
        <w:rPr>
          <w:rFonts w:ascii="Calibri" w:cs="Calibri" w:eastAsia="Calibri" w:hAnsi="Calibri"/>
          <w:b w:val="false"/>
          <w:bCs w:val="false"/>
          <w:i w:val="false"/>
          <w:iCs w:val="false"/>
          <w:color w:val="222222"/>
          <w:sz w:val="22"/>
          <w:szCs w:val="22"/>
        </w:rPr>
        <w:t xml:space="preserve">Esta figura es particularmente útil cuando el cliente vendió un inmueble a precio muy inferior al valor de mercado bajo presión económica o por desconocimiento. La pericial valuatoria que acredite la desproporción es la prueba central.</w:t>
      </w:r>
    </w:p>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6. RESPONSABILIDAD CIVIL</w:t>
      </w:r>
    </w:p>
    <w:p>
      <w:pPr>
        <w:pStyle w:val="Heading2"/>
        <w:spacing w:after="120" w:before="340"/>
      </w:pPr>
      <w:r>
        <w:rPr>
          <w:rFonts w:ascii="Calibri" w:cs="Calibri" w:eastAsia="Calibri" w:hAnsi="Calibri"/>
          <w:b/>
          <w:bCs/>
          <w:color w:val="2E5B9E"/>
          <w:sz w:val="28"/>
          <w:szCs w:val="28"/>
        </w:rPr>
        <w:t xml:space="preserve">6.1 Dos tipos de responsabilidad civil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Tipo</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Origen</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Artículos CCEJ</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Fundamento de la acción</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Contractual</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Incumplimiento de una obligación pactada</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1260, 1417, 1424 ss.</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La obligación incumplida + el daño causado + nexo causal</w:t>
            </w:r>
          </w:p>
        </w:tc>
      </w:tr>
      <w:tr>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Extracontractual (aquiliana)</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Hechos ilícitos sin relación contractual previa</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1385-1414</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Hecho ilícito (acción u omisión culposa o dolosa) + daño + nexo causal</w:t>
            </w:r>
          </w:p>
        </w:tc>
      </w:tr>
    </w:tbl>
    <w:p>
      <w:pPr>
        <w:spacing w:after="80" w:before="0"/>
      </w:pPr>
    </w:p>
    <w:p>
      <w:pPr>
        <w:spacing w:after="100" w:before="40"/>
        <w:ind/>
        <w:jc w:val="both"/>
      </w:pPr>
      <w:r>
        <w:rPr>
          <w:rFonts w:ascii="Calibri" w:cs="Calibri" w:eastAsia="Calibri" w:hAnsi="Calibri"/>
          <w:b w:val="false"/>
          <w:bCs w:val="false"/>
          <w:i w:val="false"/>
          <w:iCs w:val="false"/>
          <w:color w:val="222222"/>
          <w:sz w:val="22"/>
          <w:szCs w:val="22"/>
        </w:rPr>
        <w:t xml:space="preserve">El art. 1417 CCEJ establece la regla general: "Los daños y perjuicios deben ser consecuencia inmediata y directa de la falta de cumplimiento de la obligación, ya sea que se hayan causado o que necesariamente deban causarse."</w:t>
      </w:r>
    </w:p>
    <w:p>
      <w:pPr>
        <w:pStyle w:val="Heading2"/>
        <w:spacing w:after="120" w:before="340"/>
      </w:pPr>
      <w:r>
        <w:rPr>
          <w:rFonts w:ascii="Calibri" w:cs="Calibri" w:eastAsia="Calibri" w:hAnsi="Calibri"/>
          <w:b/>
          <w:bCs/>
          <w:color w:val="2E5B9E"/>
          <w:sz w:val="28"/>
          <w:szCs w:val="28"/>
        </w:rPr>
        <w:t xml:space="preserve">6.2 Elementos de la responsabilidad civil extracontractual</w:t>
      </w:r>
    </w:p>
    <w:p>
      <w:pPr>
        <w:spacing w:after="100" w:before="40"/>
        <w:ind/>
        <w:jc w:val="both"/>
      </w:pPr>
      <w:r>
        <w:rPr>
          <w:rFonts w:ascii="Calibri" w:cs="Calibri" w:eastAsia="Calibri" w:hAnsi="Calibri"/>
          <w:b w:val="false"/>
          <w:bCs w:val="false"/>
          <w:i w:val="false"/>
          <w:iCs w:val="false"/>
          <w:color w:val="222222"/>
          <w:sz w:val="22"/>
          <w:szCs w:val="22"/>
        </w:rPr>
        <w:t xml:space="preserve">Para que prospere una acción de daños y perjuicios extracontractual debes probar:</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Hecho ilícito (acción u omisión contraria a las normas de conducta debida, sea por dolo o culpa).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Daño real, cierto y cuantificable (patrimonial o moral).</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Nexo causal directo e inmediato entre el hecho y el daño.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Que el demandado es el responsable del hecho (por acto propio o por responsabilidad objetiva / refleja).</w:t>
      </w:r>
    </w:p>
    <w:p>
      <w:pPr>
        <w:pStyle w:val="Heading3"/>
        <w:spacing w:after="80" w:before="240"/>
      </w:pPr>
      <w:r>
        <w:rPr>
          <w:rFonts w:ascii="Calibri" w:cs="Calibri" w:eastAsia="Calibri" w:hAnsi="Calibri"/>
          <w:b/>
          <w:bCs/>
          <w:color w:val="1A2B4A"/>
          <w:sz w:val="24"/>
          <w:szCs w:val="24"/>
        </w:rPr>
        <w:t xml:space="preserve">Responsabilidad objetiva (art. 1406 CCEJ)</w:t>
      </w:r>
    </w:p>
    <w:p>
      <w:pPr>
        <w:spacing w:after="100" w:before="40"/>
        <w:ind/>
        <w:jc w:val="both"/>
      </w:pPr>
      <w:r>
        <w:rPr>
          <w:rFonts w:ascii="Calibri" w:cs="Calibri" w:eastAsia="Calibri" w:hAnsi="Calibri"/>
          <w:b w:val="false"/>
          <w:bCs w:val="false"/>
          <w:i w:val="false"/>
          <w:iCs w:val="false"/>
          <w:color w:val="222222"/>
          <w:sz w:val="22"/>
          <w:szCs w:val="22"/>
        </w:rPr>
        <w:t xml:space="preserve">Es aquella que prescinde de la culpa del agente: el que usa mecanismos, instrumentos, aparatos o sustancias peligrosas por sí mismos, por la velocidad que desarrollen, por su naturaleza explosiva, etc., es responsable del daño que cause aunque obre lícitamente. El ejemplo clásico: accidente de vehículo automotor. La exención solo procede si prueba que el daño se produjo por culpa o negligencia inexcusable de la víctima.</w:t>
      </w:r>
    </w:p>
    <w:p>
      <w:pPr>
        <w:pStyle w:val="Heading3"/>
        <w:spacing w:after="80" w:before="240"/>
      </w:pPr>
      <w:r>
        <w:rPr>
          <w:rFonts w:ascii="Calibri" w:cs="Calibri" w:eastAsia="Calibri" w:hAnsi="Calibri"/>
          <w:b/>
          <w:bCs/>
          <w:color w:val="1A2B4A"/>
          <w:sz w:val="24"/>
          <w:szCs w:val="24"/>
        </w:rPr>
        <w:t xml:space="preserve">Responsabilidad refleja (art. 1396-1403 CCEJ)</w:t>
      </w:r>
    </w:p>
    <w:p>
      <w:pPr>
        <w:spacing w:after="100" w:before="40"/>
        <w:ind/>
        <w:jc w:val="both"/>
      </w:pPr>
      <w:r>
        <w:rPr>
          <w:rFonts w:ascii="Calibri" w:cs="Calibri" w:eastAsia="Calibri" w:hAnsi="Calibri"/>
          <w:b w:val="false"/>
          <w:bCs w:val="false"/>
          <w:i w:val="false"/>
          <w:iCs w:val="false"/>
          <w:color w:val="222222"/>
          <w:sz w:val="22"/>
          <w:szCs w:val="22"/>
        </w:rPr>
        <w:t xml:space="preserve">Las personas morales responden de los daños causados por sus representantes o empleados en ejercicio de sus funciones. Los patrones responden por los actos dañinos de sus trabajadores en el ejercicio del trabajo, salvo que prueben que adoptaron todas las medidas de cautela razonables.</w:t>
      </w:r>
    </w:p>
    <w:p>
      <w:pPr>
        <w:pStyle w:val="Heading2"/>
        <w:spacing w:after="120" w:before="340"/>
      </w:pPr>
      <w:r>
        <w:rPr>
          <w:rFonts w:ascii="Calibri" w:cs="Calibri" w:eastAsia="Calibri" w:hAnsi="Calibri"/>
          <w:b/>
          <w:bCs/>
          <w:color w:val="2E5B9E"/>
          <w:sz w:val="28"/>
          <w:szCs w:val="28"/>
        </w:rPr>
        <w:t xml:space="preserve">6.3 Daño moral (arts. 1390-1395 CCEJ)</w:t>
      </w:r>
    </w:p>
    <w:p>
      <w:pPr>
        <w:pBdr>
          <w:left w:val="single" w:color="C8962A" w:sz="16"/>
        </w:pBdr>
        <w:spacing w:after="100" w:before="60"/>
        <w:ind w:left="720" w:right="720"/>
      </w:pPr>
      <w:r>
        <w:rPr>
          <w:rFonts w:ascii="Calibri" w:cs="Calibri" w:eastAsia="Calibri" w:hAnsi="Calibri"/>
          <w:i/>
          <w:iCs/>
          <w:color w:val="444444"/>
          <w:sz w:val="21"/>
          <w:szCs w:val="21"/>
        </w:rPr>
        <w:t xml:space="preserve">"La violación de cualesquiera de los derechos de personalidad produce el daño moral, que puede consistir en perturbación de la tranquilidad personal, en el menoscabo del concepto que de sí misma tiene la persona o en la violación de sus sentimientos de afecto." (Art. 1391 CCEJ)</w:t>
      </w:r>
    </w:p>
    <w:p>
      <w:pPr>
        <w:spacing w:after="100" w:before="40"/>
        <w:ind/>
        <w:jc w:val="both"/>
      </w:pPr>
      <w:r>
        <w:rPr>
          <w:rFonts w:ascii="Calibri" w:cs="Calibri" w:eastAsia="Calibri" w:hAnsi="Calibri"/>
          <w:b w:val="false"/>
          <w:bCs w:val="false"/>
          <w:i w:val="false"/>
          <w:iCs w:val="false"/>
          <w:color w:val="222222"/>
          <w:sz w:val="22"/>
          <w:szCs w:val="22"/>
        </w:rPr>
        <w:t xml:space="preserve">El daño moral en Jalisco es ampliamente reconocido. Para cuantificarlo el juez considera (art. 1394 CCEJ):</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Los derechos lesionados.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grado de responsabilidad.</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La situación económica del responsable.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La situación económica de la víctima.</w:t>
      </w:r>
    </w:p>
    <w:p>
      <w:pPr>
        <w:spacing w:after="100" w:before="40"/>
        <w:ind/>
        <w:jc w:val="both"/>
      </w:pPr>
      <w:r>
        <w:rPr>
          <w:rFonts w:ascii="Calibri" w:cs="Calibri" w:eastAsia="Calibri" w:hAnsi="Calibri"/>
          <w:b w:val="false"/>
          <w:bCs w:val="false"/>
          <w:i w:val="false"/>
          <w:iCs w:val="false"/>
          <w:color w:val="222222"/>
          <w:sz w:val="22"/>
          <w:szCs w:val="22"/>
        </w:rPr>
        <w:t xml:space="preserve">La acción de reparación del daño moral NO es transmisible a tercero por acto entre vivos (art. 1392 CCEJ); sí puede transmitirse por muerte si la víctima ya había ejercido la acción en vida. La prescripción de la acción de daño moral extracontractual sigue la regla del art. 1411 CCEJ: dos años desde que se causó el daño.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none"/>
              <w:left w:val="single" w:color="2E5B9E" w:sz="24"/>
              <w:bottom w:val="none"/>
              <w:right w:val="none"/>
            </w:tcBorders>
            <w:shd w:fill="F2F4F7"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El daño moral no requiere probar una lesión física; basta con acreditar la afectación a derechos de la personalidad (honor, intimidad, reputación, salud emocional). La testimonial de personas cercanas a la víctima, registros médicos o psicológicos, y la prueba pericial psicológica son las herramientas clave.</w:t>
            </w:r>
          </w:p>
        </w:tc>
      </w:tr>
    </w:tbl>
    <w:p>
      <w:pPr>
        <w:pStyle w:val="Heading2"/>
        <w:spacing w:after="120" w:before="340"/>
      </w:pPr>
      <w:r>
        <w:rPr>
          <w:rFonts w:ascii="Calibri" w:cs="Calibri" w:eastAsia="Calibri" w:hAnsi="Calibri"/>
          <w:b/>
          <w:bCs/>
          <w:color w:val="2E5B9E"/>
          <w:sz w:val="28"/>
          <w:szCs w:val="28"/>
        </w:rPr>
        <w:t xml:space="preserve">6.4 Cuantificación de daños y perjuicios</w:t>
      </w:r>
    </w:p>
    <w:p>
      <w:pPr>
        <w:spacing w:after="100" w:before="40"/>
        <w:ind/>
        <w:jc w:val="both"/>
      </w:pPr>
      <w:r>
        <w:rPr>
          <w:rFonts w:ascii="Calibri" w:cs="Calibri" w:eastAsia="Calibri" w:hAnsi="Calibri"/>
          <w:b w:val="false"/>
          <w:bCs w:val="false"/>
          <w:i w:val="false"/>
          <w:iCs w:val="false"/>
          <w:color w:val="222222"/>
          <w:sz w:val="22"/>
          <w:szCs w:val="22"/>
        </w:rPr>
        <w:t xml:space="preserve">El art. 1415 CCEJ distingue:</w:t>
      </w:r>
    </w:p>
    <w:p>
      <w:pPr>
        <w:spacing w:after="100" w:before="40"/>
        <w:jc w:val="both"/>
      </w:pPr>
      <w:r>
        <w:rPr>
          <w:rFonts w:ascii="Calibri" w:cs="Calibri" w:eastAsia="Calibri" w:hAnsi="Calibri"/>
          <w:b/>
          <w:bCs/>
          <w:i w:val="false"/>
          <w:iCs w:val="false"/>
          <w:color w:val="222222"/>
          <w:sz w:val="22"/>
          <w:szCs w:val="22"/>
        </w:rPr>
        <w:t xml:space="preserve">Daños: </w:t>
      </w:r>
      <w:r>
        <w:rPr>
          <w:rFonts w:ascii="Calibri" w:cs="Calibri" w:eastAsia="Calibri" w:hAnsi="Calibri"/>
          <w:b w:val="false"/>
          <w:bCs w:val="false"/>
          <w:i w:val="false"/>
          <w:iCs w:val="false"/>
          <w:color w:val="222222"/>
          <w:sz w:val="22"/>
          <w:szCs w:val="22"/>
        </w:rPr>
        <w:t xml:space="preserve">el menoscabo o destrucción real de bienes patrimoniales existentes (daño emergente).</w:t>
      </w:r>
    </w:p>
    <w:p>
      <w:pPr>
        <w:spacing w:after="100" w:before="40"/>
        <w:jc w:val="both"/>
      </w:pPr>
      <w:r>
        <w:rPr>
          <w:rFonts w:ascii="Calibri" w:cs="Calibri" w:eastAsia="Calibri" w:hAnsi="Calibri"/>
          <w:b/>
          <w:bCs/>
          <w:i w:val="false"/>
          <w:iCs w:val="false"/>
          <w:color w:val="222222"/>
          <w:sz w:val="22"/>
          <w:szCs w:val="22"/>
        </w:rPr>
        <w:t xml:space="preserve">Perjuicios: </w:t>
      </w:r>
      <w:r>
        <w:rPr>
          <w:rFonts w:ascii="Calibri" w:cs="Calibri" w:eastAsia="Calibri" w:hAnsi="Calibri"/>
          <w:b w:val="false"/>
          <w:bCs w:val="false"/>
          <w:i w:val="false"/>
          <w:iCs w:val="false"/>
          <w:color w:val="222222"/>
          <w:sz w:val="22"/>
          <w:szCs w:val="22"/>
        </w:rPr>
        <w:t xml:space="preserve">la utilidad o ganancia lícita que se dejó de obtener como consecuencia del acto dañino (lucro cesante).</w:t>
      </w:r>
    </w:p>
    <w:p>
      <w:pPr>
        <w:spacing w:after="100" w:before="40"/>
        <w:ind/>
        <w:jc w:val="both"/>
      </w:pPr>
      <w:r>
        <w:rPr>
          <w:rFonts w:ascii="Calibri" w:cs="Calibri" w:eastAsia="Calibri" w:hAnsi="Calibri"/>
          <w:b w:val="false"/>
          <w:bCs w:val="false"/>
          <w:i w:val="false"/>
          <w:iCs w:val="false"/>
          <w:color w:val="222222"/>
          <w:sz w:val="22"/>
          <w:szCs w:val="22"/>
        </w:rPr>
        <w:t xml:space="preserve">Para la responsabilidad contractual, el art. 1425 CCEJ establece que si la prestación consiste en dinero, los daños y perjuicios se presumen equivalentes a los intereses legales sobre la cantidad debida, a falta de pacto; si hay pacto de intereses, se aplica el pactado siempre que no sea usurario.</w:t>
      </w:r>
    </w:p>
    <w:p>
      <w:pPr>
        <w:spacing w:after="100" w:before="40"/>
        <w:ind/>
        <w:jc w:val="both"/>
      </w:pPr>
      <w:r>
        <w:rPr>
          <w:rFonts w:ascii="Calibri" w:cs="Calibri" w:eastAsia="Calibri" w:hAnsi="Calibri"/>
          <w:b w:val="false"/>
          <w:bCs w:val="false"/>
          <w:i w:val="false"/>
          <w:iCs w:val="false"/>
          <w:color w:val="222222"/>
          <w:sz w:val="22"/>
          <w:szCs w:val="22"/>
        </w:rPr>
        <w:t xml:space="preserve">La prueba de la cuantía de los daños es un punto frecuente de litigio: necesitas documentales que acrediten el valor del bien dañado o destruido, la ganancia que se dejó de obtener (facturas, contratos pérdidos, análisis comparativos de ingresos), y en su caso, pericial contable o comercial.</w:t>
      </w:r>
    </w:p>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7. ACCIONES CIVILES FUNDAMENTALES</w:t>
      </w:r>
    </w:p>
    <w:p>
      <w:pPr>
        <w:pStyle w:val="Heading2"/>
        <w:spacing w:after="120" w:before="340"/>
      </w:pPr>
      <w:r>
        <w:rPr>
          <w:rFonts w:ascii="Calibri" w:cs="Calibri" w:eastAsia="Calibri" w:hAnsi="Calibri"/>
          <w:b/>
          <w:bCs/>
          <w:color w:val="2E5B9E"/>
          <w:sz w:val="28"/>
          <w:szCs w:val="28"/>
        </w:rPr>
        <w:t xml:space="preserve">7.1 Acción reivindicatoria</w:t>
      </w:r>
    </w:p>
    <w:p>
      <w:pPr>
        <w:spacing w:after="100" w:before="40"/>
        <w:ind/>
        <w:jc w:val="both"/>
      </w:pPr>
      <w:r>
        <w:rPr>
          <w:rFonts w:ascii="Calibri" w:cs="Calibri" w:eastAsia="Calibri" w:hAnsi="Calibri"/>
          <w:b w:val="false"/>
          <w:bCs w:val="false"/>
          <w:i w:val="false"/>
          <w:iCs w:val="false"/>
          <w:color w:val="222222"/>
          <w:sz w:val="22"/>
          <w:szCs w:val="22"/>
        </w:rPr>
        <w:t xml:space="preserve">Es la acción del propietario que no está en posesión contra quien lo posee sin título. Se tramita en juicio ordinario civil. Para que proceda debes probar:</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Que el actor es propietario del bien (título válido inscrito en Registro Público para inmuebles).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Que el demandado está en posesión sin derecho o con título inferior al del actor.</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Que se trata del mismo bien específico (identidad del inmueble o mueble).</w:t>
      </w:r>
    </w:p>
    <w:p>
      <w:pPr>
        <w:pStyle w:val="Heading3"/>
        <w:spacing w:after="80" w:before="240"/>
      </w:pPr>
      <w:r>
        <w:rPr>
          <w:rFonts w:ascii="Calibri" w:cs="Calibri" w:eastAsia="Calibri" w:hAnsi="Calibri"/>
          <w:b/>
          <w:bCs/>
          <w:color w:val="1A2B4A"/>
          <w:sz w:val="24"/>
          <w:szCs w:val="24"/>
        </w:rPr>
        <w:t xml:space="preserve">Defensa del poseedor</w:t>
      </w:r>
    </w:p>
    <w:p>
      <w:pPr>
        <w:spacing w:after="100" w:before="40"/>
        <w:ind/>
        <w:jc w:val="both"/>
      </w:pPr>
      <w:r>
        <w:rPr>
          <w:rFonts w:ascii="Calibri" w:cs="Calibri" w:eastAsia="Calibri" w:hAnsi="Calibri"/>
          <w:b w:val="false"/>
          <w:bCs w:val="false"/>
          <w:i w:val="false"/>
          <w:iCs w:val="false"/>
          <w:color w:val="222222"/>
          <w:sz w:val="22"/>
          <w:szCs w:val="22"/>
        </w:rPr>
        <w:t xml:space="preserve">El demandado puede oponer: que tiene título de propiedad mejor que el actor; usucapión (posesión por el tiempo de ley en condiciones de ley); derecho real de uso o habitación; arrendamiento vigente. La prueba de la usucapión puede neutralizar completamente la reivindicatoria si se han cumplido los plazos.</w:t>
      </w:r>
    </w:p>
    <w:p>
      <w:pPr>
        <w:pStyle w:val="Heading2"/>
        <w:spacing w:after="120" w:before="340"/>
      </w:pPr>
      <w:r>
        <w:rPr>
          <w:rFonts w:ascii="Calibri" w:cs="Calibri" w:eastAsia="Calibri" w:hAnsi="Calibri"/>
          <w:b/>
          <w:bCs/>
          <w:color w:val="2E5B9E"/>
          <w:sz w:val="28"/>
          <w:szCs w:val="28"/>
        </w:rPr>
        <w:t xml:space="preserve">7.2 Acción publiciana y acciones posesorias</w:t>
      </w:r>
    </w:p>
    <w:p>
      <w:pPr>
        <w:spacing w:after="100" w:before="40"/>
        <w:ind/>
        <w:jc w:val="both"/>
      </w:pPr>
      <w:r>
        <w:rPr>
          <w:rFonts w:ascii="Calibri" w:cs="Calibri" w:eastAsia="Calibri" w:hAnsi="Calibri"/>
          <w:b w:val="false"/>
          <w:bCs w:val="false"/>
          <w:i w:val="false"/>
          <w:iCs w:val="false"/>
          <w:color w:val="222222"/>
          <w:sz w:val="22"/>
          <w:szCs w:val="22"/>
        </w:rPr>
        <w:t xml:space="preserve">Las acciones posesorias protegen la posesión como hecho, independientemente del derecho de propiedad. En Jalisco el CPCEJ y el CCEJ reconocen: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interdicto de recuperar la posesión: cuando el poseedor fue despojado de la posesión.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interdicto de retener la posesión: cuando el poseedor está siendo perturbado en su posesión sin llegar al despojo.</w:t>
      </w:r>
    </w:p>
    <w:p>
      <w:pPr>
        <w:spacing w:after="100" w:before="40"/>
        <w:ind/>
        <w:jc w:val="both"/>
      </w:pPr>
      <w:r>
        <w:rPr>
          <w:rFonts w:ascii="Calibri" w:cs="Calibri" w:eastAsia="Calibri" w:hAnsi="Calibri"/>
          <w:b w:val="false"/>
          <w:bCs w:val="false"/>
          <w:i w:val="false"/>
          <w:iCs w:val="false"/>
          <w:color w:val="222222"/>
          <w:sz w:val="22"/>
          <w:szCs w:val="22"/>
        </w:rPr>
        <w:t xml:space="preserve">Las acciones posesorias en Jalisco se tramitan por la vía sumaria (art. 699 ss. CPCEJ). El plazo para ejercerlas es de un año desde el despojo o la perturbación. Si venció ese año, solo queda la reivindicatoria o la acción publiciana.</w:t>
      </w:r>
    </w:p>
    <w:p>
      <w:pPr>
        <w:pStyle w:val="Heading2"/>
        <w:spacing w:after="120" w:before="340"/>
      </w:pPr>
      <w:r>
        <w:rPr>
          <w:rFonts w:ascii="Calibri" w:cs="Calibri" w:eastAsia="Calibri" w:hAnsi="Calibri"/>
          <w:b/>
          <w:bCs/>
          <w:color w:val="2E5B9E"/>
          <w:sz w:val="28"/>
          <w:szCs w:val="28"/>
        </w:rPr>
        <w:t xml:space="preserve">7.3 Usucapión (prescripción adquisitiva — arts. 837-870 CCEJ)</w:t>
      </w:r>
    </w:p>
    <w:p>
      <w:pPr>
        <w:spacing w:after="100" w:before="40"/>
        <w:ind/>
        <w:jc w:val="both"/>
      </w:pPr>
      <w:r>
        <w:rPr>
          <w:rFonts w:ascii="Calibri" w:cs="Calibri" w:eastAsia="Calibri" w:hAnsi="Calibri"/>
          <w:b w:val="false"/>
          <w:bCs w:val="false"/>
          <w:i w:val="false"/>
          <w:iCs w:val="false"/>
          <w:color w:val="222222"/>
          <w:sz w:val="22"/>
          <w:szCs w:val="22"/>
        </w:rPr>
        <w:t xml:space="preserve">La usucapión es la adquisición de la propiedad o de un derecho real mediante la posesión continuada, pública, pacífica y con cierto carácter durante el tiempo que establece la ley.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Tipo</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Requisitos</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Plazo</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Artículo CCEJ</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Usucapión ordinaria de inmuebles</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Posesión en concepto de dueño, pública, pacífica, continua + justo título + buena fe</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5 años</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855</w:t>
            </w:r>
          </w:p>
        </w:tc>
      </w:tr>
      <w:tr>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Usucapión extraordinaria de inmuebles</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Posesión en concepto de dueño, pública, pacífica, continua (sin necesidad de título ni buena fe)</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10 años</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856</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Usucapión de muebles con buena fe</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Posesión pública, pacífica, de buena fe, con justo título</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3 años</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858</w:t>
            </w:r>
          </w:p>
        </w:tc>
      </w:tr>
      <w:tr>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Usucapión de muebles sin buena fe</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Posesión continua por el plazo de ley</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5 años</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859</w:t>
            </w:r>
          </w:p>
        </w:tc>
      </w:tr>
    </w:tbl>
    <w:p>
      <w:pPr>
        <w:spacing w:after="80" w:before="0"/>
      </w:pPr>
    </w:p>
    <w:p>
      <w:pPr>
        <w:spacing w:after="100" w:before="40"/>
        <w:ind/>
        <w:jc w:val="both"/>
      </w:pPr>
      <w:r>
        <w:rPr>
          <w:rFonts w:ascii="Calibri" w:cs="Calibri" w:eastAsia="Calibri" w:hAnsi="Calibri"/>
          <w:b w:val="false"/>
          <w:bCs w:val="false"/>
          <w:i w:val="false"/>
          <w:iCs w:val="false"/>
          <w:color w:val="222222"/>
          <w:sz w:val="22"/>
          <w:szCs w:val="22"/>
        </w:rPr>
        <w:t xml:space="preserve">La usucapión se tramita en juicio ordinario civil. El actor (usucapiente) demanda el reconocimiento de la propiedad. Debes probar la posesión durante todo el plazo con: testimonial de vecinos y conocidos, documentales de pago de servicios e impuestos, fotografías con fechas, inscripción en catastro municipal, en su caso solicitudes de permisos de construcción o remodelación a nombre del poseedor.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none"/>
              <w:left w:val="single" w:color="2E5B9E" w:sz="24"/>
              <w:bottom w:val="none"/>
              <w:right w:val="none"/>
            </w:tcBorders>
            <w:shd w:fill="F2F4F7"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El Registro Público de la Propiedad no es obstáculo para la usucapión extraordinaria: si el poseedor llevó 10 años poseyendo, la inscripción del tercero no lo afecta, salvo que el tercero sea de buena fe y el poseedor no hubiera podido acreditar posesión pública. La estrategia: documentar la posesión lo más atrás posible en el tiempo.</w:t>
            </w:r>
          </w:p>
        </w:tc>
      </w:tr>
    </w:tbl>
    <w:p>
      <w:pPr>
        <w:pStyle w:val="Heading2"/>
        <w:spacing w:after="120" w:before="340"/>
      </w:pPr>
      <w:r>
        <w:rPr>
          <w:rFonts w:ascii="Calibri" w:cs="Calibri" w:eastAsia="Calibri" w:hAnsi="Calibri"/>
          <w:b/>
          <w:bCs/>
          <w:color w:val="2E5B9E"/>
          <w:sz w:val="28"/>
          <w:szCs w:val="28"/>
        </w:rPr>
        <w:t xml:space="preserve">7.4 Acción pauliana (rescisoria en fraude de acreedores — arts. 1669-1682 CCEJ)</w:t>
      </w:r>
    </w:p>
    <w:p>
      <w:pPr>
        <w:spacing w:after="100" w:before="40"/>
        <w:ind/>
        <w:jc w:val="both"/>
      </w:pPr>
      <w:r>
        <w:rPr>
          <w:rFonts w:ascii="Calibri" w:cs="Calibri" w:eastAsia="Calibri" w:hAnsi="Calibri"/>
          <w:b w:val="false"/>
          <w:bCs w:val="false"/>
          <w:i w:val="false"/>
          <w:iCs w:val="false"/>
          <w:color w:val="222222"/>
          <w:sz w:val="22"/>
          <w:szCs w:val="22"/>
        </w:rPr>
        <w:t xml:space="preserve">El acreedor puede demandar la ineficacia de actos de enajenación que el deudor haya realizado en fraude de sus derechos. Para que proceda: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deudor realizó un acto de disposición que afecta los bienes que serían garantía del acreedor.</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acreedor queda insolvente o con bienes insuficientes para cubrir la deuda.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Si el acto fue oneroso: también el tercero adquirente conocía el fraude (mala fe del tercero).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Si el acto fue gratuito: basta la mala fe del deudor; no importa la del tercero.</w:t>
      </w:r>
    </w:p>
    <w:p>
      <w:pPr>
        <w:spacing w:after="100" w:before="40"/>
        <w:ind/>
        <w:jc w:val="both"/>
      </w:pPr>
      <w:r>
        <w:rPr>
          <w:rFonts w:ascii="Calibri" w:cs="Calibri" w:eastAsia="Calibri" w:hAnsi="Calibri"/>
          <w:b w:val="false"/>
          <w:bCs w:val="false"/>
          <w:i w:val="false"/>
          <w:iCs w:val="false"/>
          <w:color w:val="222222"/>
          <w:sz w:val="22"/>
          <w:szCs w:val="22"/>
        </w:rPr>
        <w:t xml:space="preserve">El plazo para ejercer la acción pauliana es de dos años desde que el acreedor tuvo conocimiento del acto (art. 1679 CCEJ). Solo se revoca el acto en la medida necesaria para pagar al acreedor demandante; los demás acreedores no se benefician automáticamente.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none"/>
              <w:left w:val="single" w:color="C8962A" w:sz="24"/>
              <w:bottom w:val="none"/>
              <w:right w:val="none"/>
            </w:tcBorders>
            <w:shd w:fill="F2F4F7"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La acción pauliana es la herramienta para atacar la 'venta' del deudor a su cónyuge o pariente a la víspera de un juicio. Combínala con la simulación: si el 'precio' no fue pagado realmente, es simulación absoluta + pauliana. La prueba: ausencia de precio en cuenta bancaria del vendedor, conservación de posesión por el vendedor, parentesco cercano entre las partes.</w:t>
            </w:r>
          </w:p>
        </w:tc>
      </w:tr>
    </w:tbl>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8. PRESCRIPCIÓN EXTINTIVA — LA DEFENSA MÁS PODEROSA Y MÁS IGNORADA</w:t>
      </w:r>
    </w:p>
    <w:p>
      <w:pPr>
        <w:pStyle w:val="Heading2"/>
        <w:spacing w:after="120" w:before="340"/>
      </w:pPr>
      <w:r>
        <w:rPr>
          <w:rFonts w:ascii="Calibri" w:cs="Calibri" w:eastAsia="Calibri" w:hAnsi="Calibri"/>
          <w:b/>
          <w:bCs/>
          <w:color w:val="2E5B9E"/>
          <w:sz w:val="28"/>
          <w:szCs w:val="28"/>
        </w:rPr>
        <w:t xml:space="preserve">8.1 Qué es y por qué importa</w:t>
      </w:r>
    </w:p>
    <w:p>
      <w:pPr>
        <w:spacing w:after="100" w:before="40"/>
        <w:ind/>
        <w:jc w:val="both"/>
      </w:pPr>
      <w:r>
        <w:rPr>
          <w:rFonts w:ascii="Calibri" w:cs="Calibri" w:eastAsia="Calibri" w:hAnsi="Calibri"/>
          <w:b w:val="false"/>
          <w:bCs w:val="false"/>
          <w:i w:val="false"/>
          <w:iCs w:val="false"/>
          <w:color w:val="222222"/>
          <w:sz w:val="22"/>
          <w:szCs w:val="22"/>
        </w:rPr>
        <w:t xml:space="preserve">La prescripción extintiva o liberatoria es la extinción de la acción (no del derecho sustantivo) por el transcurso del tiempo sin que el titular la ejerza. No extingue la obligación —el deudor sigue debiendo moralmente— pero el acreedor ya no puede exigirla judicialmente.</w:t>
      </w:r>
    </w:p>
    <w:p>
      <w:pPr>
        <w:spacing w:after="100" w:before="40"/>
        <w:ind/>
        <w:jc w:val="both"/>
      </w:pPr>
      <w:r>
        <w:rPr>
          <w:rFonts w:ascii="Calibri" w:cs="Calibri" w:eastAsia="Calibri" w:hAnsi="Calibri"/>
          <w:b w:val="false"/>
          <w:bCs w:val="false"/>
          <w:i w:val="false"/>
          <w:iCs w:val="false"/>
          <w:color w:val="222222"/>
          <w:sz w:val="22"/>
          <w:szCs w:val="22"/>
        </w:rPr>
        <w:t xml:space="preserve">Como abogado, la prescripción te interesa en dos sentidos opuestos: como defensa de tu cliente (deudor) y como riesgo que debes monitorear para tu cliente (acreedor). El error más grave que puedes cometer en materia civil es no calcular el plazo de prescripción en la primera entrevista y perder la acción por no haberla ejercido a tiempo.</w:t>
      </w:r>
    </w:p>
    <w:p>
      <w:pPr>
        <w:pStyle w:val="Heading2"/>
        <w:spacing w:after="120" w:before="340"/>
      </w:pPr>
      <w:r>
        <w:rPr>
          <w:rFonts w:ascii="Calibri" w:cs="Calibri" w:eastAsia="Calibri" w:hAnsi="Calibri"/>
          <w:b/>
          <w:bCs/>
          <w:color w:val="2E5B9E"/>
          <w:sz w:val="28"/>
          <w:szCs w:val="28"/>
        </w:rPr>
        <w:t xml:space="preserve">8.2 Plazos de prescripción más relevantes en Jalisco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Acción</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Plazo</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Artículo CCEJ</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¿Desde cuándo?</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Prescripción general (acciones personales sin plazo especial)</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10 años</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53 fr. I</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Desde que la obligación es exigible</w:t>
            </w:r>
          </w:p>
        </w:tc>
      </w:tr>
      <w:tr>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Acciones reales sobre inmuebles sin justo título</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10 años</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53 fr. I</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Desde que el poseedor tomó posesión</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Nulidad por incapacidad o error (regla especial)</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60 días desde que se conoció el error</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1773</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Desde el conocimiento del error; si no se conoce, plazos del art. 53</w:t>
            </w:r>
          </w:p>
        </w:tc>
      </w:tr>
      <w:tr>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Nulidad por violencia</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6 meses</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1774</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Desde que cesó la violencia</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Lesión</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1 año</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1297 in fine</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Desde la fecha de formalización del contrato</w:t>
            </w:r>
          </w:p>
        </w:tc>
      </w:tr>
      <w:tr>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Acción pauliana (fraude de acreedores)</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2 años</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1679</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Desde que el acreedor tuvo conocimiento del acto</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Daño moral extracontractual</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2 años</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1411</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Desde que se causó el daño</w:t>
            </w:r>
          </w:p>
        </w:tc>
      </w:tr>
      <w:tr>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Vicios redhibitorios — inmuebles</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6 meses</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1656</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Desde la entrega del bien</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Vicios redhibitorios — muebles</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30 días</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1656</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Desde la entrega del bien</w:t>
            </w:r>
          </w:p>
        </w:tc>
      </w:tr>
      <w:tr>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Cobro de honorarios profesionales</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2 años</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55 fr. VII</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Desde que se prestó el servicio</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Acción posesoria (interdictos)</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1 año</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699 CPCEJ</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Desde el despojo o perturbación</w:t>
            </w:r>
          </w:p>
        </w:tc>
      </w:tr>
    </w:tbl>
    <w:p>
      <w:pPr>
        <w:spacing w:after="120" w:before="0"/>
      </w:pPr>
    </w:p>
    <w:p>
      <w:pPr>
        <w:pStyle w:val="Heading2"/>
        <w:spacing w:after="120" w:before="340"/>
      </w:pPr>
      <w:r>
        <w:rPr>
          <w:rFonts w:ascii="Calibri" w:cs="Calibri" w:eastAsia="Calibri" w:hAnsi="Calibri"/>
          <w:b/>
          <w:bCs/>
          <w:color w:val="2E5B9E"/>
          <w:sz w:val="28"/>
          <w:szCs w:val="28"/>
        </w:rPr>
        <w:t xml:space="preserve">8.3 Interrupción y suspensión de la prescripción</w:t>
      </w:r>
    </w:p>
    <w:p>
      <w:pPr>
        <w:pStyle w:val="Heading3"/>
        <w:spacing w:after="80" w:before="240"/>
      </w:pPr>
      <w:r>
        <w:rPr>
          <w:rFonts w:ascii="Calibri" w:cs="Calibri" w:eastAsia="Calibri" w:hAnsi="Calibri"/>
          <w:b/>
          <w:bCs/>
          <w:color w:val="1A2B4A"/>
          <w:sz w:val="24"/>
          <w:szCs w:val="24"/>
        </w:rPr>
        <w:t xml:space="preserve">Causas de interrupción (art. 60-66 CCEJ)</w:t>
      </w:r>
    </w:p>
    <w:p>
      <w:pPr>
        <w:spacing w:after="100" w:before="40"/>
        <w:ind/>
        <w:jc w:val="both"/>
      </w:pPr>
      <w:r>
        <w:rPr>
          <w:rFonts w:ascii="Calibri" w:cs="Calibri" w:eastAsia="Calibri" w:hAnsi="Calibri"/>
          <w:b w:val="false"/>
          <w:bCs w:val="false"/>
          <w:i w:val="false"/>
          <w:iCs w:val="false"/>
          <w:color w:val="222222"/>
          <w:sz w:val="22"/>
          <w:szCs w:val="22"/>
        </w:rPr>
        <w:t xml:space="preserve">La interrupción borra el tiempo transcurrido y reinicia el cómputo desde cero. Se interrumpe por:</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Demanda judicial del acreedor ante juez competente, aunque sea declarado incompetente.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Reconocimiento expreso o tácito del deudor (una letra de cambio renovada, un pago parcial, una carta que reconoce la deuda).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Cualquier acto de constitución en mora del deudor.</w:t>
      </w:r>
    </w:p>
    <w:p>
      <w:pPr>
        <w:pStyle w:val="Heading3"/>
        <w:spacing w:after="80" w:before="240"/>
      </w:pPr>
      <w:r>
        <w:rPr>
          <w:rFonts w:ascii="Calibri" w:cs="Calibri" w:eastAsia="Calibri" w:hAnsi="Calibri"/>
          <w:b/>
          <w:bCs/>
          <w:color w:val="1A2B4A"/>
          <w:sz w:val="24"/>
          <w:szCs w:val="24"/>
        </w:rPr>
        <w:t xml:space="preserve">Causas de suspensión (art. 57-59 CCEJ)</w:t>
      </w:r>
    </w:p>
    <w:p>
      <w:pPr>
        <w:spacing w:after="100" w:before="40"/>
        <w:ind/>
        <w:jc w:val="both"/>
      </w:pPr>
      <w:r>
        <w:rPr>
          <w:rFonts w:ascii="Calibri" w:cs="Calibri" w:eastAsia="Calibri" w:hAnsi="Calibri"/>
          <w:b w:val="false"/>
          <w:bCs w:val="false"/>
          <w:i w:val="false"/>
          <w:iCs w:val="false"/>
          <w:color w:val="222222"/>
          <w:sz w:val="22"/>
          <w:szCs w:val="22"/>
        </w:rPr>
        <w:t xml:space="preserve">La suspensión solo detiene el cómputo; al cesar la causa, se reanuda desde donde estaba. Se suspende, entre otros casos, entre padres e hijos durante la patria potestad, entre tutores y pupilos, entre cónyuges, y mientras exista impedimento legal para ejercer la acción.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none"/>
              <w:left w:val="single" w:color="2E5B9E" w:sz="24"/>
              <w:bottom w:val="none"/>
              <w:right w:val="none"/>
            </w:tcBorders>
            <w:shd w:fill="F2F4F7"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La prescripción no opera automáticamente: debe oponerse como excepción perentoria al contestar la demanda. Si el demandado no la opone expresamente, el juez no la puede declarar de oficio (salvo casos de nulidad absoluta). Esto significa que una deuda prescrita puede cobrarse si el deudor no sabe o no alega la prescripción en tiempo.</w:t>
            </w:r>
          </w:p>
        </w:tc>
      </w:tr>
    </w:tbl>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9. PROCEDIMIENTO CIVIL EN JALISCO — ESTRUCTURA Y ESTRATEGIA</w:t>
      </w:r>
    </w:p>
    <w:p>
      <w:pPr>
        <w:pStyle w:val="Heading2"/>
        <w:spacing w:after="120" w:before="340"/>
      </w:pPr>
      <w:r>
        <w:rPr>
          <w:rFonts w:ascii="Calibri" w:cs="Calibri" w:eastAsia="Calibri" w:hAnsi="Calibri"/>
          <w:b/>
          <w:bCs/>
          <w:color w:val="2E5B9E"/>
          <w:sz w:val="28"/>
          <w:szCs w:val="28"/>
        </w:rPr>
        <w:t xml:space="preserve">9.1 Las vías procesales civiles en Jalisco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Vía</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Artículos CPCEJ</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Cuándo se usa</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Características</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Ordinaria</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267 ss.</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Cuando no hay vía especial aplicable; pretensiones complejas o de mayor cuantía</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La más amplia; etapas completas; demanda, contestación, pruebas, alegatos, sentencia</w:t>
            </w:r>
          </w:p>
        </w:tc>
      </w:tr>
      <w:tr>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Sumaria</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Título VI Cap. I-II CPCEJ</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Pretensiones de menor cuantía; lanzamientos; interdictos; negocios que la ley señale</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Plazos reducidos; limitación de medios de prueba; menos audiencias</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Ejecutiva</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218 ss. CPCEJ</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Cuando el crédito consta en título ejecutivo (pagaré, escritura pública, sentencia, etc.)</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Inicia con mandamiento de ejecución; embargo inmediato; cognición limitada a excepciones taxativas</w:t>
            </w:r>
          </w:p>
        </w:tc>
      </w:tr>
      <w:tr>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Especial hipotecaria</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406 ss. CPCEJ</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Ejecución de hipoteca por incumplimiento del deudor</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Venta judicial del inmueble hipotecado; procedimiento más expedito</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Jurisdicción voluntaria</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641 ss. CPCEJ</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Asuntos sin controversia que requieren intervención judicial (informaciones ad perpetuam, consignación, etc.)</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Sin contraparte; sin contención</w:t>
            </w:r>
          </w:p>
        </w:tc>
      </w:tr>
    </w:tbl>
    <w:p>
      <w:pPr>
        <w:spacing w:after="120" w:before="0"/>
      </w:pPr>
    </w:p>
    <w:p>
      <w:pPr>
        <w:pStyle w:val="Heading2"/>
        <w:spacing w:after="120" w:before="340"/>
      </w:pPr>
      <w:r>
        <w:rPr>
          <w:rFonts w:ascii="Calibri" w:cs="Calibri" w:eastAsia="Calibri" w:hAnsi="Calibri"/>
          <w:b/>
          <w:bCs/>
          <w:color w:val="2E5B9E"/>
          <w:sz w:val="28"/>
          <w:szCs w:val="28"/>
        </w:rPr>
        <w:t xml:space="preserve">9.2 El juicio ordinario civil — etapas completas</w:t>
      </w:r>
    </w:p>
    <w:p>
      <w:pPr>
        <w:pStyle w:val="Heading3"/>
        <w:spacing w:after="80" w:before="240"/>
      </w:pPr>
      <w:r>
        <w:rPr>
          <w:rFonts w:ascii="Calibri" w:cs="Calibri" w:eastAsia="Calibri" w:hAnsi="Calibri"/>
          <w:b/>
          <w:bCs/>
          <w:color w:val="1A2B4A"/>
          <w:sz w:val="24"/>
          <w:szCs w:val="24"/>
        </w:rPr>
        <w:t xml:space="preserve">Etapa 1: Demanda (art. 267 CPCEJ)</w:t>
      </w:r>
    </w:p>
    <w:p>
      <w:pPr>
        <w:spacing w:after="100" w:before="40"/>
        <w:ind/>
        <w:jc w:val="both"/>
      </w:pPr>
      <w:r>
        <w:rPr>
          <w:rFonts w:ascii="Calibri" w:cs="Calibri" w:eastAsia="Calibri" w:hAnsi="Calibri"/>
          <w:b w:val="false"/>
          <w:bCs w:val="false"/>
          <w:i w:val="false"/>
          <w:iCs w:val="false"/>
          <w:color w:val="222222"/>
          <w:sz w:val="22"/>
          <w:szCs w:val="22"/>
        </w:rPr>
        <w:t xml:space="preserve">La demanda debe contener: nombre y domicilio del actor y del demandado; objeto de la pretensión; hechos en que se funda; fundamentos de derecho; ofrecimiento de pruebas; firma del actor y del abogado autorizado.</w:t>
      </w:r>
    </w:p>
    <w:p>
      <w:pPr>
        <w:spacing w:after="100" w:before="40"/>
        <w:ind/>
        <w:jc w:val="both"/>
      </w:pPr>
      <w:r>
        <w:rPr>
          <w:rFonts w:ascii="Calibri" w:cs="Calibri" w:eastAsia="Calibri" w:hAnsi="Calibri"/>
          <w:b w:val="false"/>
          <w:bCs w:val="false"/>
          <w:i w:val="false"/>
          <w:iCs w:val="false"/>
          <w:color w:val="222222"/>
          <w:sz w:val="22"/>
          <w:szCs w:val="22"/>
        </w:rPr>
        <w:t xml:space="preserve">Regla de oro antes de presentarla: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Verifica la competencia por materia (civil, no mercantil ni familiar) y por territorio (domicilio del demandado, salvo reglas especiales de art. 161 CPCEJ).</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Verifica la cuantía para determinar juzgado competente.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Acompaña todos los documentos fundatorios con la demanda (art. 90 CPCEJ: los documentos no presentados con la demanda, no pueden presentarse después salvo excepciones taxativas).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Incluye copias para traslado a la contraparte (art. 91 CPCEJ).</w:t>
      </w:r>
    </w:p>
    <w:p>
      <w:pPr>
        <w:pStyle w:val="Heading3"/>
        <w:spacing w:after="80" w:before="240"/>
      </w:pPr>
      <w:r>
        <w:rPr>
          <w:rFonts w:ascii="Calibri" w:cs="Calibri" w:eastAsia="Calibri" w:hAnsi="Calibri"/>
          <w:b/>
          <w:bCs/>
          <w:color w:val="1A2B4A"/>
          <w:sz w:val="24"/>
          <w:szCs w:val="24"/>
        </w:rPr>
        <w:t xml:space="preserve">Etapa 2: Admisión y prevención</w:t>
      </w:r>
    </w:p>
    <w:p>
      <w:pPr>
        <w:spacing w:after="100" w:before="40"/>
        <w:ind/>
        <w:jc w:val="both"/>
      </w:pPr>
      <w:r>
        <w:rPr>
          <w:rFonts w:ascii="Calibri" w:cs="Calibri" w:eastAsia="Calibri" w:hAnsi="Calibri"/>
          <w:b w:val="false"/>
          <w:bCs w:val="false"/>
          <w:i w:val="false"/>
          <w:iCs w:val="false"/>
          <w:color w:val="222222"/>
          <w:sz w:val="22"/>
          <w:szCs w:val="22"/>
        </w:rPr>
        <w:t xml:space="preserve">El juez revisa y puede prevenir (art. 269 CPCEJ) dentro de 3 días si hay oscuridad, irregularidades o faltan documentos. Si no se subsana en plazo, la demanda puede desecharse. Revisa tu demanda como si fueras el juez: busca inconsistencias entre hechos, fundamentos y peticiones antes de presentarla.</w:t>
      </w:r>
    </w:p>
    <w:p>
      <w:pPr>
        <w:pStyle w:val="Heading3"/>
        <w:spacing w:after="80" w:before="240"/>
      </w:pPr>
      <w:r>
        <w:rPr>
          <w:rFonts w:ascii="Calibri" w:cs="Calibri" w:eastAsia="Calibri" w:hAnsi="Calibri"/>
          <w:b/>
          <w:bCs/>
          <w:color w:val="1A2B4A"/>
          <w:sz w:val="24"/>
          <w:szCs w:val="24"/>
        </w:rPr>
        <w:t xml:space="preserve">Etapa 3: Emplazamiento</w:t>
      </w:r>
    </w:p>
    <w:p>
      <w:pPr>
        <w:spacing w:after="100" w:before="40"/>
        <w:ind/>
        <w:jc w:val="both"/>
      </w:pPr>
      <w:r>
        <w:rPr>
          <w:rFonts w:ascii="Calibri" w:cs="Calibri" w:eastAsia="Calibri" w:hAnsi="Calibri"/>
          <w:b w:val="false"/>
          <w:bCs w:val="false"/>
          <w:i w:val="false"/>
          <w:iCs w:val="false"/>
          <w:color w:val="222222"/>
          <w:sz w:val="22"/>
          <w:szCs w:val="22"/>
        </w:rPr>
        <w:t xml:space="preserve">Es la notificación formal al demandado. Debe practicarse personalmente (art. 112 CPCEJ). Si no se localiza: citatorio para el día siguiente; si tampoco atiende: cédula con pariente, empleado o vecino. Si se desconoce el domicilio: edictos (art. 117 CPCEJ). Un emplazamiento mal practicado es causa de nulidad de todo lo actuado.</w:t>
      </w:r>
    </w:p>
    <w:p>
      <w:pPr>
        <w:pStyle w:val="Heading3"/>
        <w:spacing w:after="80" w:before="240"/>
      </w:pPr>
      <w:r>
        <w:rPr>
          <w:rFonts w:ascii="Calibri" w:cs="Calibri" w:eastAsia="Calibri" w:hAnsi="Calibri"/>
          <w:b/>
          <w:bCs/>
          <w:color w:val="1A2B4A"/>
          <w:sz w:val="24"/>
          <w:szCs w:val="24"/>
        </w:rPr>
        <w:t xml:space="preserve">Etapa 4: Contestación y reconvención</w:t>
      </w:r>
    </w:p>
    <w:p>
      <w:pPr>
        <w:spacing w:after="100" w:before="40"/>
        <w:ind/>
        <w:jc w:val="both"/>
      </w:pPr>
      <w:r>
        <w:rPr>
          <w:rFonts w:ascii="Calibri" w:cs="Calibri" w:eastAsia="Calibri" w:hAnsi="Calibri"/>
          <w:b w:val="false"/>
          <w:bCs w:val="false"/>
          <w:i w:val="false"/>
          <w:iCs w:val="false"/>
          <w:color w:val="222222"/>
          <w:sz w:val="22"/>
          <w:szCs w:val="22"/>
        </w:rPr>
        <w:t xml:space="preserve">El demandado tiene 9 días para contestar en el ordinario (art. 271 CPCEJ). En la contestación debe: confesar o negar cada hecho; oponer excepciones (dilatorias y perentorias); en su caso, reconvenir. Los hechos no contestados expresamente se tienen por confesados (art. 274 CPCEJ).</w:t>
      </w:r>
    </w:p>
    <w:p>
      <w:pPr>
        <w:spacing w:after="100" w:before="40"/>
        <w:ind/>
        <w:jc w:val="both"/>
      </w:pPr>
      <w:r>
        <w:rPr>
          <w:rFonts w:ascii="Calibri" w:cs="Calibri" w:eastAsia="Calibri" w:hAnsi="Calibri"/>
          <w:b w:val="false"/>
          <w:bCs w:val="false"/>
          <w:i w:val="false"/>
          <w:iCs w:val="false"/>
          <w:color w:val="222222"/>
          <w:sz w:val="22"/>
          <w:szCs w:val="22"/>
        </w:rPr>
        <w:t xml:space="preserve">La reconvención es la demanda que el demandado dirige contra el actor. Si la contraparte reconviene, tienes el mismo plazo que tendría el demandado para contestar una demanda nueva.</w:t>
      </w:r>
    </w:p>
    <w:p>
      <w:pPr>
        <w:pStyle w:val="Heading3"/>
        <w:spacing w:after="80" w:before="240"/>
      </w:pPr>
      <w:r>
        <w:rPr>
          <w:rFonts w:ascii="Calibri" w:cs="Calibri" w:eastAsia="Calibri" w:hAnsi="Calibri"/>
          <w:b/>
          <w:bCs/>
          <w:color w:val="1A2B4A"/>
          <w:sz w:val="24"/>
          <w:szCs w:val="24"/>
        </w:rPr>
        <w:t xml:space="preserve">Etapa 5: Audiencia de conciliación (art. 282 Bis CPCEJ)</w:t>
      </w:r>
    </w:p>
    <w:p>
      <w:pPr>
        <w:spacing w:after="100" w:before="40"/>
        <w:ind/>
        <w:jc w:val="both"/>
      </w:pPr>
      <w:r>
        <w:rPr>
          <w:rFonts w:ascii="Calibri" w:cs="Calibri" w:eastAsia="Calibri" w:hAnsi="Calibri"/>
          <w:b w:val="false"/>
          <w:bCs w:val="false"/>
          <w:i w:val="false"/>
          <w:iCs w:val="false"/>
          <w:color w:val="222222"/>
          <w:sz w:val="22"/>
          <w:szCs w:val="22"/>
        </w:rPr>
        <w:t xml:space="preserve">Contestada la demanda y, en su caso, la reconvención, el juez cita de oficio a una audiencia conciliatoria. Prepara siempre una propuesta de acuerdo antes de ir: define con tu cliente cuál es el mínimo aceptable. Un acuerdo en esta etapa ahorra meses de litigio.</w:t>
      </w:r>
    </w:p>
    <w:p>
      <w:pPr>
        <w:pStyle w:val="Heading3"/>
        <w:spacing w:after="80" w:before="240"/>
      </w:pPr>
      <w:r>
        <w:rPr>
          <w:rFonts w:ascii="Calibri" w:cs="Calibri" w:eastAsia="Calibri" w:hAnsi="Calibri"/>
          <w:b/>
          <w:bCs/>
          <w:color w:val="1A2B4A"/>
          <w:sz w:val="24"/>
          <w:szCs w:val="24"/>
        </w:rPr>
        <w:t xml:space="preserve">Etapa 6: Periodo probatorio</w:t>
      </w:r>
    </w:p>
    <w:p>
      <w:pPr>
        <w:spacing w:after="100" w:before="40"/>
        <w:ind/>
        <w:jc w:val="both"/>
      </w:pPr>
      <w:r>
        <w:rPr>
          <w:rFonts w:ascii="Calibri" w:cs="Calibri" w:eastAsia="Calibri" w:hAnsi="Calibri"/>
          <w:b w:val="false"/>
          <w:bCs w:val="false"/>
          <w:i w:val="false"/>
          <w:iCs w:val="false"/>
          <w:color w:val="222222"/>
          <w:sz w:val="22"/>
          <w:szCs w:val="22"/>
        </w:rPr>
        <w:t xml:space="preserve">Las pruebas se ofrecen en la demanda y la contestación. El juez las admite o desecha según pertinencia y legalidad. El desahogo se realiza en audiencia. Atención: en Jalisco el ordenamiento procesal civil ha incorporado elementos de oralidad y audiencias concentradas — verifica la práctica específica del juzgado donde litigas porque varía por partido judicial.</w:t>
      </w:r>
    </w:p>
    <w:p>
      <w:pPr>
        <w:pStyle w:val="Heading3"/>
        <w:spacing w:after="80" w:before="240"/>
      </w:pPr>
      <w:r>
        <w:rPr>
          <w:rFonts w:ascii="Calibri" w:cs="Calibri" w:eastAsia="Calibri" w:hAnsi="Calibri"/>
          <w:b/>
          <w:bCs/>
          <w:color w:val="1A2B4A"/>
          <w:sz w:val="24"/>
          <w:szCs w:val="24"/>
        </w:rPr>
        <w:t xml:space="preserve">Etapa 7: Alegatos y sentencia</w:t>
      </w:r>
    </w:p>
    <w:p>
      <w:pPr>
        <w:spacing w:after="100" w:before="40"/>
        <w:ind/>
        <w:jc w:val="both"/>
      </w:pPr>
      <w:r>
        <w:rPr>
          <w:rFonts w:ascii="Calibri" w:cs="Calibri" w:eastAsia="Calibri" w:hAnsi="Calibri"/>
          <w:b w:val="false"/>
          <w:bCs w:val="false"/>
          <w:i w:val="false"/>
          <w:iCs w:val="false"/>
          <w:color w:val="222222"/>
          <w:sz w:val="22"/>
          <w:szCs w:val="22"/>
        </w:rPr>
        <w:t xml:space="preserve">Los alegatos son las conclusiones del abogado donde vincula los hechos probados con el derecho. Estructura recomendada: síntesis de pretensiones → hechos probados (cita prueba por prueba) → aplicación del derecho → refutación de la contraparte → petición de sentencia favorable. Presentados los alegatos, el juez emite sentencia.</w:t>
      </w:r>
    </w:p>
    <w:p>
      <w:pPr>
        <w:pStyle w:val="Heading3"/>
        <w:spacing w:after="80" w:before="240"/>
      </w:pPr>
      <w:r>
        <w:rPr>
          <w:rFonts w:ascii="Calibri" w:cs="Calibri" w:eastAsia="Calibri" w:hAnsi="Calibri"/>
          <w:b/>
          <w:bCs/>
          <w:color w:val="1A2B4A"/>
          <w:sz w:val="24"/>
          <w:szCs w:val="24"/>
        </w:rPr>
        <w:t xml:space="preserve">Etapa 8: Recursos</w:t>
      </w:r>
    </w:p>
    <w:p>
      <w:pPr>
        <w:spacing w:after="100" w:before="40"/>
        <w:ind/>
        <w:jc w:val="both"/>
      </w:pPr>
      <w:r>
        <w:rPr>
          <w:rFonts w:ascii="Calibri" w:cs="Calibri" w:eastAsia="Calibri" w:hAnsi="Calibri"/>
          <w:b w:val="false"/>
          <w:bCs w:val="false"/>
          <w:i w:val="false"/>
          <w:iCs w:val="false"/>
          <w:color w:val="222222"/>
          <w:sz w:val="22"/>
          <w:szCs w:val="22"/>
        </w:rPr>
        <w:t xml:space="preserve">La apelación procede contra sentencias definitivas y ciertas interlocutorias (art. 434 CPCEJ). El amparo directo en materias de estricto derecho. Siempre verifica si la cuantía permite apelación antes de prometérsela al cliente: hay casos de cuantía mínima donde la sentencia de primera instancia es inapelable.</w:t>
      </w:r>
    </w:p>
    <w:p>
      <w:pPr>
        <w:pStyle w:val="Heading2"/>
        <w:spacing w:after="120" w:before="340"/>
      </w:pPr>
      <w:r>
        <w:rPr>
          <w:rFonts w:ascii="Calibri" w:cs="Calibri" w:eastAsia="Calibri" w:hAnsi="Calibri"/>
          <w:b/>
          <w:bCs/>
          <w:color w:val="2E5B9E"/>
          <w:sz w:val="28"/>
          <w:szCs w:val="28"/>
        </w:rPr>
        <w:t xml:space="preserve">9.3 El juicio ejecutivo civil</w:t>
      </w:r>
    </w:p>
    <w:p>
      <w:pPr>
        <w:spacing w:after="100" w:before="40"/>
        <w:ind/>
        <w:jc w:val="both"/>
      </w:pPr>
      <w:r>
        <w:rPr>
          <w:rFonts w:ascii="Calibri" w:cs="Calibri" w:eastAsia="Calibri" w:hAnsi="Calibri"/>
          <w:b w:val="false"/>
          <w:bCs w:val="false"/>
          <w:i w:val="false"/>
          <w:iCs w:val="false"/>
          <w:color w:val="222222"/>
          <w:sz w:val="22"/>
          <w:szCs w:val="22"/>
        </w:rPr>
        <w:t xml:space="preserve">El juicio ejecutivo procede cuando el crédito consta en un título ejecutivo. La ley reconoce como títulos ejecutivos (art. 207 CPCEJ):</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Sentencia ejecutoriada.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Escritura pública (reconocida ante juez o notario con fuerza ejecutiva).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Documentos privados judicialmente reconocidos.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Confesión judicial rendida ante el juez competente.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Títulos de crédito (pagaré, letra de cambio, cheque) — con las formalidades de la Ley General de Títulos y Operaciones de Crédito.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Pólizas de seguros en los casos que procedan.</w:t>
      </w:r>
    </w:p>
    <w:p>
      <w:pPr>
        <w:spacing w:after="100" w:before="40"/>
        <w:ind/>
        <w:jc w:val="both"/>
      </w:pPr>
      <w:r>
        <w:rPr>
          <w:rFonts w:ascii="Calibri" w:cs="Calibri" w:eastAsia="Calibri" w:hAnsi="Calibri"/>
          <w:b w:val="false"/>
          <w:bCs w:val="false"/>
          <w:i w:val="false"/>
          <w:iCs w:val="false"/>
          <w:color w:val="222222"/>
          <w:sz w:val="22"/>
          <w:szCs w:val="22"/>
        </w:rPr>
        <w:t xml:space="preserve">El procedimiento inicia con el mandamiento de ejecución y embargo simultáneo. El demandado solo puede oponer excepciones taxativas (art. 204 CPCEJ): falta de personalidad, pago, compensación de crédito líquido, espera, quita, remisión, novación, rescisión, término, condición, falsedad del título. Las excepciones que no figuren en ese catálogo son improcedentes en la vía ejecutiva.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none"/>
              <w:left w:val="single" w:color="C8962A" w:sz="24"/>
              <w:bottom w:val="none"/>
              <w:right w:val="none"/>
            </w:tcBorders>
            <w:shd w:fill="F2F4F7"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Cuando el cliente llega con un pagaré: verifica antes de demandar que: (1) el plazo esté vencido, (2) el documento no tenga borrones o alteraciones, (3) la firma del obligado sea la misma que en su identificación, (4) no haya prescrito la acción cambiaria (3 años para pagarés, art. 174 LGTOC). Un pagaré mal elaborado puede ser rechazado como título ejecutivo y obliga a reconvertir a juicio ordinario.</w:t>
            </w:r>
          </w:p>
        </w:tc>
      </w:tr>
    </w:tbl>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10. PRUEBAS EN MATERIA CIVIL</w:t>
      </w:r>
    </w:p>
    <w:p>
      <w:pPr>
        <w:pStyle w:val="Heading2"/>
        <w:spacing w:after="120" w:before="340"/>
      </w:pPr>
      <w:r>
        <w:rPr>
          <w:rFonts w:ascii="Calibri" w:cs="Calibri" w:eastAsia="Calibri" w:hAnsi="Calibri"/>
          <w:b/>
          <w:bCs/>
          <w:color w:val="2E5B9E"/>
          <w:sz w:val="28"/>
          <w:szCs w:val="28"/>
        </w:rPr>
        <w:t xml:space="preserve">10.1 Principios generales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Carga de la prueba (art. 286 CPCEJ): el actor prueba los hechos constitutivos de su acción; el demandado, los de sus excepciones.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Relación con los hechos: cada prueba debe vincularse al hecho específico que pretende acreditar. No basta ofrecer documentos en genérico.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Ofrecimiento: se hace en demanda y contestación. No se admiten pruebas fuera del periodo salvo supervenientes (art. 93 CPCEJ).</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Valoración: el juez aplica el sistema de prueba libre (sana crítica), salvo documentos públicos que hacen prueba plena (art. 399 CPCEJ) y la confesión judicial (prueba plena sobre hechos propios, art. 306 CPCEJ).</w:t>
      </w:r>
    </w:p>
    <w:p>
      <w:pPr>
        <w:pStyle w:val="Heading2"/>
        <w:spacing w:after="120" w:before="340"/>
      </w:pPr>
      <w:r>
        <w:rPr>
          <w:rFonts w:ascii="Calibri" w:cs="Calibri" w:eastAsia="Calibri" w:hAnsi="Calibri"/>
          <w:b/>
          <w:bCs/>
          <w:color w:val="2E5B9E"/>
          <w:sz w:val="28"/>
          <w:szCs w:val="28"/>
        </w:rPr>
        <w:t xml:space="preserve">10.2 Documentales</w:t>
      </w:r>
    </w:p>
    <w:p>
      <w:pPr>
        <w:pStyle w:val="Heading3"/>
        <w:spacing w:after="80" w:before="240"/>
      </w:pPr>
      <w:r>
        <w:rPr>
          <w:rFonts w:ascii="Calibri" w:cs="Calibri" w:eastAsia="Calibri" w:hAnsi="Calibri"/>
          <w:b/>
          <w:bCs/>
          <w:color w:val="1A2B4A"/>
          <w:sz w:val="24"/>
          <w:szCs w:val="24"/>
        </w:rPr>
        <w:t xml:space="preserve">Documentos públicos</w:t>
      </w:r>
    </w:p>
    <w:p>
      <w:pPr>
        <w:spacing w:after="100" w:before="40"/>
        <w:ind/>
        <w:jc w:val="both"/>
      </w:pPr>
      <w:r>
        <w:rPr>
          <w:rFonts w:ascii="Calibri" w:cs="Calibri" w:eastAsia="Calibri" w:hAnsi="Calibri"/>
          <w:b w:val="false"/>
          <w:bCs w:val="false"/>
          <w:i w:val="false"/>
          <w:iCs w:val="false"/>
          <w:color w:val="222222"/>
          <w:sz w:val="22"/>
          <w:szCs w:val="22"/>
        </w:rPr>
        <w:t xml:space="preserve">Hacen prueba plena de los hechos que el funcionario declare haber hecho u ocurrido en su presencia (art. 399 CPCEJ). Incluyen: escrituras notariales, actas del Registro Civil, sentencias judiciales certificadas, actuaciones ante fedatario público.</w:t>
      </w:r>
    </w:p>
    <w:p>
      <w:pPr>
        <w:pStyle w:val="Heading3"/>
        <w:spacing w:after="80" w:before="240"/>
      </w:pPr>
      <w:r>
        <w:rPr>
          <w:rFonts w:ascii="Calibri" w:cs="Calibri" w:eastAsia="Calibri" w:hAnsi="Calibri"/>
          <w:b/>
          <w:bCs/>
          <w:color w:val="1A2B4A"/>
          <w:sz w:val="24"/>
          <w:szCs w:val="24"/>
        </w:rPr>
        <w:t xml:space="preserve">Documentos privados</w:t>
      </w:r>
    </w:p>
    <w:p>
      <w:pPr>
        <w:spacing w:after="100" w:before="40"/>
        <w:ind/>
        <w:jc w:val="both"/>
      </w:pPr>
      <w:r>
        <w:rPr>
          <w:rFonts w:ascii="Calibri" w:cs="Calibri" w:eastAsia="Calibri" w:hAnsi="Calibri"/>
          <w:b w:val="false"/>
          <w:bCs w:val="false"/>
          <w:i w:val="false"/>
          <w:iCs w:val="false"/>
          <w:color w:val="222222"/>
          <w:sz w:val="22"/>
          <w:szCs w:val="22"/>
        </w:rPr>
        <w:t xml:space="preserve">Solo hacen prueba plena si son reconocidos por quien se atribuyen o no son objetados en tiempo. Estrategia: si la contraparte ofrece un documento privado que te perjudica, objétalo expresamente al contestar o en la audiencia correspondiente. Si no lo objetas, se tiene por auténtico.</w:t>
      </w:r>
    </w:p>
    <w:p>
      <w:pPr>
        <w:pStyle w:val="Heading3"/>
        <w:spacing w:after="80" w:before="240"/>
      </w:pPr>
      <w:r>
        <w:rPr>
          <w:rFonts w:ascii="Calibri" w:cs="Calibri" w:eastAsia="Calibri" w:hAnsi="Calibri"/>
          <w:b/>
          <w:bCs/>
          <w:color w:val="1A2B4A"/>
          <w:sz w:val="24"/>
          <w:szCs w:val="24"/>
        </w:rPr>
        <w:t xml:space="preserve">Documentos electrónicos y mensajes digitales</w:t>
      </w:r>
    </w:p>
    <w:p>
      <w:pPr>
        <w:spacing w:after="100" w:before="40"/>
        <w:ind/>
        <w:jc w:val="both"/>
      </w:pPr>
      <w:r>
        <w:rPr>
          <w:rFonts w:ascii="Calibri" w:cs="Calibri" w:eastAsia="Calibri" w:hAnsi="Calibri"/>
          <w:b w:val="false"/>
          <w:bCs w:val="false"/>
          <w:i w:val="false"/>
          <w:iCs w:val="false"/>
          <w:color w:val="222222"/>
          <w:sz w:val="22"/>
          <w:szCs w:val="22"/>
        </w:rPr>
        <w:t xml:space="preserve">Son admisibles conforme al art. 298 fr. VII y X CPCEJ. Para elevar su valor probatorio: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Certificación notarial del contenido del dispositivo o cuenta al momento de la fe de hechos.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Exportar la conversación completa (no solo capturas de pantalla aisladas).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Pericial en informática forense para acreditar autoría y metadatos (fecha, hora, número de teléfono o cuenta).</w:t>
      </w:r>
    </w:p>
    <w:p>
      <w:pPr>
        <w:pStyle w:val="Heading2"/>
        <w:spacing w:after="120" w:before="340"/>
      </w:pPr>
      <w:r>
        <w:rPr>
          <w:rFonts w:ascii="Calibri" w:cs="Calibri" w:eastAsia="Calibri" w:hAnsi="Calibri"/>
          <w:b/>
          <w:bCs/>
          <w:color w:val="2E5B9E"/>
          <w:sz w:val="28"/>
          <w:szCs w:val="28"/>
        </w:rPr>
        <w:t xml:space="preserve">10.3 Testimonial</w:t>
      </w:r>
    </w:p>
    <w:p>
      <w:pPr>
        <w:spacing w:after="100" w:before="40"/>
        <w:ind/>
        <w:jc w:val="both"/>
      </w:pPr>
      <w:r>
        <w:rPr>
          <w:rFonts w:ascii="Calibri" w:cs="Calibri" w:eastAsia="Calibri" w:hAnsi="Calibri"/>
          <w:b w:val="false"/>
          <w:bCs w:val="false"/>
          <w:i w:val="false"/>
          <w:iCs w:val="false"/>
          <w:color w:val="222222"/>
          <w:sz w:val="22"/>
          <w:szCs w:val="22"/>
        </w:rPr>
        <w:t xml:space="preserve">Útil para acreditar hechos que no constan en documentos: la entrega de un bien, la celebración de un contrato verbal, el estado de un inmueble, el incumplimiento de una obligación de hacer o no hacer.</w:t>
      </w:r>
    </w:p>
    <w:p>
      <w:pPr>
        <w:pStyle w:val="Heading3"/>
        <w:spacing w:after="80" w:before="240"/>
      </w:pPr>
      <w:r>
        <w:rPr>
          <w:rFonts w:ascii="Calibri" w:cs="Calibri" w:eastAsia="Calibri" w:hAnsi="Calibri"/>
          <w:b/>
          <w:bCs/>
          <w:color w:val="1A2B4A"/>
          <w:sz w:val="24"/>
          <w:szCs w:val="24"/>
        </w:rPr>
        <w:t xml:space="preserve">Preparación del interrogatorio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Redáctalo por escrito antes de la audiencia (hasta 40 preguntas, art. 366 CPCEJ).</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Las preguntas deben ser sobre hechos, no sobre opiniones ni conclusiones jurídicas.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Prepara al testigo sobre la dinámica de la audiencia (sin sugerirle respuestas), para que sus respuestas sean precisas y concretas.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Anticipa qué le preguntará la contraparte y prepara al testigo para responder con hechos, no con generalizaciones.</w:t>
      </w:r>
    </w:p>
    <w:p>
      <w:pPr>
        <w:pStyle w:val="Heading2"/>
        <w:spacing w:after="120" w:before="340"/>
      </w:pPr>
      <w:r>
        <w:rPr>
          <w:rFonts w:ascii="Calibri" w:cs="Calibri" w:eastAsia="Calibri" w:hAnsi="Calibri"/>
          <w:b/>
          <w:bCs/>
          <w:color w:val="2E5B9E"/>
          <w:sz w:val="28"/>
          <w:szCs w:val="28"/>
        </w:rPr>
        <w:t xml:space="preserve">10.4 Pericial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Tipo de pericial</w:t>
            </w:r>
          </w:p>
        </w:tc>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Cuándo es útil</w:t>
            </w:r>
          </w:p>
        </w:tc>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Quién la ofrece</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Contable/Financiera</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Cuantificar daños, ingresos no declarados, utilidades de negocios</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Ambas partes; también el juez de oficio</w:t>
            </w:r>
          </w:p>
        </w:tc>
      </w:tr>
      <w:tr>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Valuatoria (avalúo)</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Determinar valor de mercado de inmuebles, vehículos, maquinaria para daños o nulidad por lesión</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La parte que alega la desproporción de valor</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Grafoscópica</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Autenticidad de firmas en contratos impugnados, testamentos ológrafos</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La parte que impugna la firma</w:t>
            </w:r>
          </w:p>
        </w:tc>
      </w:tr>
      <w:tr>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Informática forense</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Autenticidad de mensajes digitales, metadatos, origen de archivos electrónicos</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La parte que ofrece la evidencia digital</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Médica/Psiquiátrica</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Incapacidad del otorgante de un acto; valoración de daño psicológico en daño moral</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La parte que alega incapacidad o daño psicológico</w:t>
            </w:r>
          </w:p>
        </w:tc>
      </w:tr>
      <w:tr>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Técnica especializada</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Vicios de construcción, defectos ocultos en inmuebles, daños en obra civil</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La parte que alega el vicio redhibitorio o el daño</w:t>
            </w:r>
          </w:p>
        </w:tc>
      </w:tr>
    </w:tbl>
    <w:p>
      <w:pPr>
        <w:spacing w:after="120" w:before="0"/>
      </w:pPr>
    </w:p>
    <w:p>
      <w:pPr>
        <w:spacing w:after="100" w:before="40"/>
        <w:ind/>
        <w:jc w:val="both"/>
      </w:pPr>
      <w:r>
        <w:rPr>
          <w:rFonts w:ascii="Calibri" w:cs="Calibri" w:eastAsia="Calibri" w:hAnsi="Calibri"/>
          <w:b w:val="false"/>
          <w:bCs w:val="false"/>
          <w:i w:val="false"/>
          <w:iCs w:val="false"/>
          <w:color w:val="222222"/>
          <w:sz w:val="22"/>
          <w:szCs w:val="22"/>
        </w:rPr>
        <w:t xml:space="preserve">El perito designado por las partes debe tener título profesional en la rama correspondiente. Si los dictámenes de ambas partes se contradicen, el juez puede nombrar un perito tercero en discordia (art. 346 CPCEJ) cuyo dictamen tiene mayor peso.</w:t>
      </w:r>
    </w:p>
    <w:p>
      <w:pPr>
        <w:pStyle w:val="Heading2"/>
        <w:spacing w:after="120" w:before="340"/>
      </w:pPr>
      <w:r>
        <w:rPr>
          <w:rFonts w:ascii="Calibri" w:cs="Calibri" w:eastAsia="Calibri" w:hAnsi="Calibri"/>
          <w:b/>
          <w:bCs/>
          <w:color w:val="2E5B9E"/>
          <w:sz w:val="28"/>
          <w:szCs w:val="28"/>
        </w:rPr>
        <w:t xml:space="preserve">10.5 Presunciones e indicios</w:t>
      </w:r>
    </w:p>
    <w:p>
      <w:pPr>
        <w:spacing w:after="100" w:before="40"/>
        <w:ind/>
        <w:jc w:val="both"/>
      </w:pPr>
      <w:r>
        <w:rPr>
          <w:rFonts w:ascii="Calibri" w:cs="Calibri" w:eastAsia="Calibri" w:hAnsi="Calibri"/>
          <w:b w:val="false"/>
          <w:bCs w:val="false"/>
          <w:i w:val="false"/>
          <w:iCs w:val="false"/>
          <w:color w:val="222222"/>
          <w:sz w:val="22"/>
          <w:szCs w:val="22"/>
        </w:rPr>
        <w:t xml:space="preserve">Las presunciones legales (establecidas en la ley) releven de prueba al que las invoca; el adversario debe probar que no concurren los hechos base. Ejemplos: la buena fe se presume; los hijos nacidos durante el matrimonio se presumen del marido; quien posee en concepto de dueño se presume propietario.</w:t>
      </w:r>
    </w:p>
    <w:p>
      <w:pPr>
        <w:spacing w:after="100" w:before="40"/>
        <w:ind/>
        <w:jc w:val="both"/>
      </w:pPr>
      <w:r>
        <w:rPr>
          <w:rFonts w:ascii="Calibri" w:cs="Calibri" w:eastAsia="Calibri" w:hAnsi="Calibri"/>
          <w:b w:val="false"/>
          <w:bCs w:val="false"/>
          <w:i w:val="false"/>
          <w:iCs w:val="false"/>
          <w:color w:val="222222"/>
          <w:sz w:val="22"/>
          <w:szCs w:val="22"/>
        </w:rPr>
        <w:t xml:space="preserve">Los indicios son hechos conocidos de los que el juez puede inferir hechos desconocidos mediante un razonamiento lógico (presunción judicial). En litigios de simulación, fraude o nulidad, los indicios a veces son la única evidencia disponible. Preséntalos en conjunto para que el cuadro indiciario sea convincente.</w:t>
      </w:r>
    </w:p>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11. CASO PRÁCTICO COMPLETO</w:t>
      </w:r>
    </w:p>
    <w:p>
      <w:pPr>
        <w:pStyle w:val="Heading2"/>
        <w:spacing w:after="120" w:before="340"/>
      </w:pPr>
      <w:r>
        <w:rPr>
          <w:rFonts w:ascii="Calibri" w:cs="Calibri" w:eastAsia="Calibri" w:hAnsi="Calibri"/>
          <w:b/>
          <w:bCs/>
          <w:color w:val="2E5B9E"/>
          <w:sz w:val="28"/>
          <w:szCs w:val="28"/>
        </w:rPr>
        <w:t xml:space="preserve">11.1 Datos del caso</w:t>
      </w:r>
    </w:p>
    <w:p>
      <w:pPr>
        <w:spacing w:after="100" w:before="40"/>
        <w:ind/>
        <w:jc w:val="both"/>
      </w:pPr>
      <w:r>
        <w:rPr>
          <w:rFonts w:ascii="Calibri" w:cs="Calibri" w:eastAsia="Calibri" w:hAnsi="Calibri"/>
          <w:b w:val="false"/>
          <w:bCs w:val="false"/>
          <w:i w:val="false"/>
          <w:iCs w:val="false"/>
          <w:color w:val="222222"/>
          <w:sz w:val="22"/>
          <w:szCs w:val="22"/>
        </w:rPr>
        <w:t xml:space="preserve">Jorge, 52 años, dueño de un negocio de ferretería, llega al despacho. Hace dos años vendió a su socio Pedro un local comercial en $1,800,000 MXN. Según Jorge, Pedro solo ha pagado $600,000 MXN y lleva 14 meses sin abonar nada más. Hay un contrato privado de compraventa con reserva de dominio firmado por ambos, que establece un precio total de $1,800,000 MXN, pagadero en 24 mensualidades de $75,000 MXN, con una primera exhibición de $300,000 MXN. El contrato establece que si el comprador deja de pagar dos mensualidades consecutivas, el vendedor puede rescindir o exigir el precio total, a su elección. Pedro sigue ocupando el local y continúa operando su negocio ahí. El local tiene valor de mercado estimado en $2,800,000 MXN actualmente. No hay hipoteca inscrita.</w:t>
      </w:r>
    </w:p>
    <w:p>
      <w:pPr>
        <w:pStyle w:val="Heading2"/>
        <w:spacing w:after="120" w:before="340"/>
      </w:pPr>
      <w:r>
        <w:rPr>
          <w:rFonts w:ascii="Calibri" w:cs="Calibri" w:eastAsia="Calibri" w:hAnsi="Calibri"/>
          <w:b/>
          <w:bCs/>
          <w:color w:val="2E5B9E"/>
          <w:sz w:val="28"/>
          <w:szCs w:val="28"/>
        </w:rPr>
        <w:t xml:space="preserve">11.2 Diagnóstico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Tipo de contrato: compraventa con reserva de dominio y pago a plazos.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Incumplimiento: Pedro dejó de pagar hace 14 meses; lleva más de dos mensualidades sin pagar → se activó la cláusula rescisoria o de exigibilidad total.</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Opciones del actor (art. 1783 CCEJ): cumplimiento forzado (exigir el saldo de $1,200,000 MXN) o rescisión (recuperar el local con restitución de lo pagado).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Valor estratégico de cada opción: el local vale $2,800,000 MXN en mercado; el saldo adeudado es $1,200,000 MXN. Si Jorge rescinde recupera un bien que vale $2,800,000 MXN y devuelve $600,000 MXN → neto de $2,200,000 MXN. Si cobra el saldo: recibe $1,200,000 MXN pero Pedro conserva el local. La rescisión es financieramente más conveniente para Jorge, si el valor del local está bien estimado.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¿Hay reserva de dominio inscrita? Verificar en Registro Público de la Propiedad. Si no está inscrita, la reserva no es oponible a terceros (art. 1785 CCEJ) pero sí entre partes.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Prescripción: el primer incumplimiento fue hace 14 meses; la prescripción general de 10 años no es problema, pero la acción de rescisión por incumplimiento debe ejercerse en tiempo razonable para no perder la urgencia de la medida cautelar.</w:t>
      </w:r>
    </w:p>
    <w:p>
      <w:pPr>
        <w:pStyle w:val="Heading2"/>
        <w:spacing w:after="120" w:before="340"/>
      </w:pPr>
      <w:r>
        <w:rPr>
          <w:rFonts w:ascii="Calibri" w:cs="Calibri" w:eastAsia="Calibri" w:hAnsi="Calibri"/>
          <w:b/>
          <w:bCs/>
          <w:color w:val="2E5B9E"/>
          <w:sz w:val="28"/>
          <w:szCs w:val="28"/>
        </w:rPr>
        <w:t xml:space="preserve">11.3 Estrategia</w:t>
      </w:r>
    </w:p>
    <w:p>
      <w:pPr>
        <w:spacing w:after="100" w:before="40"/>
        <w:ind/>
        <w:jc w:val="both"/>
      </w:pPr>
      <w:r>
        <w:rPr>
          <w:rFonts w:ascii="Calibri" w:cs="Calibri" w:eastAsia="Calibri" w:hAnsi="Calibri"/>
          <w:b w:val="false"/>
          <w:bCs w:val="false"/>
          <w:i w:val="false"/>
          <w:iCs w:val="false"/>
          <w:color w:val="222222"/>
          <w:sz w:val="22"/>
          <w:szCs w:val="22"/>
        </w:rPr>
        <w:t xml:space="preserve">Recomiendo a Jorge ejercer la rescisión y recuperar el local, con los siguientes pasos: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PASO 1 — Resolución judicial (art. 1784 CCEJ): Jorge consigna ante el juzgado los $600,000 MXN recibidos de Pedro, lo notifica judicialmente y da 30 días naturales para que Pedro se oponga o pague. Si Pedro no demanda dentro de esos 30 días acreditando que cumplió, la resolución surte efectos.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PASO 2 — Demanda en juicio ordinario civil: pretensiones: a) que se declare la rescisión del contrato; b) que Pedro desocupe y entregue el local; c) que Pedro pague los daños y perjuicios causados por la ocupación indebida durante el tiempo de mora (equivalente a renta de mercado durante 14 meses).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PASO 3 — Medida cautelar: solicitar como medida provisional el aseguramiento del local (evitar que Pedro enajene el negocio o desmejore el bien durante el juicio) y la anotación preventiva de la litis en el Registro Público de la Propiedad.</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PASO 4 — Pruebas: contrato de compraventa, comprobantes de los $600,000 MXN recibidos, constancias de notificación de la mora a Pedro, avalúo pericial del local, testimonial sobre ocupación del local por Pedro y operación de su negocio.</w:t>
      </w:r>
    </w:p>
    <w:p>
      <w:pPr>
        <w:pStyle w:val="Heading2"/>
        <w:spacing w:after="120" w:before="340"/>
      </w:pPr>
      <w:r>
        <w:rPr>
          <w:rFonts w:ascii="Calibri" w:cs="Calibri" w:eastAsia="Calibri" w:hAnsi="Calibri"/>
          <w:b/>
          <w:bCs/>
          <w:color w:val="2E5B9E"/>
          <w:sz w:val="28"/>
          <w:szCs w:val="28"/>
        </w:rPr>
        <w:t xml:space="preserve">11.4 Documentos a recabar desde la primera semana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Contrato privado de compraventa original (con ambas firmas).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Comprobantes de los pagos recibidos (transferencias, recibos).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Comunicaciones de cobro previas a Pedro (si las hay): WhatsApp, correos, cartas notariales.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Certificado de libertad de gravamen del local expedido por el Registro Público de la Propiedad (verificar si hay reserva de dominio inscrita).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Escritura del local (para acreditar que Jorge es el propietario registral, porque con reserva de dominio la propiedad no se transfirió hasta pago total).</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Avalúo comercial actualizado del local.</w:t>
      </w:r>
    </w:p>
    <w:p>
      <w:pPr>
        <w:pStyle w:val="Heading2"/>
        <w:spacing w:after="120" w:before="340"/>
      </w:pPr>
      <w:r>
        <w:rPr>
          <w:rFonts w:ascii="Calibri" w:cs="Calibri" w:eastAsia="Calibri" w:hAnsi="Calibri"/>
          <w:b/>
          <w:bCs/>
          <w:color w:val="2E5B9E"/>
          <w:sz w:val="28"/>
          <w:szCs w:val="28"/>
        </w:rPr>
        <w:t xml:space="preserve">11.5 Presupuesto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Anticipo de apertura (demanda + procedimiento de resolución del art. 1784 + medida cautelar): $30,000 MXN.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Etapa probatoria (avalúo, testimonial, alegatos): $20,000 MXN + costo del perito valuador ($8,000–$15,000 MXN).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Ejecución de sentencia (lanzamiento de Pedro del local): $12,000 MXN adicionales.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Total estimado: $62,000–$77,000 MXN.</w:t>
      </w:r>
    </w:p>
    <w:p>
      <w:pPr>
        <w:spacing w:after="100" w:before="40"/>
        <w:ind/>
        <w:jc w:val="both"/>
      </w:pPr>
      <w:r>
        <w:rPr>
          <w:rFonts w:ascii="Calibri" w:cs="Calibri" w:eastAsia="Calibri" w:hAnsi="Calibri"/>
          <w:b w:val="false"/>
          <w:bCs w:val="false"/>
          <w:i w:val="false"/>
          <w:iCs w:val="false"/>
          <w:color w:val="222222"/>
          <w:sz w:val="22"/>
          <w:szCs w:val="22"/>
        </w:rPr>
        <w:t xml:space="preserve">Advierto a Jorge que si Pedro reconviene alegando que hizo mejoras al local, el proceso puede extenderse 4-8 meses adicionales. Documentar el estado del local al momento de la demanda con notaría es recomendable.</w:t>
      </w:r>
    </w:p>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12. ERRORES QUE MÁS CUESTAN EN LA PRÁCTICA CIVIL</w:t>
      </w:r>
    </w:p>
    <w:p>
      <w:pPr>
        <w:spacing w:after="100" w:before="40"/>
        <w:ind/>
        <w:jc w:val="both"/>
      </w:pPr>
      <w:r>
        <w:rPr>
          <w:rFonts w:ascii="Calibri" w:cs="Calibri" w:eastAsia="Calibri" w:hAnsi="Calibri"/>
          <w:b w:val="false"/>
          <w:bCs w:val="false"/>
          <w:i w:val="false"/>
          <w:iCs w:val="false"/>
          <w:color w:val="222222"/>
          <w:sz w:val="22"/>
          <w:szCs w:val="22"/>
        </w:rPr>
        <w:t xml:space="preserve">Cierro con los errores que veo repetirse en cada generación de abogados jóvenes:</w:t>
      </w:r>
    </w:p>
    <w:p>
      <w:pPr>
        <w:spacing w:after="80" w:before="0"/>
      </w:pPr>
    </w:p>
    <w:p>
      <w:pPr>
        <w:spacing w:after="100" w:before="40"/>
        <w:jc w:val="both"/>
      </w:pPr>
      <w:r>
        <w:rPr>
          <w:rFonts w:ascii="Calibri" w:cs="Calibri" w:eastAsia="Calibri" w:hAnsi="Calibri"/>
          <w:b/>
          <w:bCs/>
          <w:i w:val="false"/>
          <w:iCs w:val="false"/>
          <w:color w:val="222222"/>
          <w:sz w:val="22"/>
          <w:szCs w:val="22"/>
        </w:rPr>
        <w:t xml:space="preserve">1. No calcular la prescripción en la primera entrevista. </w:t>
      </w:r>
      <w:r>
        <w:rPr>
          <w:rFonts w:ascii="Calibri" w:cs="Calibri" w:eastAsia="Calibri" w:hAnsi="Calibri"/>
          <w:b w:val="false"/>
          <w:bCs w:val="false"/>
          <w:i w:val="false"/>
          <w:iCs w:val="false"/>
          <w:color w:val="222222"/>
          <w:sz w:val="22"/>
          <w:szCs w:val="22"/>
        </w:rPr>
        <w:t xml:space="preserve">Es el error más caro. Una acción prescrita es una causa perdida antes de empezar. Calcula el plazo aplicable en la primera cita, como primer paso del diagnóstico.</w:t>
      </w:r>
    </w:p>
    <w:p>
      <w:pPr>
        <w:spacing w:after="80" w:before="0"/>
      </w:pPr>
    </w:p>
    <w:p>
      <w:pPr>
        <w:spacing w:after="100" w:before="40"/>
        <w:jc w:val="both"/>
      </w:pPr>
      <w:r>
        <w:rPr>
          <w:rFonts w:ascii="Calibri" w:cs="Calibri" w:eastAsia="Calibri" w:hAnsi="Calibri"/>
          <w:b/>
          <w:bCs/>
          <w:i w:val="false"/>
          <w:iCs w:val="false"/>
          <w:color w:val="222222"/>
          <w:sz w:val="22"/>
          <w:szCs w:val="22"/>
        </w:rPr>
        <w:t xml:space="preserve">2. No revisar los documentos con los que el cliente 'dice que cuenta'. </w:t>
      </w:r>
      <w:r>
        <w:rPr>
          <w:rFonts w:ascii="Calibri" w:cs="Calibri" w:eastAsia="Calibri" w:hAnsi="Calibri"/>
          <w:b w:val="false"/>
          <w:bCs w:val="false"/>
          <w:i w:val="false"/>
          <w:iCs w:val="false"/>
          <w:color w:val="222222"/>
          <w:sz w:val="22"/>
          <w:szCs w:val="22"/>
        </w:rPr>
        <w:t xml:space="preserve">Muchos clientes llegan convencidos de tener un contrato que en realidad es una propuesta sin firmar, o un recibo sin valor probatorio. Lee el documento tú mismo antes de cotizar.</w:t>
      </w:r>
    </w:p>
    <w:p>
      <w:pPr>
        <w:spacing w:after="80" w:before="0"/>
      </w:pPr>
    </w:p>
    <w:p>
      <w:pPr>
        <w:spacing w:after="100" w:before="40"/>
        <w:jc w:val="both"/>
      </w:pPr>
      <w:r>
        <w:rPr>
          <w:rFonts w:ascii="Calibri" w:cs="Calibri" w:eastAsia="Calibri" w:hAnsi="Calibri"/>
          <w:b/>
          <w:bCs/>
          <w:i w:val="false"/>
          <w:iCs w:val="false"/>
          <w:color w:val="222222"/>
          <w:sz w:val="22"/>
          <w:szCs w:val="22"/>
        </w:rPr>
        <w:t xml:space="preserve">3. Elegir mal la vía procesal. </w:t>
      </w:r>
      <w:r>
        <w:rPr>
          <w:rFonts w:ascii="Calibri" w:cs="Calibri" w:eastAsia="Calibri" w:hAnsi="Calibri"/>
          <w:b w:val="false"/>
          <w:bCs w:val="false"/>
          <w:i w:val="false"/>
          <w:iCs w:val="false"/>
          <w:color w:val="222222"/>
          <w:sz w:val="22"/>
          <w:szCs w:val="22"/>
        </w:rPr>
        <w:t xml:space="preserve">Un juicio que debería ir por ejecutiva y se promovió como ordinario pierde meses. Uno que debería ser ordinario y se promovió como sumaria puede ser rechazado in limine.</w:t>
      </w:r>
    </w:p>
    <w:p>
      <w:pPr>
        <w:spacing w:after="80" w:before="0"/>
      </w:pPr>
    </w:p>
    <w:p>
      <w:pPr>
        <w:spacing w:after="100" w:before="40"/>
        <w:jc w:val="both"/>
      </w:pPr>
      <w:r>
        <w:rPr>
          <w:rFonts w:ascii="Calibri" w:cs="Calibri" w:eastAsia="Calibri" w:hAnsi="Calibri"/>
          <w:b/>
          <w:bCs/>
          <w:i w:val="false"/>
          <w:iCs w:val="false"/>
          <w:color w:val="222222"/>
          <w:sz w:val="22"/>
          <w:szCs w:val="22"/>
        </w:rPr>
        <w:t xml:space="preserve">4. No asegurar el patrimonio del deudor desde el inicio. </w:t>
      </w:r>
      <w:r>
        <w:rPr>
          <w:rFonts w:ascii="Calibri" w:cs="Calibri" w:eastAsia="Calibri" w:hAnsi="Calibri"/>
          <w:b w:val="false"/>
          <w:bCs w:val="false"/>
          <w:i w:val="false"/>
          <w:iCs w:val="false"/>
          <w:color w:val="222222"/>
          <w:sz w:val="22"/>
          <w:szCs w:val="22"/>
        </w:rPr>
        <w:t xml:space="preserve">Si el deudor tiene bienes hoy y no los hay en dos años cuando se dicte sentencia, tu victoria es papel mojado. Solicita embargo precautorio o medida cautelar desde el inicio cuando el caso lo justifique.</w:t>
      </w:r>
    </w:p>
    <w:p>
      <w:pPr>
        <w:spacing w:after="80" w:before="0"/>
      </w:pPr>
    </w:p>
    <w:p>
      <w:pPr>
        <w:spacing w:after="100" w:before="40"/>
        <w:jc w:val="both"/>
      </w:pPr>
      <w:r>
        <w:rPr>
          <w:rFonts w:ascii="Calibri" w:cs="Calibri" w:eastAsia="Calibri" w:hAnsi="Calibri"/>
          <w:b/>
          <w:bCs/>
          <w:i w:val="false"/>
          <w:iCs w:val="false"/>
          <w:color w:val="222222"/>
          <w:sz w:val="22"/>
          <w:szCs w:val="22"/>
        </w:rPr>
        <w:t xml:space="preserve">5. Confundir nulidad absoluta con relativa. </w:t>
      </w:r>
      <w:r>
        <w:rPr>
          <w:rFonts w:ascii="Calibri" w:cs="Calibri" w:eastAsia="Calibri" w:hAnsi="Calibri"/>
          <w:b w:val="false"/>
          <w:bCs w:val="false"/>
          <w:i w:val="false"/>
          <w:iCs w:val="false"/>
          <w:color w:val="222222"/>
          <w:sz w:val="22"/>
          <w:szCs w:val="22"/>
        </w:rPr>
        <w:t xml:space="preserve">La nulidad relativa prescribe y solo puede invocarla el perjudicado. Si demandas nulidad relativa cuando en realidad aplica absoluta, y transcurre el plazo de prescripción, pierdes aunque tenías razón.</w:t>
      </w:r>
    </w:p>
    <w:p>
      <w:pPr>
        <w:spacing w:after="80" w:before="0"/>
      </w:pPr>
    </w:p>
    <w:p>
      <w:pPr>
        <w:spacing w:after="100" w:before="40"/>
        <w:jc w:val="both"/>
      </w:pPr>
      <w:r>
        <w:rPr>
          <w:rFonts w:ascii="Calibri" w:cs="Calibri" w:eastAsia="Calibri" w:hAnsi="Calibri"/>
          <w:b/>
          <w:bCs/>
          <w:i w:val="false"/>
          <w:iCs w:val="false"/>
          <w:color w:val="222222"/>
          <w:sz w:val="22"/>
          <w:szCs w:val="22"/>
        </w:rPr>
        <w:t xml:space="preserve">6. No anotar preventivamente la litis en el Registro Público. </w:t>
      </w:r>
      <w:r>
        <w:rPr>
          <w:rFonts w:ascii="Calibri" w:cs="Calibri" w:eastAsia="Calibri" w:hAnsi="Calibri"/>
          <w:b w:val="false"/>
          <w:bCs w:val="false"/>
          <w:i w:val="false"/>
          <w:iCs w:val="false"/>
          <w:color w:val="222222"/>
          <w:sz w:val="22"/>
          <w:szCs w:val="22"/>
        </w:rPr>
        <w:t xml:space="preserve">Si el demandado enajena el inmueble a un tercero de buena fe antes de que se inscriba la litis, la sentencia puede no ser ejecutable contra ese tercero.</w:t>
      </w:r>
    </w:p>
    <w:p>
      <w:pPr>
        <w:spacing w:after="80" w:before="0"/>
      </w:pPr>
    </w:p>
    <w:p>
      <w:pPr>
        <w:spacing w:after="100" w:before="40"/>
        <w:jc w:val="both"/>
      </w:pPr>
      <w:r>
        <w:rPr>
          <w:rFonts w:ascii="Calibri" w:cs="Calibri" w:eastAsia="Calibri" w:hAnsi="Calibri"/>
          <w:b/>
          <w:bCs/>
          <w:i w:val="false"/>
          <w:iCs w:val="false"/>
          <w:color w:val="222222"/>
          <w:sz w:val="22"/>
          <w:szCs w:val="22"/>
        </w:rPr>
        <w:t xml:space="preserve">7. Omitir los documentos base con la demanda. </w:t>
      </w:r>
      <w:r>
        <w:rPr>
          <w:rFonts w:ascii="Calibri" w:cs="Calibri" w:eastAsia="Calibri" w:hAnsi="Calibri"/>
          <w:b w:val="false"/>
          <w:bCs w:val="false"/>
          <w:i w:val="false"/>
          <w:iCs w:val="false"/>
          <w:color w:val="222222"/>
          <w:sz w:val="22"/>
          <w:szCs w:val="22"/>
        </w:rPr>
        <w:t xml:space="preserve">El art. 90 CPCEJ es terminante: si no presentas los documentos con la demanda, no puedes hacerlo después salvo excepciones tasadas. Prepara el expediente completo antes de presentar la demanda.</w:t>
      </w:r>
    </w:p>
    <w:p>
      <w:pPr>
        <w:spacing w:after="80" w:before="0"/>
      </w:pPr>
    </w:p>
    <w:p>
      <w:pPr>
        <w:spacing w:after="100" w:before="40"/>
        <w:jc w:val="both"/>
      </w:pPr>
      <w:r>
        <w:rPr>
          <w:rFonts w:ascii="Calibri" w:cs="Calibri" w:eastAsia="Calibri" w:hAnsi="Calibri"/>
          <w:b/>
          <w:bCs/>
          <w:i w:val="false"/>
          <w:iCs w:val="false"/>
          <w:color w:val="222222"/>
          <w:sz w:val="22"/>
          <w:szCs w:val="22"/>
        </w:rPr>
        <w:t xml:space="preserve">8. No usar las medidas cautelares disponibles. </w:t>
      </w:r>
      <w:r>
        <w:rPr>
          <w:rFonts w:ascii="Calibri" w:cs="Calibri" w:eastAsia="Calibri" w:hAnsi="Calibri"/>
          <w:b w:val="false"/>
          <w:bCs w:val="false"/>
          <w:i w:val="false"/>
          <w:iCs w:val="false"/>
          <w:color w:val="222222"/>
          <w:sz w:val="22"/>
          <w:szCs w:val="22"/>
        </w:rPr>
        <w:t xml:space="preserve">El embargo precautorio, el arraigo y las anotaciones preventivas son herramientas que dan ventaja estratégica desde el inicio. Muchos abogados las subutilizan por desconocer el trámite o por no querer el gasto de la garantía que se requiere.</w:t>
      </w:r>
    </w:p>
    <w:p>
      <w:pPr>
        <w:spacing w:after="80" w:before="0"/>
      </w:pPr>
    </w:p>
    <w:p>
      <w:pPr>
        <w:spacing w:after="100" w:before="40"/>
        <w:jc w:val="both"/>
      </w:pPr>
      <w:r>
        <w:rPr>
          <w:rFonts w:ascii="Calibri" w:cs="Calibri" w:eastAsia="Calibri" w:hAnsi="Calibri"/>
          <w:b/>
          <w:bCs/>
          <w:i w:val="false"/>
          <w:iCs w:val="false"/>
          <w:color w:val="222222"/>
          <w:sz w:val="22"/>
          <w:szCs w:val="22"/>
        </w:rPr>
        <w:t xml:space="preserve">9. Cobrar honorarios sin contrato escrito. </w:t>
      </w:r>
      <w:r>
        <w:rPr>
          <w:rFonts w:ascii="Calibri" w:cs="Calibri" w:eastAsia="Calibri" w:hAnsi="Calibri"/>
          <w:b w:val="false"/>
          <w:bCs w:val="false"/>
          <w:i w:val="false"/>
          <w:iCs w:val="false"/>
          <w:color w:val="222222"/>
          <w:sz w:val="22"/>
          <w:szCs w:val="22"/>
        </w:rPr>
        <w:t xml:space="preserve">El abogado civil que no tiene contrato de honorarios firmado es el primero en tener un litigio con su propio cliente. El contrato de honorarios es tu título ejecutivo y tu escudo contra reclamaciones exageradas de responsabilidad.</w:t>
      </w:r>
    </w:p>
    <w:p>
      <w:pPr>
        <w:spacing w:after="80" w:before="0"/>
      </w:pPr>
    </w:p>
    <w:p>
      <w:pPr>
        <w:spacing w:after="100" w:before="40"/>
        <w:jc w:val="both"/>
      </w:pPr>
      <w:r>
        <w:rPr>
          <w:rFonts w:ascii="Calibri" w:cs="Calibri" w:eastAsia="Calibri" w:hAnsi="Calibri"/>
          <w:b/>
          <w:bCs/>
          <w:i w:val="false"/>
          <w:iCs w:val="false"/>
          <w:color w:val="222222"/>
          <w:sz w:val="22"/>
          <w:szCs w:val="22"/>
        </w:rPr>
        <w:t xml:space="preserve">10. No distinguir las acciones reales de las personales. </w:t>
      </w:r>
      <w:r>
        <w:rPr>
          <w:rFonts w:ascii="Calibri" w:cs="Calibri" w:eastAsia="Calibri" w:hAnsi="Calibri"/>
          <w:b w:val="false"/>
          <w:bCs w:val="false"/>
          <w:i w:val="false"/>
          <w:iCs w:val="false"/>
          <w:color w:val="222222"/>
          <w:sz w:val="22"/>
          <w:szCs w:val="22"/>
        </w:rPr>
        <w:t xml:space="preserve">La acción reivindicatoria se dirige contra el poseedor actual del bien, quienquiera que sea. La acción personal se dirige contra el obligado específico. Demandar a la persona equivocada puede costarle al cliente el juicio completo.</w:t>
      </w:r>
    </w:p>
    <w:p>
      <w:pPr>
        <w:spacing w:after="240" w:before="0"/>
      </w:pPr>
    </w:p>
    <w:p>
      <w:pPr>
        <w:pBdr>
          <w:bottom w:val="single" w:color="D0D5DE" w:sz="6" w:space="4"/>
        </w:pBdr>
        <w:spacing w:after="120" w:before="120"/>
      </w:pPr>
    </w:p>
    <w:p>
      <w:pPr>
        <w:spacing w:after="120" w:before="0"/>
      </w:pPr>
    </w:p>
    <w:p>
      <w:pPr>
        <w:spacing w:after="100" w:before="40"/>
        <w:ind/>
        <w:jc w:val="both"/>
      </w:pPr>
      <w:r>
        <w:rPr>
          <w:rFonts w:ascii="Calibri" w:cs="Calibri" w:eastAsia="Calibri" w:hAnsi="Calibri"/>
          <w:b w:val="false"/>
          <w:bCs w:val="false"/>
          <w:i/>
          <w:iCs/>
          <w:color w:val="222222"/>
          <w:sz w:val="22"/>
          <w:szCs w:val="22"/>
        </w:rPr>
        <w:t xml:space="preserve">Este manual refleja el estado de los artículos verificados directamente en el Código Civil del Estado de Jalisco vigente (Libros Tercero, Cuarto y Quinto) y en el Código de Procedimientos Civiles del Estado de Jalisco (Títulos Quinto a Octavo). Ambos ordenamientos se reforman periódicamente; verifica siempre la versión vigente al momento de litigar.</w:t>
      </w:r>
    </w:p>
    <w:p>
      <w:r>
        <w:br w:type="page"/>
      </w:r>
    </w:p>
    <w:p>
      <w:pPr>
        <w:jc w:val="center"/>
      </w:pPr>
      <w:r>
        <w:rPr>
          <w:b/>
          <w:sz w:val="32"/>
        </w:rPr>
        <w:t>MÓDULO DE PRÁCTICA FORENSE OPERATIVA</w:t>
      </w:r>
    </w:p>
    <w:p>
      <w:r>
        <w:t>Este módulo organiza el contenido del manual para su utilización diaria en despacho. Debe emplearse como guía de trabajo y no sustituye la verificación de la legislación, criterios, competencia, plazos y acuerdos vigentes antes de promover.</w:t>
      </w:r>
    </w:p>
    <w:p>
      <w:r>
        <w:rPr>
          <w:b/>
          <w:sz w:val="26"/>
        </w:rPr>
        <w:t>16.1 Ficha de apertura del asunto</w:t>
      </w:r>
    </w:p>
    <w:p>
      <w:pPr>
        <w:ind w:left="280"/>
      </w:pPr>
      <w:r>
        <w:t>• Materia y submateria</w:t>
      </w:r>
    </w:p>
    <w:p>
      <w:pPr>
        <w:ind w:left="280"/>
      </w:pPr>
      <w:r>
        <w:t>• Cliente y calidad con la que comparece</w:t>
      </w:r>
    </w:p>
    <w:p>
      <w:pPr>
        <w:ind w:left="280"/>
      </w:pPr>
      <w:r>
        <w:t>• Contraparte y domicilio</w:t>
      </w:r>
    </w:p>
    <w:p>
      <w:pPr>
        <w:ind w:left="280"/>
      </w:pPr>
      <w:r>
        <w:t>• Hecho generador y fecha crítica</w:t>
      </w:r>
    </w:p>
    <w:p>
      <w:pPr>
        <w:ind w:left="280"/>
      </w:pPr>
      <w:r>
        <w:t>• Pretensión concreta del cliente</w:t>
      </w:r>
    </w:p>
    <w:p>
      <w:pPr>
        <w:ind w:left="280"/>
      </w:pPr>
      <w:r>
        <w:t>• Bien o derecho involucrado</w:t>
      </w:r>
    </w:p>
    <w:p>
      <w:pPr>
        <w:ind w:left="280"/>
      </w:pPr>
      <w:r>
        <w:t>• Cuantía o valor económico</w:t>
      </w:r>
    </w:p>
    <w:p>
      <w:pPr>
        <w:ind w:left="280"/>
      </w:pPr>
      <w:r>
        <w:t>• Acción posible</w:t>
      </w:r>
    </w:p>
    <w:p>
      <w:pPr>
        <w:ind w:left="280"/>
      </w:pPr>
      <w:r>
        <w:t>• Vía procesal por verificar</w:t>
      </w:r>
    </w:p>
    <w:p>
      <w:pPr>
        <w:ind w:left="280"/>
      </w:pPr>
      <w:r>
        <w:t>• Prescripción/caducidad por verificar</w:t>
      </w:r>
    </w:p>
    <w:p>
      <w:pPr>
        <w:ind w:left="280"/>
      </w:pPr>
      <w:r>
        <w:t>• Medidas cautelares posibles</w:t>
      </w:r>
    </w:p>
    <w:p>
      <w:pPr>
        <w:ind w:left="280"/>
      </w:pPr>
      <w:r>
        <w:t>• Resultado que el cliente considera aceptable</w:t>
      </w:r>
    </w:p>
    <w:p>
      <w:r>
        <w:rPr>
          <w:b/>
          <w:sz w:val="26"/>
        </w:rPr>
        <w:t>16.2 Entrevista inicial — preguntas de diagnóstico</w:t>
      </w:r>
    </w:p>
    <w:p>
      <w:pPr>
        <w:ind w:left="280"/>
      </w:pPr>
      <w:r>
        <w:t>• ¿Qué ocurrió y en qué orden cronológico?</w:t>
      </w:r>
    </w:p>
    <w:p>
      <w:pPr>
        <w:ind w:left="280"/>
      </w:pPr>
      <w:r>
        <w:t>• ¿Qué documento origina la relación jurídica?</w:t>
      </w:r>
    </w:p>
    <w:p>
      <w:pPr>
        <w:ind w:left="280"/>
      </w:pPr>
      <w:r>
        <w:t>• ¿Cuándo se celebró, cumplió o incumplió?</w:t>
      </w:r>
    </w:p>
    <w:p>
      <w:pPr>
        <w:ind w:left="280"/>
      </w:pPr>
      <w:r>
        <w:t>• ¿Qué quiere obtener exactamente el cliente?</w:t>
      </w:r>
    </w:p>
    <w:p>
      <w:pPr>
        <w:ind w:left="280"/>
      </w:pPr>
      <w:r>
        <w:t>• ¿Qué hizo ya para resolverlo y qué respondió la contraparte?</w:t>
      </w:r>
    </w:p>
    <w:p>
      <w:pPr>
        <w:ind w:left="280"/>
      </w:pPr>
      <w:r>
        <w:t>• ¿Existe demanda, expediente, convenio, requerimiento o procedimiento paralelo?</w:t>
      </w:r>
    </w:p>
    <w:p>
      <w:pPr>
        <w:ind w:left="280"/>
      </w:pPr>
      <w:r>
        <w:t>• ¿Qué bienes, garantías o fuentes de pago conoce?</w:t>
      </w:r>
    </w:p>
    <w:p>
      <w:pPr>
        <w:ind w:left="280"/>
      </w:pPr>
      <w:r>
        <w:t>• ¿Qué documentos originales conserva?</w:t>
      </w:r>
    </w:p>
    <w:p>
      <w:pPr>
        <w:ind w:left="280"/>
      </w:pPr>
      <w:r>
        <w:t>• ¿Qué personas presenciaron los hechos?</w:t>
      </w:r>
    </w:p>
    <w:p>
      <w:pPr>
        <w:ind w:left="280"/>
      </w:pPr>
      <w:r>
        <w:t>• ¿Qué comunicaciones electrónicas existen?</w:t>
      </w:r>
    </w:p>
    <w:p>
      <w:pPr>
        <w:ind w:left="280"/>
      </w:pPr>
      <w:r>
        <w:t>• ¿Hay riesgo de prescripción, caducidad, enajenación, ocultamiento de bienes o pérdida de prueba?</w:t>
      </w:r>
    </w:p>
    <w:p>
      <w:pPr>
        <w:ind w:left="280"/>
      </w:pPr>
      <w:r>
        <w:t>• ¿Existe una posibilidad real de convenio y cuál sería el mínimo aceptable?</w:t>
      </w:r>
    </w:p>
    <w:p>
      <w:r>
        <w:rPr>
          <w:b/>
          <w:sz w:val="26"/>
        </w:rPr>
        <w:t>16.3 Diagnóstico jurídico</w:t>
      </w:r>
    </w:p>
    <w:p>
      <w:pPr>
        <w:ind w:left="280"/>
      </w:pPr>
      <w:r>
        <w:t>• Identificar la relación jurídica y el hecho generador.</w:t>
      </w:r>
    </w:p>
    <w:p>
      <w:pPr>
        <w:ind w:left="280"/>
      </w:pPr>
      <w:r>
        <w:t>• Separar existencia, validez, cumplimiento e incumplimiento.</w:t>
      </w:r>
    </w:p>
    <w:p>
      <w:pPr>
        <w:ind w:left="280"/>
      </w:pPr>
      <w:r>
        <w:t>• Determinar acción o acciones posibles y sus requisitos.</w:t>
      </w:r>
    </w:p>
    <w:p>
      <w:pPr>
        <w:ind w:left="280"/>
      </w:pPr>
      <w:r>
        <w:t>• Verificar legitimación activa y pasiva.</w:t>
      </w:r>
    </w:p>
    <w:p>
      <w:pPr>
        <w:ind w:left="280"/>
      </w:pPr>
      <w:r>
        <w:t>• Verificar competencia y vía procesal.</w:t>
      </w:r>
    </w:p>
    <w:p>
      <w:pPr>
        <w:ind w:left="280"/>
      </w:pPr>
      <w:r>
        <w:t>• Calcular y documentar prescripción/caducidad.</w:t>
      </w:r>
    </w:p>
    <w:p>
      <w:pPr>
        <w:ind w:left="280"/>
      </w:pPr>
      <w:r>
        <w:t>• Construir teoría del caso.</w:t>
      </w:r>
    </w:p>
    <w:p>
      <w:pPr>
        <w:ind w:left="280"/>
      </w:pPr>
      <w:r>
        <w:t>• Relacionar cada hecho relevante con al menos una prueba.</w:t>
      </w:r>
    </w:p>
    <w:p>
      <w:pPr>
        <w:ind w:left="280"/>
      </w:pPr>
      <w:r>
        <w:t>• Identificar defensas previsibles de la contraparte.</w:t>
      </w:r>
    </w:p>
    <w:p>
      <w:pPr>
        <w:ind w:left="280"/>
      </w:pPr>
      <w:r>
        <w:t>• Valorar medidas cautelares y posibilidad real de ejecución.</w:t>
      </w:r>
    </w:p>
    <w:p>
      <w:r>
        <w:rPr>
          <w:b/>
          <w:sz w:val="26"/>
        </w:rPr>
        <w:t>16.4 Expediente documental mínimo</w:t>
      </w:r>
    </w:p>
    <w:p>
      <w:pPr>
        <w:ind w:left="280"/>
      </w:pPr>
      <w:r>
        <w:t>• Identificación y datos completos del cliente.</w:t>
      </w:r>
    </w:p>
    <w:p>
      <w:pPr>
        <w:ind w:left="280"/>
      </w:pPr>
      <w:r>
        <w:t>• Contrato o documento base.</w:t>
      </w:r>
    </w:p>
    <w:p>
      <w:pPr>
        <w:ind w:left="280"/>
      </w:pPr>
      <w:r>
        <w:t>• Comprobantes de pago y estados de cuenta.</w:t>
      </w:r>
    </w:p>
    <w:p>
      <w:pPr>
        <w:ind w:left="280"/>
      </w:pPr>
      <w:r>
        <w:t>• Comunicaciones relevantes.</w:t>
      </w:r>
    </w:p>
    <w:p>
      <w:pPr>
        <w:ind w:left="280"/>
      </w:pPr>
      <w:r>
        <w:t>• Documentos de propiedad, registro o garantía, cuando correspondan.</w:t>
      </w:r>
    </w:p>
    <w:p>
      <w:pPr>
        <w:ind w:left="280"/>
      </w:pPr>
      <w:r>
        <w:t>• Requerimientos, convenios, reconocimientos o intimaciones.</w:t>
      </w:r>
    </w:p>
    <w:p>
      <w:pPr>
        <w:ind w:left="280"/>
      </w:pPr>
      <w:r>
        <w:t>• Antecedentes de procedimientos relacionados.</w:t>
      </w:r>
    </w:p>
    <w:p>
      <w:pPr>
        <w:ind w:left="280"/>
      </w:pPr>
      <w:r>
        <w:t>• Documentos originales y copias legibles, con control de ubicación y fecha de recepción.</w:t>
      </w:r>
    </w:p>
    <w:p>
      <w:r>
        <w:rPr>
          <w:b/>
          <w:sz w:val="26"/>
        </w:rPr>
        <w:t>16.5 Matriz de prueba</w:t>
      </w:r>
    </w:p>
    <w:p>
      <w:pPr>
        <w:ind w:left="280"/>
      </w:pPr>
      <w:r>
        <w:t>• Hecho a probar → prueba principal → prueba de respaldo → riesgo de objeción → forma de incorporación → responsable de obtenerla.</w:t>
      </w:r>
    </w:p>
    <w:p>
      <w:pPr>
        <w:ind w:left="280"/>
      </w:pPr>
      <w:r>
        <w:t>• No ofrecer una prueba solamente porque existe: justificar qué hecho demuestra y qué ocurre si no se obtiene.</w:t>
      </w:r>
    </w:p>
    <w:p>
      <w:pPr>
        <w:ind w:left="280"/>
      </w:pPr>
      <w:r>
        <w:t>• Para documentos electrónicos, conservar archivo original, metadatos disponibles y evidencia de integridad; certificar o formalizar cuando resulte necesario.</w:t>
      </w:r>
    </w:p>
    <w:p>
      <w:r>
        <w:rPr>
          <w:b/>
        </w:rPr>
        <w:t>16.6 Ruta procesal de trabajo — civil patrimonial en Jalisco</w:t>
      </w:r>
    </w:p>
    <w:p>
      <w:r>
        <w:t>La primera decisión es identificar acción, vía, competencia y régimen procesal aplicable. En 2026 debe verificarse la transición al Código Nacional de Procedimientos Civiles y Familiares antes de asumir que un asunto nuevo seguirá íntegramente las reglas del código local.</w:t>
      </w:r>
    </w:p>
    <w:p>
      <w:r>
        <w:rPr>
          <w:b/>
        </w:rPr>
        <w:t>A. Juicio ordinario civil — ruta general</w:t>
      </w:r>
    </w:p>
    <w:p>
      <w:r>
        <w:t>1. Entrevista y apertura del asunto.</w:t>
      </w:r>
    </w:p>
    <w:p>
      <w:r>
        <w:t>2. Identificar acción, pretensión, legitimación y contraparte.</w:t>
      </w:r>
    </w:p>
    <w:p>
      <w:r>
        <w:t>3. Revisar prescripción, competencia, documentos base y medidas cautelares.</w:t>
      </w:r>
    </w:p>
    <w:p>
      <w:r>
        <w:t>4. Integrar demanda y pruebas; presentar y controlar admisión/prevención.</w:t>
      </w:r>
    </w:p>
    <w:p>
      <w:r>
        <w:t>5. Emplazamiento y contestación; revisar reconvención y excepciones.</w:t>
      </w:r>
    </w:p>
    <w:p>
      <w:r>
        <w:t>6. Audiencia o etapa conciliatoria cuando corresponda.</w:t>
      </w:r>
    </w:p>
    <w:p>
      <w:r>
        <w:t>7. Ofrecimiento, admisión y desahogo de pruebas.</w:t>
      </w:r>
    </w:p>
    <w:p>
      <w:r>
        <w:t>8. Alegatos.</w:t>
      </w:r>
    </w:p>
    <w:p>
      <w:r>
        <w:t>9. Sentencia.</w:t>
      </w:r>
    </w:p>
    <w:p>
      <w:r>
        <w:t>10. Recurso o amparo cuando proceda.</w:t>
      </w:r>
    </w:p>
    <w:p>
      <w:r>
        <w:t>11. Ejecución, cumplimiento y cierre.</w:t>
      </w:r>
    </w:p>
    <w:p>
      <w:r>
        <w:rPr>
          <w:b/>
        </w:rPr>
        <w:t>B. Juicio ejecutivo civil — si existe título ejecutivo</w:t>
      </w:r>
    </w:p>
    <w:p>
      <w:r>
        <w:t>1. Verificar que el documento tenga fuerza ejecutiva conforme a la legislación aplicable.</w:t>
      </w:r>
    </w:p>
    <w:p>
      <w:r>
        <w:t>2. Calcular deuda, intereses, prescripción y competencia.</w:t>
      </w:r>
    </w:p>
    <w:p>
      <w:r>
        <w:t>3. Preparar demanda y documentos base.</w:t>
      </w:r>
    </w:p>
    <w:p>
      <w:r>
        <w:t>4. Solicitar y controlar requerimiento de pago, embargo y emplazamiento cuando proceda.</w:t>
      </w:r>
    </w:p>
    <w:p>
      <w:r>
        <w:t>5. Atender excepciones y defensas.</w:t>
      </w:r>
    </w:p>
    <w:p>
      <w:r>
        <w:t>6. Desahogar pruebas y alegar.</w:t>
      </w:r>
    </w:p>
    <w:p>
      <w:r>
        <w:t>7. Obtener sentencia.</w:t>
      </w:r>
    </w:p>
    <w:p>
      <w:r>
        <w:t>8. Continuar con ejecución, remate o pago conforme al título y resolución.</w:t>
      </w:r>
    </w:p>
    <w:p>
      <w:r>
        <w:rPr>
          <w:b/>
        </w:rPr>
        <w:t>C. Acciones reales: reivindicación, usucapión y posesión</w:t>
      </w:r>
    </w:p>
    <w:p>
      <w:r>
        <w:t>1. Acreditar título, posesión, antecedentes registrales y hechos constitutivos.</w:t>
      </w:r>
    </w:p>
    <w:p>
      <w:r>
        <w:t>2. Identificar correctamente al demandado y el inmueble.</w:t>
      </w:r>
    </w:p>
    <w:p>
      <w:r>
        <w:t>3. Solicitar anotación preventiva o medida cautelar cuando proceda.</w:t>
      </w:r>
    </w:p>
    <w:p>
      <w:r>
        <w:t>4. Elegir acción y vía.</w:t>
      </w:r>
    </w:p>
    <w:p>
      <w:r>
        <w:t>5. Demandar y controlar emplazamiento.</w:t>
      </w:r>
    </w:p>
    <w:p>
      <w:r>
        <w:t>6. Probar propiedad/posesión mediante documentales, testimoniales, periciales e inspección cuando corresponda.</w:t>
      </w:r>
    </w:p>
    <w:p>
      <w:r>
        <w:t>7. Obtener sentencia e inscribir o ejecutar la restitución.</w:t>
      </w:r>
    </w:p>
    <w:p>
      <w:r>
        <w:rPr>
          <w:b/>
        </w:rPr>
        <w:t>16.7 Checklist imprimible específico</w:t>
      </w:r>
    </w:p>
    <w:p>
      <w:r>
        <w:t>Este formato debe imprimirse y marcarse en cada asunto. Si un punto no aplica, marcar N/A y dejar la razón en el expediente.</w:t>
      </w:r>
    </w:p>
    <w:tbl>
      <w:tblPr>
        <w:tblW w:type="auto" w:w="0"/>
        <w:jc w:val="center"/>
        <w:tblLook w:firstColumn="1" w:firstRow="1" w:lastColumn="0" w:lastRow="0" w:noHBand="0" w:noVBand="1" w:val="04A0"/>
      </w:tblPr>
      <w:tblGrid>
        <w:gridCol w:w="1908"/>
        <w:gridCol w:w="1908"/>
        <w:gridCol w:w="1908"/>
        <w:gridCol w:w="1908"/>
        <w:gridCol w:w="1908"/>
      </w:tblGrid>
      <w:tr>
        <w:tc>
          <w:tcPr>
            <w:tcW w:type="dxa" w:w="1908"/>
            <w:shd w:fill="EAF2FF"/>
          </w:tcPr>
          <w:p>
            <w:r>
              <w:rPr>
                <w:b/>
              </w:rPr>
              <w:t>No.</w:t>
            </w:r>
          </w:p>
        </w:tc>
        <w:tc>
          <w:tcPr>
            <w:tcW w:type="dxa" w:w="1908"/>
            <w:shd w:fill="EAF2FF"/>
          </w:tcPr>
          <w:p>
            <w:r>
              <w:rPr>
                <w:b/>
              </w:rPr>
              <w:t>Verificación</w:t>
            </w:r>
          </w:p>
        </w:tc>
        <w:tc>
          <w:tcPr>
            <w:tcW w:type="dxa" w:w="1908"/>
            <w:shd w:fill="EAF2FF"/>
          </w:tcPr>
          <w:p>
            <w:r>
              <w:rPr>
                <w:b/>
              </w:rPr>
              <w:t>Sí</w:t>
            </w:r>
          </w:p>
        </w:tc>
        <w:tc>
          <w:tcPr>
            <w:tcW w:type="dxa" w:w="1908"/>
            <w:shd w:fill="EAF2FF"/>
          </w:tcPr>
          <w:p>
            <w:r>
              <w:rPr>
                <w:b/>
              </w:rPr>
              <w:t>No</w:t>
            </w:r>
          </w:p>
        </w:tc>
        <w:tc>
          <w:tcPr>
            <w:tcW w:type="dxa" w:w="1908"/>
            <w:shd w:fill="EAF2FF"/>
          </w:tcPr>
          <w:p>
            <w:r>
              <w:rPr>
                <w:b/>
              </w:rPr>
              <w:t>N/A</w:t>
            </w:r>
          </w:p>
        </w:tc>
      </w:tr>
      <w:tr>
        <w:tc>
          <w:tcPr>
            <w:tcW w:type="dxa" w:w="1908"/>
            <w:vAlign w:val="center"/>
          </w:tcPr>
          <w:p>
            <w:r>
              <w:t>1</w:t>
            </w:r>
          </w:p>
        </w:tc>
        <w:tc>
          <w:tcPr>
            <w:tcW w:type="dxa" w:w="1908"/>
            <w:vAlign w:val="center"/>
          </w:tcPr>
          <w:p>
            <w:r>
              <w:t>Acción identificada y elementos constitutivos desglosados.</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2</w:t>
            </w:r>
          </w:p>
        </w:tc>
        <w:tc>
          <w:tcPr>
            <w:tcW w:type="dxa" w:w="1908"/>
            <w:vAlign w:val="center"/>
          </w:tcPr>
          <w:p>
            <w:r>
              <w:t>Vía y régimen procesal vigente verificados.</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3</w:t>
            </w:r>
          </w:p>
        </w:tc>
        <w:tc>
          <w:tcPr>
            <w:tcW w:type="dxa" w:w="1908"/>
            <w:vAlign w:val="center"/>
          </w:tcPr>
          <w:p>
            <w:r>
              <w:t>Competencia territorial y por materia comprobada.</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4</w:t>
            </w:r>
          </w:p>
        </w:tc>
        <w:tc>
          <w:tcPr>
            <w:tcW w:type="dxa" w:w="1908"/>
            <w:vAlign w:val="center"/>
          </w:tcPr>
          <w:p>
            <w:r>
              <w:t>Prescripción/caducidad calculada.</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5</w:t>
            </w:r>
          </w:p>
        </w:tc>
        <w:tc>
          <w:tcPr>
            <w:tcW w:type="dxa" w:w="1908"/>
            <w:vAlign w:val="center"/>
          </w:tcPr>
          <w:p>
            <w:r>
              <w:t>Documentos base completos.</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6</w:t>
            </w:r>
          </w:p>
        </w:tc>
        <w:tc>
          <w:tcPr>
            <w:tcW w:type="dxa" w:w="1908"/>
            <w:vAlign w:val="center"/>
          </w:tcPr>
          <w:p>
            <w:r>
              <w:t>Legitimación activa y pasiva acreditadas.</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7</w:t>
            </w:r>
          </w:p>
        </w:tc>
        <w:tc>
          <w:tcPr>
            <w:tcW w:type="dxa" w:w="1908"/>
            <w:vAlign w:val="center"/>
          </w:tcPr>
          <w:p>
            <w:r>
              <w:t>Medidas cautelares analizadas.</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8</w:t>
            </w:r>
          </w:p>
        </w:tc>
        <w:tc>
          <w:tcPr>
            <w:tcW w:type="dxa" w:w="1908"/>
            <w:vAlign w:val="center"/>
          </w:tcPr>
          <w:p>
            <w:r>
              <w:t>Cada hecho tiene prueba asociada.</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9</w:t>
            </w:r>
          </w:p>
        </w:tc>
        <w:tc>
          <w:tcPr>
            <w:tcW w:type="dxa" w:w="1908"/>
            <w:vAlign w:val="center"/>
          </w:tcPr>
          <w:p>
            <w:r>
              <w:t>Demanda/contestación revisada y cotejada.</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10</w:t>
            </w:r>
          </w:p>
        </w:tc>
        <w:tc>
          <w:tcPr>
            <w:tcW w:type="dxa" w:w="1908"/>
            <w:vAlign w:val="center"/>
          </w:tcPr>
          <w:p>
            <w:r>
              <w:t>Audiencia y pruebas preparadas.</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11</w:t>
            </w:r>
          </w:p>
        </w:tc>
        <w:tc>
          <w:tcPr>
            <w:tcW w:type="dxa" w:w="1908"/>
            <w:vAlign w:val="center"/>
          </w:tcPr>
          <w:p>
            <w:r>
              <w:t>Sentencia y recurso revisados.</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12</w:t>
            </w:r>
          </w:p>
        </w:tc>
        <w:tc>
          <w:tcPr>
            <w:tcW w:type="dxa" w:w="1908"/>
            <w:vAlign w:val="center"/>
          </w:tcPr>
          <w:p>
            <w:r>
              <w:t>Ejecución y cierre registrados.</w:t>
            </w:r>
          </w:p>
        </w:tc>
        <w:tc>
          <w:tcPr>
            <w:tcW w:type="dxa" w:w="1908"/>
            <w:vAlign w:val="center"/>
          </w:tcPr>
          <w:p>
            <w:r>
              <w:t>☐</w:t>
            </w:r>
          </w:p>
        </w:tc>
        <w:tc>
          <w:tcPr>
            <w:tcW w:type="dxa" w:w="1908"/>
            <w:vAlign w:val="center"/>
          </w:tcPr>
          <w:p>
            <w:r>
              <w:t>☐</w:t>
            </w:r>
          </w:p>
        </w:tc>
        <w:tc>
          <w:tcPr>
            <w:tcW w:type="dxa" w:w="1908"/>
            <w:vAlign w:val="center"/>
          </w:tcPr>
          <w:p>
            <w:r>
              <w:t>☐</w:t>
            </w:r>
          </w:p>
        </w:tc>
      </w:tr>
    </w:tbl>
    <w:p>
      <w:pPr>
        <w:ind w:left="280"/>
      </w:pPr>
      <w:r>
        <w:t>• Entrevista y apertura del asunto</w:t>
      </w:r>
    </w:p>
    <w:p>
      <w:pPr>
        <w:ind w:left="280"/>
      </w:pPr>
      <w:r>
        <w:t>• Diagnóstico y definición de pretensión</w:t>
      </w:r>
    </w:p>
    <w:p>
      <w:pPr>
        <w:ind w:left="280"/>
      </w:pPr>
      <w:r>
        <w:t>• Revisión de competencia, acción y vía</w:t>
      </w:r>
    </w:p>
    <w:p>
      <w:pPr>
        <w:ind w:left="280"/>
      </w:pPr>
      <w:r>
        <w:t>• Control de prescripción/caducidad</w:t>
      </w:r>
    </w:p>
    <w:p>
      <w:pPr>
        <w:ind w:left="280"/>
      </w:pPr>
      <w:r>
        <w:t>• Integración documental y probatoria</w:t>
      </w:r>
    </w:p>
    <w:p>
      <w:pPr>
        <w:ind w:left="280"/>
      </w:pPr>
      <w:r>
        <w:t>• Valoración de negociación y medidas cautelares</w:t>
      </w:r>
    </w:p>
    <w:p>
      <w:pPr>
        <w:ind w:left="280"/>
      </w:pPr>
      <w:r>
        <w:t>• Redacción y revisión de demanda o contestación</w:t>
      </w:r>
    </w:p>
    <w:p>
      <w:pPr>
        <w:ind w:left="280"/>
      </w:pPr>
      <w:r>
        <w:t>• Presentación y control de admisión/prevenciones</w:t>
      </w:r>
    </w:p>
    <w:p>
      <w:pPr>
        <w:ind w:left="280"/>
      </w:pPr>
      <w:r>
        <w:t>• Emplazamiento y etapa postulatoria</w:t>
      </w:r>
    </w:p>
    <w:p>
      <w:pPr>
        <w:ind w:left="280"/>
      </w:pPr>
      <w:r>
        <w:t>• Audiencia o etapa conciliatoria cuando corresponda</w:t>
      </w:r>
    </w:p>
    <w:p>
      <w:pPr>
        <w:ind w:left="280"/>
      </w:pPr>
      <w:r>
        <w:t>• Ofrecimiento, admisión y desahogo de pruebas</w:t>
      </w:r>
    </w:p>
    <w:p>
      <w:pPr>
        <w:ind w:left="280"/>
      </w:pPr>
      <w:r>
        <w:t>• Alegatos</w:t>
      </w:r>
    </w:p>
    <w:p>
      <w:pPr>
        <w:ind w:left="280"/>
      </w:pPr>
      <w:r>
        <w:t>• Sentencia</w:t>
      </w:r>
    </w:p>
    <w:p>
      <w:pPr>
        <w:ind w:left="280"/>
      </w:pPr>
      <w:r>
        <w:t>• Recursos o amparo cuando procedan</w:t>
      </w:r>
    </w:p>
    <w:p>
      <w:pPr>
        <w:ind w:left="280"/>
      </w:pPr>
      <w:r>
        <w:t>• Ejecución y cierre del asunto</w:t>
      </w:r>
    </w:p>
    <w:p>
      <w:r>
        <w:rPr>
          <w:b/>
        </w:rPr>
        <w:t>16.8 Matriz de pruebas y control del expediente</w:t>
      </w:r>
    </w:p>
    <w:p>
      <w:r>
        <w:t>Usar la matriz de pruebas para relacionar cada hecho controvertido con la evidencia que lo acredita y mantener actualizado el expediente.</w:t>
      </w:r>
    </w:p>
    <w:p>
      <w:pPr>
        <w:ind w:left="280"/>
      </w:pPr>
      <w:r>
        <w:t>☐ Competencia verificada</w:t>
      </w:r>
    </w:p>
    <w:p>
      <w:pPr>
        <w:ind w:left="280"/>
      </w:pPr>
      <w:r>
        <w:t>☐ Vía procesal verificada</w:t>
      </w:r>
    </w:p>
    <w:p>
      <w:pPr>
        <w:ind w:left="280"/>
      </w:pPr>
      <w:r>
        <w:t>☐ Acción y prestaciones congruentes</w:t>
      </w:r>
    </w:p>
    <w:p>
      <w:pPr>
        <w:ind w:left="280"/>
      </w:pPr>
      <w:r>
        <w:t>☐ Prescripción/caducidad calculada y documentada</w:t>
      </w:r>
    </w:p>
    <w:p>
      <w:pPr>
        <w:ind w:left="280"/>
      </w:pPr>
      <w:r>
        <w:t>☐ Legitimación y personalidad verificadas</w:t>
      </w:r>
    </w:p>
    <w:p>
      <w:pPr>
        <w:ind w:left="280"/>
      </w:pPr>
      <w:r>
        <w:t>☐ Hechos en orden cronológico</w:t>
      </w:r>
    </w:p>
    <w:p>
      <w:pPr>
        <w:ind w:left="280"/>
      </w:pPr>
      <w:r>
        <w:t>☐ Cada hecho importante tiene prueba propuesta</w:t>
      </w:r>
    </w:p>
    <w:p>
      <w:pPr>
        <w:ind w:left="280"/>
      </w:pPr>
      <w:r>
        <w:t>☐ Documentos base integrados</w:t>
      </w:r>
    </w:p>
    <w:p>
      <w:pPr>
        <w:ind w:left="280"/>
      </w:pPr>
      <w:r>
        <w:t>☐ Domicilio para emplazamiento verificado</w:t>
      </w:r>
    </w:p>
    <w:p>
      <w:pPr>
        <w:ind w:left="280"/>
      </w:pPr>
      <w:r>
        <w:t>☐ Medidas cautelares analizadas</w:t>
      </w:r>
    </w:p>
    <w:p>
      <w:pPr>
        <w:ind w:left="280"/>
      </w:pPr>
      <w:r>
        <w:t>☐ Cuantía y competencia por cuantía verificadas</w:t>
      </w:r>
    </w:p>
    <w:p>
      <w:pPr>
        <w:ind w:left="280"/>
      </w:pPr>
      <w:r>
        <w:t>☐ Anexos, copias y firmas revisados</w:t>
      </w:r>
    </w:p>
    <w:p>
      <w:pPr>
        <w:ind w:left="280"/>
      </w:pPr>
      <w:r>
        <w:t>☐ Contrato de honorarios y alcance del servicio documentados</w:t>
      </w:r>
    </w:p>
    <w:p>
      <w:r>
        <w:rPr>
          <w:b/>
        </w:rPr>
        <w:t>16.9 Preparación de audiencia</w:t>
      </w:r>
    </w:p>
    <w:p>
      <w:pPr>
        <w:ind w:left="280"/>
      </w:pPr>
      <w:r>
        <w:t>• Definir objetivo de la audiencia en una frase.</w:t>
      </w:r>
    </w:p>
    <w:p>
      <w:pPr>
        <w:ind w:left="280"/>
      </w:pPr>
      <w:r>
        <w:t>• Revisar expediente y última actuación.</w:t>
      </w:r>
    </w:p>
    <w:p>
      <w:pPr>
        <w:ind w:left="280"/>
      </w:pPr>
      <w:r>
        <w:t>• Preparar cronología de hechos.</w:t>
      </w:r>
    </w:p>
    <w:p>
      <w:pPr>
        <w:ind w:left="280"/>
      </w:pPr>
      <w:r>
        <w:t>• Identificar hechos controvertidos.</w:t>
      </w:r>
    </w:p>
    <w:p>
      <w:pPr>
        <w:ind w:left="280"/>
      </w:pPr>
      <w:r>
        <w:t>• Preparar preguntas a testigos y peritos cuando proceda.</w:t>
      </w:r>
    </w:p>
    <w:p>
      <w:pPr>
        <w:ind w:left="280"/>
      </w:pPr>
      <w:r>
        <w:t>• Preparar documentos que se utilizarán.</w:t>
      </w:r>
    </w:p>
    <w:p>
      <w:pPr>
        <w:ind w:left="280"/>
      </w:pPr>
      <w:r>
        <w:t>• Definir propuesta de convenio si existe posibilidad de conciliación.</w:t>
      </w:r>
    </w:p>
    <w:p>
      <w:pPr>
        <w:ind w:left="280"/>
      </w:pPr>
      <w:r>
        <w:t>• Registrar resultado y próximos términos inmediatamente después.</w:t>
      </w:r>
    </w:p>
    <w:p>
      <w:r>
        <w:rPr>
          <w:b/>
        </w:rPr>
        <w:t>16.10 Ejemplos de casos para entrenamiento</w:t>
      </w:r>
    </w:p>
    <w:p>
      <w:pPr>
        <w:ind w:left="280"/>
      </w:pPr>
      <w:r>
        <w:t>• Incumplimiento de compraventa: analizar cumplimiento, rescisión, entrega, pago, vicios y prueba.</w:t>
      </w:r>
    </w:p>
    <w:p>
      <w:pPr>
        <w:ind w:left="280"/>
      </w:pPr>
      <w:r>
        <w:t>• Arrendamiento con adeudo: separar rescisión/lanzamiento, cobro de rentas y daños; revisar contrato, pagos y comunicaciones.</w:t>
      </w:r>
    </w:p>
    <w:p>
      <w:pPr>
        <w:ind w:left="280"/>
      </w:pPr>
      <w:r>
        <w:t>• Contrato cuestionado por vicio del consentimiento: identificar vicio, plazo, prueba y consecuencia jurídica.</w:t>
      </w:r>
    </w:p>
    <w:p>
      <w:pPr>
        <w:ind w:left="280"/>
      </w:pPr>
      <w:r>
        <w:t>• Conflicto sobre inmueble: diferenciar acción real, posesoria o personal y revisar título, posesión, registro y medidas preventivas.</w:t>
      </w:r>
    </w:p>
    <w:p>
      <w:r>
        <w:rPr>
          <w:b/>
        </w:rPr>
        <w:t>16.11 Control y cierre en SIGDE</w:t>
      </w:r>
    </w:p>
    <w:p>
      <w:pPr>
        <w:ind w:left="280"/>
      </w:pPr>
      <w:r>
        <w:t>• Registrar entrevista y diagnóstico.</w:t>
      </w:r>
    </w:p>
    <w:p>
      <w:pPr>
        <w:ind w:left="280"/>
      </w:pPr>
      <w:r>
        <w:t>• Cargar documentos y clasificar evidencia.</w:t>
      </w:r>
    </w:p>
    <w:p>
      <w:pPr>
        <w:ind w:left="280"/>
      </w:pPr>
      <w:r>
        <w:t>• Crear términos y audiencias.</w:t>
      </w:r>
    </w:p>
    <w:p>
      <w:pPr>
        <w:ind w:left="280"/>
      </w:pPr>
      <w:r>
        <w:t>• Registrar la ruta procesal como tareas/etapas.</w:t>
      </w:r>
    </w:p>
    <w:p>
      <w:pPr>
        <w:ind w:left="280"/>
      </w:pPr>
      <w:r>
        <w:t>• Asociar documentos a cada etapa.</w:t>
      </w:r>
    </w:p>
    <w:p>
      <w:pPr>
        <w:ind w:left="280"/>
      </w:pPr>
      <w:r>
        <w:t>• Registrar resultado de cada actuación.</w:t>
      </w:r>
    </w:p>
    <w:p>
      <w:pPr>
        <w:ind w:left="280"/>
      </w:pPr>
      <w:r>
        <w:t>• Actualizar riesgos y próximos pasos después de cada actuación.</w:t>
      </w:r>
    </w:p>
    <w:p>
      <w:pPr>
        <w:ind w:left="280"/>
      </w:pPr>
      <w:r>
        <w:t>• Cerrar el asunto únicamente cuando exista resolución final, cumplimiento o acuerdo documentado y se hayan cumplido las tareas de cierre.</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E" w:sz="6" w:space="4"/>
      </w:pBdr>
      <w:jc w:val="right"/>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9E" w:sz="6" w:space="4"/>
      </w:pBdr>
    </w:pPr>
    <w:r>
      <w:rPr>
        <w:rFonts w:ascii="Calibri" w:cs="Calibri" w:eastAsia="Calibri" w:hAnsi="Calibri"/>
        <w:color w:val="2E5B9E"/>
        <w:sz w:val="16"/>
        <w:szCs w:val="16"/>
      </w:rPr>
      <w:t xml:space="preserve">MANUAL DE LITIGACIÓN — DERECHO CIVIL PATRIMONIAL  |  JALISCO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rPr>
        <w:rFonts w:ascii="Calibri" w:cs="Calibri" w:eastAsia="Calibri" w:hAnsi="Calibri"/>
        <w:sz w:val="22"/>
        <w:szCs w:val="22"/>
      </w:rPr>
    </w:lvl>
    <w:lvl w:ilvl="1" w15:tentative="1">
      <w:start w:val="1"/>
      <w:numFmt w:val="bullet"/>
      <w:lvlText w:val="◦"/>
      <w:lvlJc w:val="left"/>
      <w:pPr>
        <w:ind w:left="800" w:hanging="220"/>
      </w:pPr>
      <w:rPr>
        <w:rFonts w:ascii="Calibri" w:cs="Calibri" w:eastAsia="Calibri" w:hAnsi="Calibri"/>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80"/>
      <w:outlineLvl w:val="0"/>
    </w:pPr>
    <w:rPr>
      <w:rFonts w:ascii="Calibri" w:cs="Calibri" w:eastAsia="Calibri" w:hAnsi="Calibri"/>
      <w:b/>
      <w:bCs/>
      <w:color w:val="1A2B4A"/>
      <w:sz w:val="36"/>
      <w:szCs w:val="36"/>
    </w:rPr>
  </w:style>
  <w:style w:type="paragraph" w:styleId="Heading2">
    <w:name w:val="Heading 2"/>
    <w:basedOn w:val="Normal"/>
    <w:next w:val="Normal"/>
    <w:pPr>
      <w:spacing w:after="120" w:before="340"/>
      <w:outlineLvl w:val="1"/>
    </w:pPr>
    <w:rPr>
      <w:rFonts w:ascii="Calibri" w:cs="Calibri" w:eastAsia="Calibri" w:hAnsi="Calibri"/>
      <w:b/>
      <w:bCs/>
      <w:color w:val="2E5B9E"/>
      <w:sz w:val="28"/>
      <w:szCs w:val="28"/>
    </w:rPr>
  </w:style>
  <w:style w:type="paragraph" w:styleId="Heading3">
    <w:name w:val="Heading 3"/>
    <w:basedOn w:val="Normal"/>
    <w:next w:val="Normal"/>
    <w:pPr>
      <w:spacing w:after="80" w:before="240"/>
      <w:outlineLvl w:val="2"/>
    </w:pPr>
    <w:rPr>
      <w:rFonts w:ascii="Calibri" w:cs="Calibri" w:eastAsia="Calibri" w:hAnsi="Calibri"/>
      <w:b/>
      <w:bCs/>
      <w:color w:val="1A2B4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2026-07-14T04:00:04.953Z</dcterms:created>
  <dcterms:modified xsi:type="dcterms:W3CDTF">2026-07-14T04:00:04.968Z</dcterms:modified>
</cp:coreProperties>
</file>

<file path=docProps/custom.xml><?xml version="1.0" encoding="utf-8"?>
<Properties xmlns="http://schemas.openxmlformats.org/officeDocument/2006/custom-properties" xmlns:vt="http://schemas.openxmlformats.org/officeDocument/2006/docPropsVTypes"/>
</file>