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/>
        <w:spacing w:before="0" w:after="200" w:line="288" w:lineRule="auto"/>
      </w:pPr>
      <w:r>
        <w:rPr>
          <w:rFonts w:ascii="PingFang SC" w:hAnsi="PingFang SC" w:eastAsia="PingFang SC" w:cs="PingFang SC"/>
          <w:b/>
          <w:bCs/>
          <w:color w:val="0F5537"/>
          <w:sz w:val="46"/>
          <w:szCs w:val="46"/>
        </w:rPr>
        <w:t xml:space="preserve">财智通 · 作品说明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我们不保证你赚钱，但保证你不被骗。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面向理财小白和容易被骗的人的金融安全智能体。 北京大学金融 AI 智能体创新大赛，方向三。</w:t>
      </w:r>
    </w:p>
    <w:p>
      <w:pPr>
        <w:spacing w:before="200" w:after="200"/>
        <w:pBdr>
          <w:bottom w:val="single" w:sz="6" w:space="1" w:color="E3ECE7"/>
        </w:pBdr>
      </w:pPr>
    </w:p>
    <w:p>
      <w:pPr>
        <w:keepNext/>
        <w:spacing w:before="320" w:after="140" w:line="288" w:lineRule="auto"/>
        <w:pBdr>
          <w:bottom w:val="single" w:sz="12" w:space="4" w:color="157048"/>
        </w:pBdr>
      </w:pPr>
      <w:r>
        <w:rPr>
          <w:rFonts w:ascii="PingFang SC" w:hAnsi="PingFang SC" w:eastAsia="PingFang SC" w:cs="PingFang SC"/>
          <w:b/>
          <w:bCs/>
          <w:color w:val="0F5537"/>
          <w:sz w:val="32"/>
          <w:szCs w:val="32"/>
        </w:rPr>
        <w:t xml:space="preserve">一页看完</w:t>
      </w:r>
    </w:p>
    <w:tbl>
      <w:tblPr>
        <w:tblW w:w="0" w:type="auto"/>
        <w:tblLayout w:type="fixed"/>
        <w:tblBorders>
          <w:top w:val="single" w:sz="4" w:space="0" w:color="E3ECE7"/>
          <w:left w:val="single" w:sz="4" w:space="0" w:color="E3ECE7"/>
          <w:bottom w:val="single" w:sz="4" w:space="0" w:color="E3ECE7"/>
          <w:right w:val="single" w:sz="4" w:space="0" w:color="E3ECE7"/>
          <w:insideH w:val="single" w:sz="4" w:space="0" w:color="E3ECE7"/>
          <w:insideV w:val="single" w:sz="4" w:space="0" w:color="E3ECE7"/>
        </w:tblBorders>
      </w:tblPr>
      <w:tblGrid>
        <w:gridCol w:w="2246"/>
        <w:gridCol w:w="7114"/>
      </w:tblGrid>
      <w:tr>
        <w:tc>
          <w:tcPr>
            <w:tcW w:w="2246" w:type="dxa"/>
            <w:shd w:val="clear" w:fill="F6FBF8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b/>
                <w:bCs/>
                <w:color w:val="0F5537"/>
                <w:sz w:val="19"/>
                <w:szCs w:val="19"/>
              </w:rPr>
              <w:t xml:space="preserve">它做什么</w:t>
            </w:r>
          </w:p>
        </w:tc>
        <w:tc>
          <w:tcPr>
            <w:tcW w:w="7114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你把可疑的理财广告发进来，它逐句告诉你哪几句是监管禁止的说法、依据哪条规定、对方接下来可能会做什么</w:t>
            </w:r>
          </w:p>
        </w:tc>
      </w:tr>
      <w:tr>
        <w:tc>
          <w:tcPr>
            <w:tcW w:w="2246" w:type="dxa"/>
            <w:shd w:val="clear" w:fill="F6FBF8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b/>
                <w:bCs/>
                <w:color w:val="0F5537"/>
                <w:sz w:val="19"/>
                <w:szCs w:val="19"/>
              </w:rPr>
              <w:t xml:space="preserve">给谁用</w:t>
            </w:r>
          </w:p>
        </w:tc>
        <w:tc>
          <w:tcPr>
            <w:tcW w:w="7114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刚开始理财的人、中老年人、大学生</w:t>
            </w:r>
          </w:p>
        </w:tc>
      </w:tr>
      <w:tr>
        <w:tc>
          <w:tcPr>
            <w:tcW w:w="2246" w:type="dxa"/>
            <w:shd w:val="clear" w:fill="F6FBF8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b/>
                <w:bCs/>
                <w:color w:val="0F5537"/>
                <w:sz w:val="19"/>
                <w:szCs w:val="19"/>
              </w:rPr>
              <w:t xml:space="preserve">和别人不一样的地方</w:t>
            </w:r>
          </w:p>
        </w:tc>
        <w:tc>
          <w:tcPr>
            <w:tcW w:w="7114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不做「帮你赚钱」，那要牌照。只做「帮你不被骗」，这是监管鼓励的</w:t>
            </w:r>
          </w:p>
        </w:tc>
      </w:tr>
      <w:tr>
        <w:tc>
          <w:tcPr>
            <w:tcW w:w="2246" w:type="dxa"/>
            <w:shd w:val="clear" w:fill="F6FBF8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b/>
                <w:bCs/>
                <w:color w:val="0F5537"/>
                <w:sz w:val="19"/>
                <w:szCs w:val="19"/>
              </w:rPr>
              <w:t xml:space="preserve">技术上的关键选择</w:t>
            </w:r>
          </w:p>
        </w:tc>
        <w:tc>
          <w:tcPr>
            <w:tcW w:w="7114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判断由代码做，不交给模型。换个模型，结论不变</w:t>
            </w:r>
          </w:p>
        </w:tc>
      </w:tr>
      <w:tr>
        <w:tc>
          <w:tcPr>
            <w:tcW w:w="2246" w:type="dxa"/>
            <w:shd w:val="clear" w:fill="F6FBF8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b/>
                <w:bCs/>
                <w:color w:val="0F5537"/>
                <w:sz w:val="19"/>
                <w:szCs w:val="19"/>
              </w:rPr>
              <w:t xml:space="preserve">形态</w:t>
            </w:r>
          </w:p>
        </w:tc>
        <w:tc>
          <w:tcPr>
            <w:tcW w:w="7114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网页，手机扫码就能用，不用装 App</w:t>
            </w:r>
          </w:p>
        </w:tc>
      </w:tr>
      <w:tr>
        <w:tc>
          <w:tcPr>
            <w:tcW w:w="2246" w:type="dxa"/>
            <w:shd w:val="clear" w:fill="F6FBF8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b/>
                <w:bCs/>
                <w:color w:val="0F5537"/>
                <w:sz w:val="19"/>
                <w:szCs w:val="19"/>
              </w:rPr>
              <w:t xml:space="preserve">能不能查证</w:t>
            </w:r>
          </w:p>
        </w:tc>
        <w:tc>
          <w:tcPr>
            <w:tcW w:w="7114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14 条法规都核对过官方原文并附链接；9 类骗局的案例全部出自最高法、最高检、证监会的公开页面</w:t>
            </w:r>
          </w:p>
        </w:tc>
      </w:tr>
      <w:tr>
        <w:tc>
          <w:tcPr>
            <w:tcW w:w="2246" w:type="dxa"/>
            <w:shd w:val="clear" w:fill="F6FBF8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b/>
                <w:bCs/>
                <w:color w:val="0F5537"/>
                <w:sz w:val="19"/>
                <w:szCs w:val="19"/>
              </w:rPr>
              <w:t xml:space="preserve">怎么赚钱</w:t>
            </w:r>
          </w:p>
        </w:tc>
        <w:tc>
          <w:tcPr>
            <w:tcW w:w="7114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机构付费，个人免费</w:t>
            </w:r>
          </w:p>
        </w:tc>
      </w:tr>
    </w:tbl>
    <w:p>
      <w:pPr>
        <w:spacing w:before="0" w:after="80"/>
      </w:pPr>
    </w:p>
    <w:p>
      <w:pPr>
        <w:spacing w:before="200" w:after="200"/>
        <w:pBdr>
          <w:bottom w:val="single" w:sz="6" w:space="1" w:color="E3ECE7"/>
        </w:pBdr>
      </w:pPr>
    </w:p>
    <w:p>
      <w:pPr>
        <w:keepNext/>
        <w:spacing w:before="320" w:after="140" w:line="288" w:lineRule="auto"/>
        <w:pBdr>
          <w:bottom w:val="single" w:sz="12" w:space="4" w:color="157048"/>
        </w:pBdr>
      </w:pPr>
      <w:r>
        <w:rPr>
          <w:rFonts w:ascii="PingFang SC" w:hAnsi="PingFang SC" w:eastAsia="PingFang SC" w:cs="PingFang SC"/>
          <w:b/>
          <w:bCs/>
          <w:color w:val="0F5537"/>
          <w:sz w:val="32"/>
          <w:szCs w:val="32"/>
        </w:rPr>
        <w:t xml:space="preserve">1. 我们想解决的问题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很多人第一次理财亏钱，不是投资失败，是被骗了。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现在缺的不是信息。打开任何一个财经平台，信息多得看不完。缺的是三样东西：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一是看不懂。市盈率、年化、IRR、R2 风险等级，看到就懵。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二是辨不出。「保本年化 12%」和「预期收益 3.5%」在他眼里都是收益，分不出哪个一定是骗局。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三是不知道自己该冒多少风险。拿买房首付去追高风险的东西。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市面上的产品几乎都在解决「怎么赚得更多」，很少有人认真做「怎么亏得更少」。可是对一个刚开始理财的人来说，躲开一次五万块的骗局，比多赚百分之五重要得多。</w:t>
      </w:r>
    </w:p>
    <w:p>
      <w:pPr>
        <w:keepNext/>
        <w:spacing w:before="260" w:after="100" w:line="288" w:lineRule="auto"/>
      </w:pPr>
      <w:r>
        <w:rPr>
          <w:rFonts w:ascii="PingFang SC" w:hAnsi="PingFang SC" w:eastAsia="PingFang SC" w:cs="PingFang SC"/>
          <w:b/>
          <w:bCs/>
          <w:color w:val="157048"/>
          <w:sz w:val="26"/>
          <w:szCs w:val="26"/>
        </w:rPr>
        <w:t xml:space="preserve">这件事有多大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下面的数字都来自官方公开页面，可以点开核对。</w:t>
      </w:r>
    </w:p>
    <w:tbl>
      <w:tblPr>
        <w:tblW w:w="0" w:type="auto"/>
        <w:tblLayout w:type="fixed"/>
        <w:tblBorders>
          <w:top w:val="single" w:sz="4" w:space="0" w:color="E3ECE7"/>
          <w:left w:val="single" w:sz="4" w:space="0" w:color="E3ECE7"/>
          <w:bottom w:val="single" w:sz="4" w:space="0" w:color="E3ECE7"/>
          <w:right w:val="single" w:sz="4" w:space="0" w:color="E3ECE7"/>
          <w:insideH w:val="single" w:sz="4" w:space="0" w:color="E3ECE7"/>
          <w:insideV w:val="single" w:sz="4" w:space="0" w:color="E3ECE7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F6FBF8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b/>
                <w:bCs/>
                <w:color w:val="0F5537"/>
                <w:sz w:val="19"/>
                <w:szCs w:val="19"/>
              </w:rPr>
              <w:t xml:space="preserve">事实</w:t>
            </w:r>
          </w:p>
        </w:tc>
        <w:tc>
          <w:tcPr>
            <w:tcW w:w="4680" w:type="dxa"/>
            <w:shd w:val="clear" w:fill="F6FBF8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b/>
                <w:bCs/>
                <w:color w:val="0F5537"/>
                <w:sz w:val="19"/>
                <w:szCs w:val="19"/>
              </w:rPr>
              <w:t xml:space="preserve">出处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2025 年全国检察机关起诉电信网络诈骗 68,907 人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最高人民检察院《刑事检察工作白皮书（2025）》，2026 年 3 月 10 日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2024 年起诉电诈 7.8 万人，比上一年增加 53.9%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最高人民检察院工作报告，2025 年 3 月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2025 年起诉金融犯罪 1.3 万件 2.5 万人。白皮书把「投资理财」列为打击非法集资的重点领域第一项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同上白皮书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2017 年到 2022 年 8 月，全国法院审结非法集资一审案件 6.02 万件 10.87 万人。其中集资诈骗案件的重刑率 78.78%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最高人民法院，2022 年 9 月 22 日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养老诈骗案件里，非法集资占了大约六成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同上</w:t>
            </w:r>
          </w:p>
        </w:tc>
      </w:tr>
    </w:tbl>
    <w:p>
      <w:pPr>
        <w:spacing w:before="0" w:after="80"/>
      </w:pPr>
    </w:p>
    <w:p>
      <w:pPr>
        <w:keepNext/>
        <w:spacing w:before="260" w:after="100" w:line="288" w:lineRule="auto"/>
      </w:pPr>
      <w:r>
        <w:rPr>
          <w:rFonts w:ascii="PingFang SC" w:hAnsi="PingFang SC" w:eastAsia="PingFang SC" w:cs="PingFang SC"/>
          <w:b/>
          <w:bCs/>
          <w:color w:val="157048"/>
          <w:sz w:val="26"/>
          <w:szCs w:val="26"/>
        </w:rPr>
        <w:t xml:space="preserve">三个数字决定了产品长什么样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下面这组数字来自北京市公安局 2025 年 10 月 28 日的发布会。</w:t>
      </w:r>
      <w:r>
        <w:rPr>
          <w:rFonts w:ascii="PingFang SC" w:hAnsi="PingFang SC" w:eastAsia="PingFang SC" w:cs="PingFang SC"/>
          <w:b/>
          <w:bCs/>
          <w:color w:val="06301F"/>
          <w:sz w:val="21"/>
          <w:szCs w:val="21"/>
        </w:rPr>
        <w:t xml:space="preserve">是北京市的数据，不是全国。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b/>
          <w:bCs/>
          <w:color w:val="06301F"/>
          <w:sz w:val="21"/>
          <w:szCs w:val="21"/>
        </w:rPr>
        <w:t xml:space="preserve">7% 的案子，38% 的钱。</w:t>
      </w: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 虚假网络投资理财类诈骗只占全市电诈案件的 7%，被骗的钱却占 38%。被骗一百万以上的案子里，将近七成是这一类。也就是说，这类骗局单笔造成的损失最大，做反诈从这里下手最划算。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b/>
          <w:bCs/>
          <w:color w:val="06301F"/>
          <w:sz w:val="21"/>
          <w:szCs w:val="21"/>
        </w:rPr>
        <w:t xml:space="preserve">平均 36.7 天。</w:t>
      </w: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 从骗子第一次搭上话，到受害人报警，平均隔了三十六天多，是各类电诈里拖得最久的。这说明骗局不是一瞬间完成的，中间有一个月的时间可以拦。这也是我们做「骗局剧本预测」的原因：不是等出事了才告诉他被骗了，而是在这一个月里提前说「接下来他会让你先提一小笔钱出来」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b/>
          <w:bCs/>
          <w:color w:val="06301F"/>
          <w:sz w:val="21"/>
          <w:szCs w:val="21"/>
        </w:rPr>
        <w:t xml:space="preserve">受害人多数有专业投资理财经历。</w:t>
      </w: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 这是发布会通报里的原话。同一份通报还说，受害人里 46 岁以上占六成，60 岁以上占两成，年纪最大的男女都是 88 岁。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最后这一句最值得琢磨。被骗的不是不懂理财的人。所以「把人教聪明」这条路救不了他们，他们已经不算新手了，还是中招。他们缺的是在那一刻有人逐句告诉他：这句话本身就不合规。这也是我们和投教类产品的分界线。</w:t>
      </w:r>
    </w:p>
    <w:p>
      <w:pPr>
        <w:spacing w:before="200" w:after="200"/>
        <w:pBdr>
          <w:bottom w:val="single" w:sz="6" w:space="1" w:color="E3ECE7"/>
        </w:pBdr>
      </w:pPr>
    </w:p>
    <w:p>
      <w:pPr>
        <w:keepNext/>
        <w:spacing w:before="320" w:after="140" w:line="288" w:lineRule="auto"/>
        <w:pBdr>
          <w:bottom w:val="single" w:sz="12" w:space="4" w:color="157048"/>
        </w:pBdr>
      </w:pPr>
      <w:r>
        <w:rPr>
          <w:rFonts w:ascii="PingFang SC" w:hAnsi="PingFang SC" w:eastAsia="PingFang SC" w:cs="PingFang SC"/>
          <w:b/>
          <w:bCs/>
          <w:color w:val="0F5537"/>
          <w:sz w:val="32"/>
          <w:szCs w:val="32"/>
        </w:rPr>
        <w:t xml:space="preserve">2. 为什么选这条路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同赛道大概会有不少团队做 AI 投顾。但在现在的监管下，AI 荐股、AI 荐基、AI 给买卖信号都是违法的。推荐具体标的属于证券投资咨询业务，要牌照。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所以走「帮你赚钱」这条路的项目，天花板都被合规按住了。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我们反过来选：走监管本来就鼓励的方向。投资者保护、投资者教育、反非法金融活动宣传，是《证券法》《反电信网络诈骗法》和各级监管部门明确要求机构去做的事。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同样一件事，别人做要牌照，我们做是监管鼓励。</w:t>
      </w:r>
    </w:p>
    <w:p>
      <w:pPr>
        <w:keepNext/>
        <w:spacing w:before="260" w:after="100" w:line="288" w:lineRule="auto"/>
      </w:pPr>
      <w:r>
        <w:rPr>
          <w:rFonts w:ascii="PingFang SC" w:hAnsi="PingFang SC" w:eastAsia="PingFang SC" w:cs="PingFang SC"/>
          <w:b/>
          <w:bCs/>
          <w:color w:val="157048"/>
          <w:sz w:val="26"/>
          <w:szCs w:val="26"/>
        </w:rPr>
        <w:t xml:space="preserve">和国家反诈中心 App 的分工</w:t>
      </w:r>
    </w:p>
    <w:tbl>
      <w:tblPr>
        <w:tblW w:w="0" w:type="auto"/>
        <w:tblLayout w:type="fixed"/>
        <w:tblBorders>
          <w:top w:val="single" w:sz="4" w:space="0" w:color="E3ECE7"/>
          <w:left w:val="single" w:sz="4" w:space="0" w:color="E3ECE7"/>
          <w:bottom w:val="single" w:sz="4" w:space="0" w:color="E3ECE7"/>
          <w:right w:val="single" w:sz="4" w:space="0" w:color="E3ECE7"/>
          <w:insideH w:val="single" w:sz="4" w:space="0" w:color="E3ECE7"/>
          <w:insideV w:val="single" w:sz="4" w:space="0" w:color="E3ECE7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F6FBF8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b/>
                <w:bCs/>
                <w:color w:val="0F5537"/>
                <w:sz w:val="19"/>
                <w:szCs w:val="19"/>
              </w:rPr>
              <w:t xml:space="preserve">反诈中心 App</w:t>
            </w:r>
          </w:p>
        </w:tc>
        <w:tc>
          <w:tcPr>
            <w:tcW w:w="4680" w:type="dxa"/>
            <w:shd w:val="clear" w:fill="F6FBF8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b/>
                <w:bCs/>
                <w:color w:val="0F5537"/>
                <w:sz w:val="19"/>
                <w:szCs w:val="19"/>
              </w:rPr>
              <w:t xml:space="preserve">财智通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管通讯和交易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管内容和话术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涉诈号码、短信、App 黑名单、转账预警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一张广告图、一段群聊、一份产品说明书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管已经发生的接触行为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管这段话本身有没有问题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不做投教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同时给出法规依据和科普</w:t>
            </w:r>
          </w:p>
        </w:tc>
      </w:tr>
    </w:tbl>
    <w:p>
      <w:pPr>
        <w:spacing w:before="0" w:after="80"/>
      </w:pP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投资理财骗局的入口是内容，是一张图、一段群聊、一份说明书。这些东西不在号码黑名单里。所以我们和反诈 App 是互补，不是替代。</w:t>
      </w:r>
    </w:p>
    <w:p>
      <w:pPr>
        <w:spacing w:before="200" w:after="200"/>
        <w:pBdr>
          <w:bottom w:val="single" w:sz="6" w:space="1" w:color="E3ECE7"/>
        </w:pBdr>
      </w:pPr>
    </w:p>
    <w:p>
      <w:pPr>
        <w:keepNext/>
        <w:spacing w:before="320" w:after="140" w:line="288" w:lineRule="auto"/>
        <w:pBdr>
          <w:bottom w:val="single" w:sz="12" w:space="4" w:color="157048"/>
        </w:pBdr>
      </w:pPr>
      <w:r>
        <w:rPr>
          <w:rFonts w:ascii="PingFang SC" w:hAnsi="PingFang SC" w:eastAsia="PingFang SC" w:cs="PingFang SC"/>
          <w:b/>
          <w:bCs/>
          <w:color w:val="0F5537"/>
          <w:sz w:val="32"/>
          <w:szCs w:val="32"/>
        </w:rPr>
        <w:t xml:space="preserve">3. 产品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四个入口。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b/>
          <w:bCs/>
          <w:color w:val="06301F"/>
          <w:sz w:val="21"/>
          <w:szCs w:val="21"/>
        </w:rPr>
        <w:t xml:space="preserve">识别与翻译（首页）。</w:t>
      </w: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 截图或者文字丢进来，先翻成人话，再看有没有风险。这是最常用的一步，所以放在首页。输出一份风险体检报告：风险等级、逐条命中了什么、依据哪条法规的原文、去哪里查这家机构、五个维度的风险画像、对方下一步可能会做什么、现在该做什么。看不懂的术语当场解释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b/>
          <w:bCs/>
          <w:color w:val="06301F"/>
          <w:sz w:val="21"/>
          <w:szCs w:val="21"/>
        </w:rPr>
        <w:t xml:space="preserve">学习。</w:t>
      </w: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 三块。闯关是五关二十五题，答错就地讲清楚为什么错。识别测试给五段文案，让用户先判断，再和 AI 的判断比一比。术语表点开才展开，不用背。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b/>
          <w:bCs/>
          <w:color w:val="06301F"/>
          <w:sz w:val="21"/>
          <w:szCs w:val="21"/>
        </w:rPr>
        <w:t xml:space="preserve">规划师。</w:t>
      </w: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 先做风险测评，问题会根据前面的回答变，答完给出大类资产的参考比例，只讲品类和比例原则，不指向任何具体产品。另外有两个计算器：应急金要留多少，以及分期的真实年化成本是多少。还有一个个股公开信息查询，输入代码看交易所和公司披露的行情与财务数据，只陈列事实，不做评价、不预测涨跌、不给买卖点，同时给出五个自己该问自己的问题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b/>
          <w:bCs/>
          <w:color w:val="06301F"/>
          <w:sz w:val="21"/>
          <w:szCs w:val="21"/>
        </w:rPr>
        <w:t xml:space="preserve">我的档案。</w:t>
      </w: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 三个入口共读共写同一份档案，所以它们会互相影响。</w:t>
      </w:r>
    </w:p>
    <w:p>
      <w:pPr>
        <w:keepNext/>
        <w:spacing w:before="260" w:after="100" w:line="288" w:lineRule="auto"/>
      </w:pPr>
      <w:r>
        <w:rPr>
          <w:rFonts w:ascii="PingFang SC" w:hAnsi="PingFang SC" w:eastAsia="PingFang SC" w:cs="PingFang SC"/>
          <w:b/>
          <w:bCs/>
          <w:color w:val="157048"/>
          <w:sz w:val="26"/>
          <w:szCs w:val="26"/>
        </w:rPr>
        <w:t xml:space="preserve">它们怎么互相影响</w:t>
      </w:r>
    </w:p>
    <w:tbl>
      <w:tblPr>
        <w:tblW w:w="0" w:type="auto"/>
        <w:tblLayout w:type="fixed"/>
        <w:tblBorders>
          <w:top w:val="single" w:sz="4" w:space="0" w:color="E3ECE7"/>
          <w:left w:val="single" w:sz="4" w:space="0" w:color="E3ECE7"/>
          <w:bottom w:val="single" w:sz="4" w:space="0" w:color="E3ECE7"/>
          <w:right w:val="single" w:sz="4" w:space="0" w:color="E3ECE7"/>
          <w:insideH w:val="single" w:sz="4" w:space="0" w:color="E3ECE7"/>
          <w:insideV w:val="single" w:sz="4" w:space="0" w:color="E3ECE7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F6FBF8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b/>
                <w:bCs/>
                <w:color w:val="0F5537"/>
                <w:sz w:val="19"/>
                <w:szCs w:val="19"/>
              </w:rPr>
              <w:t xml:space="preserve">发生了什么</w:t>
            </w:r>
          </w:p>
        </w:tc>
        <w:tc>
          <w:tcPr>
            <w:tcW w:w="4680" w:type="dxa"/>
            <w:shd w:val="clear" w:fill="F6FBF8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b/>
                <w:bCs/>
                <w:color w:val="0F5537"/>
                <w:sz w:val="19"/>
                <w:szCs w:val="19"/>
              </w:rPr>
              <w:t xml:space="preserve">别处会跟着变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测评结果是激进型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识别页会主动提醒，你这种偏好最容易被高收益话术打动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学习时某个术语反复答错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后面讲到这个词会先解释一遍再往下说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识别出用户遇到的是荐股群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学习页推一节微课，讲为什么免费荐股群一定有问题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测评发现有高息负债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全站置顶提示，先把高息的债还掉，再谈理财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年龄段是 60 以上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全站字号放大，术语进一步简化，优先展示骗老年人的那几类骗局</w:t>
            </w:r>
          </w:p>
        </w:tc>
      </w:tr>
    </w:tbl>
    <w:p>
      <w:pPr>
        <w:spacing w:before="0" w:after="80"/>
      </w:pPr>
    </w:p>
    <w:p>
      <w:pPr>
        <w:spacing w:before="200" w:after="200"/>
        <w:pBdr>
          <w:bottom w:val="single" w:sz="6" w:space="1" w:color="E3ECE7"/>
        </w:pBdr>
      </w:pPr>
    </w:p>
    <w:p>
      <w:pPr>
        <w:keepNext/>
        <w:spacing w:before="320" w:after="140" w:line="288" w:lineRule="auto"/>
        <w:pBdr>
          <w:bottom w:val="single" w:sz="12" w:space="4" w:color="157048"/>
        </w:pBdr>
      </w:pPr>
      <w:r>
        <w:rPr>
          <w:rFonts w:ascii="PingFang SC" w:hAnsi="PingFang SC" w:eastAsia="PingFang SC" w:cs="PingFang SC"/>
          <w:b/>
          <w:bCs/>
          <w:color w:val="0F5537"/>
          <w:sz w:val="32"/>
          <w:szCs w:val="32"/>
        </w:rPr>
        <w:t xml:space="preserve">4. 技术上最关键的一个决定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判断由代码做，不交给模型。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一份报告要经过这几步：</w:t>
      </w:r>
    </w:p>
    <w:p>
      <w:pPr>
        <w:spacing w:before="60" w:after="0" w:line="300" w:lineRule="auto"/>
        <w:ind w:left="180"/>
        <w:shd w:val="clear" w:fill="F6FBF8"/>
        <w:rPr/>
      </w:pPr>
      <w:r>
        <w:rPr>
          <w:rFonts w:ascii="Menlo" w:hAnsi="Menlo" w:eastAsia="Menlo" w:cs="Menlo"/>
          <w:color w:val="3D554B"/>
          <w:sz w:val="18"/>
          <w:szCs w:val="18"/>
        </w:rPr>
        <w:t xml:space="preserve">① 认字      模型   把图上的字提出来</w:t>
      </w:r>
    </w:p>
    <w:p>
      <w:pPr>
        <w:spacing w:before="0" w:after="0" w:line="300" w:lineRule="auto"/>
        <w:ind w:left="180"/>
        <w:shd w:val="clear" w:fill="F6FBF8"/>
        <w:rPr/>
      </w:pPr>
      <w:r>
        <w:rPr>
          <w:rFonts w:ascii="Menlo" w:hAnsi="Menlo" w:eastAsia="Menlo" w:cs="Menlo"/>
          <w:color w:val="3D554B"/>
          <w:sz w:val="18"/>
          <w:szCs w:val="18"/>
        </w:rPr>
        <w:t xml:space="preserve">② 规则比对  代码   对照 15 类违规话术特征、365 个关键词</w:t>
      </w:r>
    </w:p>
    <w:p>
      <w:pPr>
        <w:spacing w:before="0" w:after="0" w:line="300" w:lineRule="auto"/>
        <w:ind w:left="180"/>
        <w:shd w:val="clear" w:fill="F6FBF8"/>
        <w:rPr/>
      </w:pPr>
      <w:r>
        <w:rPr>
          <w:rFonts w:ascii="Menlo" w:hAnsi="Menlo" w:eastAsia="Menlo" w:cs="Menlo"/>
          <w:color w:val="3D554B"/>
          <w:sz w:val="18"/>
          <w:szCs w:val="18"/>
        </w:rPr>
        <w:t xml:space="preserve">③ 语义识别  模型   认口语化的说法，引文必须真实存在</w:t>
      </w:r>
    </w:p>
    <w:p>
      <w:pPr>
        <w:spacing w:before="0" w:after="0" w:line="300" w:lineRule="auto"/>
        <w:ind w:left="180"/>
        <w:shd w:val="clear" w:fill="F6FBF8"/>
        <w:rPr/>
      </w:pPr>
      <w:r>
        <w:rPr>
          <w:rFonts w:ascii="Menlo" w:hAnsi="Menlo" w:eastAsia="Menlo" w:cs="Menlo"/>
          <w:color w:val="3D554B"/>
          <w:sz w:val="18"/>
          <w:szCs w:val="18"/>
        </w:rPr>
        <w:t xml:space="preserve">④ 主体核查  代码   资质、性质、渠道有没有疑点，给出官方查询入口</w:t>
      </w:r>
    </w:p>
    <w:p>
      <w:pPr>
        <w:spacing w:before="0" w:after="0" w:line="300" w:lineRule="auto"/>
        <w:ind w:left="180"/>
        <w:shd w:val="clear" w:fill="F6FBF8"/>
        <w:rPr/>
      </w:pPr>
      <w:r>
        <w:rPr>
          <w:rFonts w:ascii="Menlo" w:hAnsi="Menlo" w:eastAsia="Menlo" w:cs="Menlo"/>
          <w:color w:val="3D554B"/>
          <w:sz w:val="18"/>
          <w:szCs w:val="18"/>
        </w:rPr>
        <w:t xml:space="preserve">⑤ 法规引证  代码   给每一条命中调出对应的法规条文</w:t>
      </w:r>
    </w:p>
    <w:p>
      <w:pPr>
        <w:spacing w:before="0" w:after="0" w:line="300" w:lineRule="auto"/>
        <w:ind w:left="180"/>
        <w:shd w:val="clear" w:fill="F6FBF8"/>
        <w:rPr/>
      </w:pPr>
      <w:r>
        <w:rPr>
          <w:rFonts w:ascii="Menlo" w:hAnsi="Menlo" w:eastAsia="Menlo" w:cs="Menlo"/>
          <w:color w:val="3D554B"/>
          <w:sz w:val="18"/>
          <w:szCs w:val="18"/>
        </w:rPr>
        <w:t xml:space="preserve">⑥ 讲人话    模型   把上面这些客观结论转述成大白话</w:t>
      </w:r>
    </w:p>
    <w:p>
      <w:pPr>
        <w:spacing w:before="0" w:after="60" w:line="300" w:lineRule="auto"/>
        <w:ind w:left="180"/>
        <w:shd w:val="clear" w:fill="F6FBF8"/>
        <w:rPr/>
      </w:pPr>
      <w:r>
        <w:rPr>
          <w:rFonts w:ascii="Menlo" w:hAnsi="Menlo" w:eastAsia="Menlo" w:cs="Menlo"/>
          <w:color w:val="3D554B"/>
          <w:sz w:val="18"/>
          <w:szCs w:val="18"/>
        </w:rPr>
        <w:t xml:space="preserve">   输出审查  代码   越界的说法拦掉，编造的数字整段作废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模型只出现在两头：开头认图上的字，结尾把结论讲成人话。中间的判断全是代码。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所以换个模型，判定结果一模一样。这样「AI 会不会乱说」就不是一个需要用户信任的问题，而是架构上已经定下来的事。</w:t>
      </w:r>
    </w:p>
    <w:p>
      <w:pPr>
        <w:keepNext/>
        <w:spacing w:before="260" w:after="100" w:line="288" w:lineRule="auto"/>
      </w:pPr>
      <w:r>
        <w:rPr>
          <w:rFonts w:ascii="PingFang SC" w:hAnsi="PingFang SC" w:eastAsia="PingFang SC" w:cs="PingFang SC"/>
          <w:b/>
          <w:bCs/>
          <w:color w:val="157048"/>
          <w:sz w:val="26"/>
          <w:szCs w:val="26"/>
        </w:rPr>
        <w:t xml:space="preserve">4.1 为什么要加第二条通道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这一层是被一次失败逼出来的。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我们内部测试输入了一句：「把钱全给我，我一定帮你炒股赚大钱」。第一版系统判成了绿色，没发现问题。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这句话同时踩了代客理财和收益承诺两条硬红线。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原因是特征库当初是照着正规广告文案建的，收的是「保本保息」「预期年化收益」这类书面词。而真实的骗局在微信里说的是大白话：把钱给我、我帮你炒、一定赚。两套语言，只覆盖了一套。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更要紧的是，这个问题补几个关键词是治不好的。骗子的说法无穷多，关键词库永远穷举不完。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所以加了第二条通道，让模型去认口语。但给了它三条硬约束：</w:t>
      </w:r>
    </w:p>
    <w:p>
      <w:pPr>
        <w:spacing w:before="20" w:after="20" w:line="300" w:lineRule="auto"/>
        <w:ind w:left="240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1. 只能从已有的特征分类里选，不许自己造新类别。这样法规引证才还能对上。</w:t>
      </w:r>
    </w:p>
    <w:p>
      <w:pPr>
        <w:spacing w:before="20" w:after="20" w:line="300" w:lineRule="auto"/>
        <w:ind w:left="240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2. 必须引用原文里真实存在的句子。引不上就直接丢掉。丢掉了哪几条，报告里会列出来给用户看。</w:t>
      </w:r>
    </w:p>
    <w:p>
      <w:pPr>
        <w:spacing w:before="20" w:after="20" w:line="300" w:lineRule="auto"/>
        <w:ind w:left="240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3. 引文要过和规则通道一样的排除检查，比如否定语境、科普语境。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另外还有几条：模型自己说没把握的丢掉；规则通道已经解释过的那句话，语义通道不再插话；调用七秒超时就只用规则通道，不影响出结论。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实测效果，挑几条：</w:t>
      </w:r>
    </w:p>
    <w:tbl>
      <w:tblPr>
        <w:tblW w:w="0" w:type="auto"/>
        <w:tblLayout w:type="fixed"/>
        <w:tblBorders>
          <w:top w:val="single" w:sz="4" w:space="0" w:color="E3ECE7"/>
          <w:left w:val="single" w:sz="4" w:space="0" w:color="E3ECE7"/>
          <w:bottom w:val="single" w:sz="4" w:space="0" w:color="E3ECE7"/>
          <w:right w:val="single" w:sz="4" w:space="0" w:color="E3ECE7"/>
          <w:insideH w:val="single" w:sz="4" w:space="0" w:color="E3ECE7"/>
          <w:insideV w:val="single" w:sz="4" w:space="0" w:color="E3ECE7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fill="F6FBF8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b/>
                <w:bCs/>
                <w:color w:val="0F5537"/>
                <w:sz w:val="19"/>
                <w:szCs w:val="19"/>
              </w:rPr>
              <w:t xml:space="preserve">输入</w:t>
            </w:r>
          </w:p>
        </w:tc>
        <w:tc>
          <w:tcPr>
            <w:tcW w:w="2340" w:type="dxa"/>
            <w:shd w:val="clear" w:fill="F6FBF8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b/>
                <w:bCs/>
                <w:color w:val="0F5537"/>
                <w:sz w:val="19"/>
                <w:szCs w:val="19"/>
              </w:rPr>
              <w:t xml:space="preserve">规则</w:t>
            </w:r>
          </w:p>
        </w:tc>
        <w:tc>
          <w:tcPr>
            <w:tcW w:w="2340" w:type="dxa"/>
            <w:shd w:val="clear" w:fill="F6FBF8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b/>
                <w:bCs/>
                <w:color w:val="0F5537"/>
                <w:sz w:val="19"/>
                <w:szCs w:val="19"/>
              </w:rPr>
              <w:t xml:space="preserve">语义</w:t>
            </w:r>
          </w:p>
        </w:tc>
        <w:tc>
          <w:tcPr>
            <w:tcW w:w="2340" w:type="dxa"/>
            <w:shd w:val="clear" w:fill="F6FBF8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b/>
                <w:bCs/>
                <w:color w:val="0F5537"/>
                <w:sz w:val="19"/>
                <w:szCs w:val="19"/>
              </w:rPr>
              <w:t xml:space="preserve">结果</w:t>
            </w:r>
          </w:p>
        </w:tc>
      </w:tr>
      <w:tr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老弟，这波行情我看准了，钱打过来我给你操作，一个月不翻倍我给你补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0 条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3 条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红</w:t>
            </w:r>
          </w:p>
        </w:tc>
      </w:tr>
      <w:tr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咱们村的项目，投一万，每个月给你三百，拉个亲戚来还有奖励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0 条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2 条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红</w:t>
            </w:r>
          </w:p>
        </w:tc>
      </w:tr>
      <w:tr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银行的存款利率太低了，我们这个产品跟存款差不多，但收益高得多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0 条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2 条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红</w:t>
            </w:r>
          </w:p>
        </w:tc>
      </w:tr>
      <w:tr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凡是承诺保本保息、说自己零风险的，都是骗局，请提高警惕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0 条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命中后被科普语境排除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绿</w:t>
            </w:r>
          </w:p>
        </w:tc>
      </w:tr>
      <w:tr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本产品不保本，可能亏损本金，风险等级 R3，投资须谨慎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0 条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0 条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绿</w:t>
            </w:r>
          </w:p>
        </w:tc>
      </w:tr>
    </w:tbl>
    <w:p>
      <w:pPr>
        <w:spacing w:before="0" w:after="80"/>
      </w:pP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一份报告从头到尾 0.9 到 3.9 秒。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一句话说清两条通道的分工：规则通道保证说出来的都是对的，语义通道保证该发现的不漏掉。</w:t>
      </w:r>
    </w:p>
    <w:p>
      <w:pPr>
        <w:keepNext/>
        <w:spacing w:before="260" w:after="100" w:line="288" w:lineRule="auto"/>
      </w:pPr>
      <w:r>
        <w:rPr>
          <w:rFonts w:ascii="PingFang SC" w:hAnsi="PingFang SC" w:eastAsia="PingFang SC" w:cs="PingFang SC"/>
          <w:b/>
          <w:bCs/>
          <w:color w:val="157048"/>
          <w:sz w:val="26"/>
          <w:szCs w:val="26"/>
        </w:rPr>
        <w:t xml:space="preserve">4.2 模型说完还要再过一道审查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模型写的话不直接给用户看，先过一层代码检查：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一是越界的说法直接拦掉，比如「建议买入」「一定会涨」「保本」「可以放心」「这是诈骗」这六类。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二是出现具体标的就脱敏，比如六位股票代码、基金代码、产品全称。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三是编造的数字整段作废。把模型输出里的数字和原文比一遍，只要出现原文里没有的数值，这段就不要了，退回模板。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四是免责声明强制加上，关不掉。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第三条也是实测逼出来的。接进真实模型后，有个模型在总结里自己写了一句「银行大额存单才 2% 左右」。这个数字原文里没有，我们的判定里也没有。它可能是对的，但我们没法核实，一旦被追问就是硬伤。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还有一点：风险最低的那一档，也就是「没发现问题」，我们干脆不让模型开口，只用逐字审过的模板。因为实测发现模型在这一档最爱下结论，写出过「它没有违反金融监管规定」这种我们无权说的话。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这几条合起来，是对「你怎么保证 AI 不胡说」最实在的回答：我们不指望模型变听话，而是让它说错了也不影响结论。</w:t>
      </w:r>
    </w:p>
    <w:p>
      <w:pPr>
        <w:keepNext/>
        <w:spacing w:before="260" w:after="100" w:line="288" w:lineRule="auto"/>
      </w:pPr>
      <w:r>
        <w:rPr>
          <w:rFonts w:ascii="PingFang SC" w:hAnsi="PingFang SC" w:eastAsia="PingFang SC" w:cs="PingFang SC"/>
          <w:b/>
          <w:bCs/>
          <w:color w:val="157048"/>
          <w:sz w:val="26"/>
          <w:szCs w:val="26"/>
        </w:rPr>
        <w:t xml:space="preserve">4.3 模型是测出来的，不是挑出来的</w:t>
      </w:r>
    </w:p>
    <w:tbl>
      <w:tblPr>
        <w:tblW w:w="0" w:type="auto"/>
        <w:tblLayout w:type="fixed"/>
        <w:tblBorders>
          <w:top w:val="single" w:sz="4" w:space="0" w:color="E3ECE7"/>
          <w:left w:val="single" w:sz="4" w:space="0" w:color="E3ECE7"/>
          <w:bottom w:val="single" w:sz="4" w:space="0" w:color="E3ECE7"/>
          <w:right w:val="single" w:sz="4" w:space="0" w:color="E3ECE7"/>
          <w:insideH w:val="single" w:sz="4" w:space="0" w:color="E3ECE7"/>
          <w:insideV w:val="single" w:sz="4" w:space="0" w:color="E3ECE7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fill="F6FBF8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b/>
                <w:bCs/>
                <w:color w:val="0F5537"/>
                <w:sz w:val="19"/>
                <w:szCs w:val="19"/>
              </w:rPr>
              <w:t xml:space="preserve">模型</w:t>
            </w:r>
          </w:p>
        </w:tc>
        <w:tc>
          <w:tcPr>
            <w:tcW w:w="3120" w:type="dxa"/>
            <w:shd w:val="clear" w:fill="F6FBF8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b/>
                <w:bCs/>
                <w:color w:val="0F5537"/>
                <w:sz w:val="19"/>
                <w:szCs w:val="19"/>
              </w:rPr>
              <w:t xml:space="preserve">耗时</w:t>
            </w:r>
          </w:p>
        </w:tc>
        <w:tc>
          <w:tcPr>
            <w:tcW w:w="3120" w:type="dxa"/>
            <w:shd w:val="clear" w:fill="F6FBF8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b/>
                <w:bCs/>
                <w:color w:val="0F5537"/>
                <w:sz w:val="19"/>
                <w:szCs w:val="19"/>
              </w:rPr>
              <w:t xml:space="preserve">结论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qwen-vl-plus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1.7 秒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选它认图。关键信息一个没漏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qwen-vl-max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3.7 秒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质量差不多，慢一倍多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qwen-flash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1.9 秒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选它讲人话。够用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qwen-plus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4.4 秒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不用。它自己补了一个我们没法核实的市场数字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qwen-turbo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1.3 秒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不用。输出太短太浅</w:t>
            </w:r>
          </w:p>
        </w:tc>
      </w:tr>
    </w:tbl>
    <w:p>
      <w:pPr>
        <w:spacing w:before="0" w:after="80"/>
      </w:pP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模型走统一的适配层。没有 API key 的时候会自动降级到本地模拟，产品照样能完整演示。</w:t>
      </w:r>
    </w:p>
    <w:p>
      <w:pPr>
        <w:spacing w:before="200" w:after="200"/>
        <w:pBdr>
          <w:bottom w:val="single" w:sz="6" w:space="1" w:color="E3ECE7"/>
        </w:pBdr>
      </w:pPr>
    </w:p>
    <w:p>
      <w:pPr>
        <w:keepNext/>
        <w:spacing w:before="320" w:after="140" w:line="288" w:lineRule="auto"/>
        <w:pBdr>
          <w:bottom w:val="single" w:sz="12" w:space="4" w:color="157048"/>
        </w:pBdr>
      </w:pPr>
      <w:r>
        <w:rPr>
          <w:rFonts w:ascii="PingFang SC" w:hAnsi="PingFang SC" w:eastAsia="PingFang SC" w:cs="PingFang SC"/>
          <w:b/>
          <w:bCs/>
          <w:color w:val="0F5537"/>
          <w:sz w:val="32"/>
          <w:szCs w:val="32"/>
        </w:rPr>
        <w:t xml:space="preserve">5. 合规是怎么设计的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判断标准很简单：推荐具体标的属于证券投资咨询业务，要牌照；风险提示和投教是监管鼓励的。我们没有牌照，所以划了三条线。</w:t>
      </w:r>
    </w:p>
    <w:tbl>
      <w:tblPr>
        <w:tblW w:w="0" w:type="auto"/>
        <w:tblLayout w:type="fixed"/>
        <w:tblBorders>
          <w:top w:val="single" w:sz="4" w:space="0" w:color="E3ECE7"/>
          <w:left w:val="single" w:sz="4" w:space="0" w:color="E3ECE7"/>
          <w:bottom w:val="single" w:sz="4" w:space="0" w:color="E3ECE7"/>
          <w:right w:val="single" w:sz="4" w:space="0" w:color="E3ECE7"/>
          <w:insideH w:val="single" w:sz="4" w:space="0" w:color="E3ECE7"/>
          <w:insideV w:val="single" w:sz="4" w:space="0" w:color="E3ECE7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F6FBF8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F5537"/>
                <w:sz w:val="19"/>
                <w:szCs w:val="19"/>
              </w:rPr>
              <w:t/>
            </w:r>
          </w:p>
        </w:tc>
        <w:tc>
          <w:tcPr>
            <w:tcW w:w="4680" w:type="dxa"/>
            <w:shd w:val="clear" w:fill="F6FBF8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b/>
                <w:bCs/>
                <w:color w:val="0F5537"/>
                <w:sz w:val="19"/>
                <w:szCs w:val="19"/>
              </w:rPr>
              <w:t xml:space="preserve">我们的做法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绝对不做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推荐具体股票、基金、理财产品，连举例都不行。不预测涨跌，不承诺收益，不代客理财，不宣传预期收益率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谨慎做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大类资产配置只讲思路和比例原则。适当性匹配意见要同时声明，这不构成对产品风险收益的实质判断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放心做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术语和条款翻译、广告风险体检、风险提示和投教、引用监管公开信息并标注来源</w:t>
            </w:r>
          </w:p>
        </w:tc>
      </w:tr>
    </w:tbl>
    <w:p>
      <w:pPr>
        <w:spacing w:before="0" w:after="80"/>
      </w:pPr>
    </w:p>
    <w:p>
      <w:pPr>
        <w:keepNext/>
        <w:spacing w:before="260" w:after="100" w:line="288" w:lineRule="auto"/>
      </w:pPr>
      <w:r>
        <w:rPr>
          <w:rFonts w:ascii="PingFang SC" w:hAnsi="PingFang SC" w:eastAsia="PingFang SC" w:cs="PingFang SC"/>
          <w:b/>
          <w:bCs/>
          <w:color w:val="157048"/>
          <w:sz w:val="26"/>
          <w:szCs w:val="26"/>
        </w:rPr>
        <w:t xml:space="preserve">措辞上的规矩</w:t>
      </w:r>
    </w:p>
    <w:tbl>
      <w:tblPr>
        <w:tblW w:w="0" w:type="auto"/>
        <w:tblLayout w:type="fixed"/>
        <w:tblBorders>
          <w:top w:val="single" w:sz="4" w:space="0" w:color="E3ECE7"/>
          <w:left w:val="single" w:sz="4" w:space="0" w:color="E3ECE7"/>
          <w:bottom w:val="single" w:sz="4" w:space="0" w:color="E3ECE7"/>
          <w:right w:val="single" w:sz="4" w:space="0" w:color="E3ECE7"/>
          <w:insideH w:val="single" w:sz="4" w:space="0" w:color="E3ECE7"/>
          <w:insideV w:val="single" w:sz="4" w:space="0" w:color="E3ECE7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F6FBF8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b/>
                <w:bCs/>
                <w:color w:val="0F5537"/>
                <w:sz w:val="19"/>
                <w:szCs w:val="19"/>
              </w:rPr>
              <w:t xml:space="preserve">不能说</w:t>
            </w:r>
          </w:p>
        </w:tc>
        <w:tc>
          <w:tcPr>
            <w:tcW w:w="4680" w:type="dxa"/>
            <w:shd w:val="clear" w:fill="F6FBF8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b/>
                <w:bCs/>
                <w:color w:val="0F5537"/>
                <w:sz w:val="19"/>
                <w:szCs w:val="19"/>
              </w:rPr>
              <w:t xml:space="preserve">我们说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这是诈骗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这段内容命中了 N 条监管明令禁止的表述特征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这个产品安全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没有识别到违规表述特征。这不构成对这个产品的安全性保证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建议配置 20% 股票基金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权益类参考比例 20%</w:t>
            </w:r>
          </w:p>
        </w:tc>
      </w:tr>
    </w:tbl>
    <w:p>
      <w:pPr>
        <w:spacing w:before="0" w:after="80"/>
      </w:pP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我们反复说的一句话是：我们只能检查它说了什么，检查不了它实际做什么。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所以主体核查那一步只给官方查询入口，让用户自己去证监会、基金业协会、国家企业信用信息公示系统查。我们不代替官方下结论，也不把查询结果存下来说「已认证」。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个股信息查询也是同一个道理。只陈列交易所和公司披露的行情、财务数据，标明来源和时间，不出现「低估」「高估」「值得买」「看好」这类字眼，不预测涨跌，不做同业排名。陈列公开数据不构成证券投资咨询，但一加评价就越界了。</w:t>
      </w:r>
    </w:p>
    <w:p>
      <w:pPr>
        <w:spacing w:before="200" w:after="200"/>
        <w:pBdr>
          <w:bottom w:val="single" w:sz="6" w:space="1" w:color="E3ECE7"/>
        </w:pBdr>
      </w:pPr>
    </w:p>
    <w:p>
      <w:pPr>
        <w:keepNext/>
        <w:spacing w:before="320" w:after="140" w:line="288" w:lineRule="auto"/>
        <w:pBdr>
          <w:bottom w:val="single" w:sz="12" w:space="4" w:color="157048"/>
        </w:pBdr>
      </w:pPr>
      <w:r>
        <w:rPr>
          <w:rFonts w:ascii="PingFang SC" w:hAnsi="PingFang SC" w:eastAsia="PingFang SC" w:cs="PingFang SC"/>
          <w:b/>
          <w:bCs/>
          <w:color w:val="0F5537"/>
          <w:sz w:val="32"/>
          <w:szCs w:val="32"/>
        </w:rPr>
        <w:t xml:space="preserve">6. 我们把「较真」做成了功能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这一节是我们最希望被评委追问的部分。</w:t>
      </w:r>
    </w:p>
    <w:p>
      <w:pPr>
        <w:keepNext/>
        <w:spacing w:before="260" w:after="100" w:line="288" w:lineRule="auto"/>
      </w:pPr>
      <w:r>
        <w:rPr>
          <w:rFonts w:ascii="PingFang SC" w:hAnsi="PingFang SC" w:eastAsia="PingFang SC" w:cs="PingFang SC"/>
          <w:b/>
          <w:bCs/>
          <w:color w:val="157048"/>
          <w:sz w:val="26"/>
          <w:szCs w:val="26"/>
        </w:rPr>
        <w:t xml:space="preserve">14 条法规逐条核对过官方原文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法规库里每一条都打开官方页面逐字核对过，每条都带来源链接，可以当场点开。核对过程记在 </w:t>
      </w:r>
      <w:r>
        <w:rPr>
          <w:rFonts w:ascii="Menlo" w:hAnsi="Menlo" w:eastAsia="Menlo" w:cs="Menlo"/>
          <w:shd w:val="clear" w:fill="F6FBF8"/>
          <w:color w:val="0F5537"/>
          <w:sz w:val="19"/>
          <w:szCs w:val="19"/>
        </w:rPr>
        <w:t xml:space="preserve">docs/legal-check.md</w:t>
      </w: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过程中查出并改正了三处错误。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第一处是条号错了。把《证券法》第一百六十一条的内容，标成了第一百六十条。第一百六十一条讲的是不得代理委托人从事证券投资、不得约定分享收益；第一百六十条讲的是投资咨询业务需要核准。现在拆成了两条，各自对上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第二处是要义写错了。《理财公司理财产品销售管理暂行办法》第二十五条的原文里，没有「业绩最佳」「规模最大」这类说法。这条实际禁止的是误导购买不匹配的产品、虚假或片面宣传、夸大过往业绩、预测投资业绩、宣传预期收益率、与存款混同、承诺本金或收益保障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第三处是把非法条内容当成了法条原文。刑法第二百六十六条的原文里没有「虚构事实、隐瞒真相」这六个字，那是理论和司法解释的说法。法条原文直接用的是「诈骗公私财物」。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还有一处不算错但更隐蔽，值得单独说。我们原先引的刑法第一百七十六条，是刑法修正案（十一）之前的旧文本，已经被修改了。最高人民法院公报网站上挂的《刑法》全文是 1997 年修订版，搜索引擎给的也多是旧版。修正案（十一）删掉了具体罚金数额、加了「数额特别巨大处十年以上」这一档、还加了退赃退赔从宽的条款。现在改成直接引中国人大网的修正案原文。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如果照抄公报里那份 1997 年的文本，被懂法的人指出引的是废止条文，整个法规库的可信度就一起没了。这三处错误恰好说明，不核对是真的会错。</w:t>
      </w:r>
    </w:p>
    <w:p>
      <w:pPr>
        <w:keepNext/>
        <w:spacing w:before="260" w:after="100" w:line="288" w:lineRule="auto"/>
      </w:pPr>
      <w:r>
        <w:rPr>
          <w:rFonts w:ascii="PingFang SC" w:hAnsi="PingFang SC" w:eastAsia="PingFang SC" w:cs="PingFang SC"/>
          <w:b/>
          <w:bCs/>
          <w:color w:val="157048"/>
          <w:sz w:val="26"/>
          <w:szCs w:val="26"/>
        </w:rPr>
        <w:t xml:space="preserve">骗局案例全部来自官方公开页面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骗局图鉴 9 类，一共 10 条真实案例，来源是最高人民法院、最高人民检察院、中国证监会的公开发布页，域名都是 gov.cn，评委可以当场点开。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案例做过独立复核：10 个链接都能打开，32 条引文全部在原页面里逐字找到。涉案企业名、个人姓名、被冒用的第三方品牌一律脱敏。我们展示的是骗局怎么运作，不是曝光名单。</w:t>
      </w:r>
    </w:p>
    <w:p>
      <w:pPr>
        <w:keepNext/>
        <w:spacing w:before="260" w:after="100" w:line="288" w:lineRule="auto"/>
      </w:pPr>
      <w:r>
        <w:rPr>
          <w:rFonts w:ascii="PingFang SC" w:hAnsi="PingFang SC" w:eastAsia="PingFang SC" w:cs="PingFang SC"/>
          <w:b/>
          <w:bCs/>
          <w:color w:val="157048"/>
          <w:sz w:val="26"/>
          <w:szCs w:val="26"/>
        </w:rPr>
        <w:t xml:space="preserve">查不到就留空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法规原文没核对的，只显示要义概述并标注「条文原文待核对」，不自己填原文。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市场基准数据只填能查到出处的。十年期国债收益率填了 1.68%，来自中国债券信息网上财政部的国债收益率曲线，日期是 2026 年 9 月 7 日。另外两项，货币基金七日年化的代表性水平和沪深 300 的市盈率，没能从官方来源取到可抓取的数值，就留空了。留空的时候前端会自动改用定性说法，不会显示空值。为什么填不到，也写在数据文件里。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演示样本一律用自己做的仿真图，机构名是虚构的。不用能认出真实公司的截图。公开说一家真实企业涉嫌违法有名誉风险，也和我们「不做法律定性」的定位冲突。</w:t>
      </w:r>
    </w:p>
    <w:p>
      <w:pPr>
        <w:spacing w:before="200" w:after="200"/>
        <w:pBdr>
          <w:bottom w:val="single" w:sz="6" w:space="1" w:color="E3ECE7"/>
        </w:pBdr>
      </w:pPr>
    </w:p>
    <w:p>
      <w:pPr>
        <w:keepNext/>
        <w:spacing w:before="320" w:after="140" w:line="288" w:lineRule="auto"/>
        <w:pBdr>
          <w:bottom w:val="single" w:sz="12" w:space="4" w:color="157048"/>
        </w:pBdr>
      </w:pPr>
      <w:r>
        <w:rPr>
          <w:rFonts w:ascii="PingFang SC" w:hAnsi="PingFang SC" w:eastAsia="PingFang SC" w:cs="PingFang SC"/>
          <w:b/>
          <w:bCs/>
          <w:color w:val="0F5537"/>
          <w:sz w:val="32"/>
          <w:szCs w:val="32"/>
        </w:rPr>
        <w:t xml:space="preserve">7. 怎么赚钱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我们不是去创造需求，是去替代现在那些效果不好的办法：发传单、贴海报、开讲座。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投资者教育和反非法金融活动宣传，是监管要求机构必须做的事，而且有明确的预算科目。</w:t>
      </w:r>
    </w:p>
    <w:tbl>
      <w:tblPr>
        <w:tblW w:w="0" w:type="auto"/>
        <w:tblLayout w:type="fixed"/>
        <w:tblBorders>
          <w:top w:val="single" w:sz="4" w:space="0" w:color="E3ECE7"/>
          <w:left w:val="single" w:sz="4" w:space="0" w:color="E3ECE7"/>
          <w:bottom w:val="single" w:sz="4" w:space="0" w:color="E3ECE7"/>
          <w:right w:val="single" w:sz="4" w:space="0" w:color="E3ECE7"/>
          <w:insideH w:val="single" w:sz="4" w:space="0" w:color="E3ECE7"/>
          <w:insideV w:val="single" w:sz="4" w:space="0" w:color="E3ECE7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fill="F6FBF8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b/>
                <w:bCs/>
                <w:color w:val="0F5537"/>
                <w:sz w:val="19"/>
                <w:szCs w:val="19"/>
              </w:rPr>
              <w:t xml:space="preserve">客户</w:t>
            </w:r>
          </w:p>
        </w:tc>
        <w:tc>
          <w:tcPr>
            <w:tcW w:w="2340" w:type="dxa"/>
            <w:shd w:val="clear" w:fill="F6FBF8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b/>
                <w:bCs/>
                <w:color w:val="0F5537"/>
                <w:sz w:val="19"/>
                <w:szCs w:val="19"/>
              </w:rPr>
              <w:t xml:space="preserve">为什么会付钱</w:t>
            </w:r>
          </w:p>
        </w:tc>
        <w:tc>
          <w:tcPr>
            <w:tcW w:w="2340" w:type="dxa"/>
            <w:shd w:val="clear" w:fill="F6FBF8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b/>
                <w:bCs/>
                <w:color w:val="0F5537"/>
                <w:sz w:val="19"/>
                <w:szCs w:val="19"/>
              </w:rPr>
              <w:t xml:space="preserve">卖什么</w:t>
            </w:r>
          </w:p>
        </w:tc>
        <w:tc>
          <w:tcPr>
            <w:tcW w:w="2340" w:type="dxa"/>
            <w:shd w:val="clear" w:fill="F6FBF8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b/>
                <w:bCs/>
                <w:color w:val="0F5537"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银行、券商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投资者适当性管理和投教是硬性义务，要留痕、要能考核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白牌工具、投教活动数据报告、适当性匹配辅助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高</w:t>
            </w:r>
          </w:p>
        </w:tc>
      </w:tr>
      <w:tr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社区、街道、老年大学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反诈宣传年年有预算，现有手段效果差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反诈体验终端、活动包、效果报告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高</w:t>
            </w:r>
          </w:p>
        </w:tc>
      </w:tr>
      <w:tr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高校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财商教育和防范校园贷要进课表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课程包、闯关系统、班级数据看板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中</w:t>
            </w:r>
          </w:p>
        </w:tc>
      </w:tr>
      <w:tr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个人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免费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流量入口，同时带回真实样本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0" w:after="80"/>
      </w:pP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为什么不做个人订阅：人们会低估自己被骗的概率，为「防骗」付钱的意愿很低。而机构那边是合规驱动的刚性支出，谁做决定、钱从哪出，都是清楚的。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个人免费还顺手解决了分发问题。老年人不会自己去下载一个防骗 App，但「子女帮父母查」和「社区活动现场当体验终端用」这两条路是通的。</w:t>
      </w:r>
    </w:p>
    <w:p>
      <w:pPr>
        <w:keepNext/>
        <w:spacing w:before="260" w:after="100" w:line="288" w:lineRule="auto"/>
      </w:pPr>
      <w:r>
        <w:rPr>
          <w:rFonts w:ascii="PingFang SC" w:hAnsi="PingFang SC" w:eastAsia="PingFang SC" w:cs="PingFang SC"/>
          <w:b/>
          <w:bCs/>
          <w:color w:val="157048"/>
          <w:sz w:val="26"/>
          <w:szCs w:val="26"/>
        </w:rPr>
        <w:t xml:space="preserve">数据会滚起来</w:t>
      </w:r>
    </w:p>
    <w:p>
      <w:pPr>
        <w:spacing w:before="60" w:after="0" w:line="300" w:lineRule="auto"/>
        <w:ind w:left="180"/>
        <w:shd w:val="clear" w:fill="F6FBF8"/>
        <w:rPr/>
      </w:pPr>
      <w:r>
        <w:rPr>
          <w:rFonts w:ascii="Menlo" w:hAnsi="Menlo" w:eastAsia="Menlo" w:cs="Menlo"/>
          <w:color w:val="3D554B"/>
          <w:sz w:val="18"/>
          <w:szCs w:val="18"/>
        </w:rPr>
        <w:t xml:space="preserve">个人用户传上来可疑广告</w:t>
      </w:r>
    </w:p>
    <w:p>
      <w:pPr>
        <w:spacing w:before="0" w:after="0" w:line="300" w:lineRule="auto"/>
        <w:ind w:left="180"/>
        <w:shd w:val="clear" w:fill="F6FBF8"/>
        <w:rPr/>
      </w:pPr>
      <w:r>
        <w:rPr>
          <w:rFonts w:ascii="Menlo" w:hAnsi="Menlo" w:eastAsia="Menlo" w:cs="Menlo"/>
          <w:color w:val="3D554B"/>
          <w:sz w:val="18"/>
          <w:szCs w:val="18"/>
        </w:rPr>
        <w:t xml:space="preserve">  → 沉淀真实的骗局样本和新话术</w:t>
      </w:r>
    </w:p>
    <w:p>
      <w:pPr>
        <w:spacing w:before="0" w:after="0" w:line="300" w:lineRule="auto"/>
        <w:ind w:left="180"/>
        <w:shd w:val="clear" w:fill="F6FBF8"/>
        <w:rPr/>
      </w:pPr>
      <w:r>
        <w:rPr>
          <w:rFonts w:ascii="Menlo" w:hAnsi="Menlo" w:eastAsia="Menlo" w:cs="Menlo"/>
          <w:color w:val="3D554B"/>
          <w:sz w:val="18"/>
          <w:szCs w:val="18"/>
        </w:rPr>
        <w:t xml:space="preserve">  → 规则库和特征库跟着更新</w:t>
      </w:r>
    </w:p>
    <w:p>
      <w:pPr>
        <w:spacing w:before="0" w:after="0" w:line="300" w:lineRule="auto"/>
        <w:ind w:left="180"/>
        <w:shd w:val="clear" w:fill="F6FBF8"/>
        <w:rPr/>
      </w:pPr>
      <w:r>
        <w:rPr>
          <w:rFonts w:ascii="Menlo" w:hAnsi="Menlo" w:eastAsia="Menlo" w:cs="Menlo"/>
          <w:color w:val="3D554B"/>
          <w:sz w:val="18"/>
          <w:szCs w:val="18"/>
        </w:rPr>
        <w:t xml:space="preserve">  → 识别得更准</w:t>
      </w:r>
    </w:p>
    <w:p>
      <w:pPr>
        <w:spacing w:before="0" w:after="0" w:line="300" w:lineRule="auto"/>
        <w:ind w:left="180"/>
        <w:shd w:val="clear" w:fill="F6FBF8"/>
        <w:rPr/>
      </w:pPr>
      <w:r>
        <w:rPr>
          <w:rFonts w:ascii="Menlo" w:hAnsi="Menlo" w:eastAsia="Menlo" w:cs="Menlo"/>
          <w:color w:val="3D554B"/>
          <w:sz w:val="18"/>
          <w:szCs w:val="18"/>
        </w:rPr>
        <w:t xml:space="preserve">  → 机构那边的产品更有竞争力</w:t>
      </w:r>
    </w:p>
    <w:p>
      <w:pPr>
        <w:spacing w:before="0" w:after="60" w:line="300" w:lineRule="auto"/>
        <w:ind w:left="180"/>
        <w:shd w:val="clear" w:fill="F6FBF8"/>
        <w:rPr/>
      </w:pPr>
      <w:r>
        <w:rPr>
          <w:rFonts w:ascii="Menlo" w:hAnsi="Menlo" w:eastAsia="Menlo" w:cs="Menlo"/>
          <w:color w:val="3D554B"/>
          <w:sz w:val="18"/>
          <w:szCs w:val="18"/>
        </w:rPr>
        <w:t xml:space="preserve">  → 有收入，再投回内容和技术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个人免费不是补贴换增长，是换样本。骗子的话术每周都在变，只有真实的上传量能让规则库跟上。</w:t>
      </w:r>
    </w:p>
    <w:p>
      <w:pPr>
        <w:spacing w:before="200" w:after="200"/>
        <w:pBdr>
          <w:bottom w:val="single" w:sz="6" w:space="1" w:color="E3ECE7"/>
        </w:pBdr>
      </w:pPr>
    </w:p>
    <w:p>
      <w:pPr>
        <w:keepNext/>
        <w:spacing w:before="320" w:after="140" w:line="288" w:lineRule="auto"/>
        <w:pBdr>
          <w:bottom w:val="single" w:sz="12" w:space="4" w:color="157048"/>
        </w:pBdr>
      </w:pPr>
      <w:r>
        <w:rPr>
          <w:rFonts w:ascii="PingFang SC" w:hAnsi="PingFang SC" w:eastAsia="PingFang SC" w:cs="PingFang SC"/>
          <w:b/>
          <w:bCs/>
          <w:color w:val="0F5537"/>
          <w:sz w:val="32"/>
          <w:szCs w:val="32"/>
        </w:rPr>
        <w:t xml:space="preserve">8. 工程和测试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技术栈是 Next.js 16、React 19、Tailwind v4、TypeScript，跑在 Node 22 上。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模型用阿里云百炼的千问，认图用 qwen-vl-plus，讲人话用 qwen-flash，都走统一适配层，换模型不影响判定。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知识库全部是可以版本控制、可以追溯的 JSON：违规话术特征库、法规条文库、术语表、骗局图鉴、投资方向科普、按画像推送的陷阱提醒、市场基准快照。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不引用任何外部资源。没有 CDN、没有外部字体、没有外链图片，插画全是内联 SVG。演示环境要可预测。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移动端优先，手机扫码就能用。有放大字号的开关，文案避免堆术语。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测试一共 704 项断言，全绿。</w:t>
      </w:r>
    </w:p>
    <w:tbl>
      <w:tblPr>
        <w:tblW w:w="0" w:type="auto"/>
        <w:tblLayout w:type="fixed"/>
        <w:tblBorders>
          <w:top w:val="single" w:sz="4" w:space="0" w:color="E3ECE7"/>
          <w:left w:val="single" w:sz="4" w:space="0" w:color="E3ECE7"/>
          <w:bottom w:val="single" w:sz="4" w:space="0" w:color="E3ECE7"/>
          <w:right w:val="single" w:sz="4" w:space="0" w:color="E3ECE7"/>
          <w:insideH w:val="single" w:sz="4" w:space="0" w:color="E3ECE7"/>
          <w:insideV w:val="single" w:sz="4" w:space="0" w:color="E3ECE7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fill="F6FBF8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b/>
                <w:bCs/>
                <w:color w:val="0F5537"/>
                <w:sz w:val="19"/>
                <w:szCs w:val="19"/>
              </w:rPr>
              <w:t xml:space="preserve">测试</w:t>
            </w:r>
          </w:p>
        </w:tc>
        <w:tc>
          <w:tcPr>
            <w:tcW w:w="3120" w:type="dxa"/>
            <w:shd w:val="clear" w:fill="F6FBF8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b/>
                <w:bCs/>
                <w:color w:val="0F5537"/>
                <w:sz w:val="19"/>
                <w:szCs w:val="19"/>
              </w:rPr>
              <w:t xml:space="preserve">断言</w:t>
            </w:r>
          </w:p>
        </w:tc>
        <w:tc>
          <w:tcPr>
            <w:tcW w:w="3120" w:type="dxa"/>
            <w:shd w:val="clear" w:fill="F6FBF8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b/>
                <w:bCs/>
                <w:color w:val="0F5537"/>
                <w:sz w:val="19"/>
                <w:szCs w:val="19"/>
              </w:rPr>
              <w:t xml:space="preserve">覆盖什么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违规话术库回归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35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正例、口语化正例、否定语境反例、科普语境反例，以及正规产品对照样本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语义通道校验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11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喂各种「模型可能给出的坏输出」，看拦不拦得住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输出审查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10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越界表述拦截、编造数字检测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财务计算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10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分期真实年化、应急金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规划推演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27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自适应分支、定级、矛盾发现、配置、目标推演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知识题库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611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题库正确性和判定</w:t>
            </w:r>
          </w:p>
        </w:tc>
      </w:tr>
    </w:tbl>
    <w:p>
      <w:pPr>
        <w:spacing w:before="0" w:after="80"/>
      </w:pP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对我们来说，误判比漏判更要命。现场演示时把一个正规产品判成骗局，比没有 demo 更糟。所以回归测试里专门留了一组正规产品对照样本，每次改关键词库都要确认它们还是绿的。</w:t>
      </w:r>
    </w:p>
    <w:p>
      <w:pPr>
        <w:keepNext/>
        <w:spacing w:before="260" w:after="100" w:line="288" w:lineRule="auto"/>
      </w:pPr>
      <w:r>
        <w:rPr>
          <w:rFonts w:ascii="PingFang SC" w:hAnsi="PingFang SC" w:eastAsia="PingFang SC" w:cs="PingFang SC"/>
          <w:b/>
          <w:bCs/>
          <w:color w:val="157048"/>
          <w:sz w:val="26"/>
          <w:szCs w:val="26"/>
        </w:rPr>
        <w:t xml:space="preserve">关于准确率，我们选择说实话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我们没有一个能拿出来的准确率数字。因为没有权威标注的测试集，「这条广告是不是诈骗」这个标签严格说只有司法机关能下。编一个准确率出来，两个问题就会被问穿。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能给的是可以核查的东西：上面那 704 项断言、四重排除误判的机制（否定语境、科普语境、术语白名单、规则通道优先），以及规则通道命中的每一条都能逐字追到原文和法条。它要么是对的，要么是我们规则写错了，不是模型「感觉」错了。这类错误能定位，也能修。</w:t>
      </w:r>
    </w:p>
    <w:p>
      <w:pPr>
        <w:spacing w:before="200" w:after="200"/>
        <w:pBdr>
          <w:bottom w:val="single" w:sz="6" w:space="1" w:color="E3ECE7"/>
        </w:pBdr>
      </w:pPr>
    </w:p>
    <w:p>
      <w:pPr>
        <w:keepNext/>
        <w:spacing w:before="320" w:after="140" w:line="288" w:lineRule="auto"/>
        <w:pBdr>
          <w:bottom w:val="single" w:sz="12" w:space="4" w:color="157048"/>
        </w:pBdr>
      </w:pPr>
      <w:r>
        <w:rPr>
          <w:rFonts w:ascii="PingFang SC" w:hAnsi="PingFang SC" w:eastAsia="PingFang SC" w:cs="PingFang SC"/>
          <w:b/>
          <w:bCs/>
          <w:color w:val="0F5537"/>
          <w:sz w:val="32"/>
          <w:szCs w:val="32"/>
        </w:rPr>
        <w:t xml:space="preserve">9. 怎么演示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网页，手机扫码就能用，不用装。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现场大概是这样：传一张仿真的理财广告截图，上面写着「国资背景，保本保息，年化 18%，名额有限」。五个步骤依次点亮，三秒出结果，红色，命中 4 条。然后展开其中一条，看原文片段、特征类型、法规原文、大白话解释，再点一下「原文已核对」的标记看来源链接。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另外还准备了一张正规产品的页面，同样是仿真的，用来演示绿色结果长什么样，以及正规的应该怎么写。这一张同样重要，它说明我们不是见谁都报红。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没有 API key 的时候本地模拟能完整走通，断网也能演示。</w:t>
      </w:r>
    </w:p>
    <w:p>
      <w:pPr>
        <w:spacing w:before="200" w:after="200"/>
        <w:pBdr>
          <w:bottom w:val="single" w:sz="6" w:space="1" w:color="E3ECE7"/>
        </w:pBdr>
      </w:pPr>
    </w:p>
    <w:p>
      <w:pPr>
        <w:keepNext/>
        <w:spacing w:before="320" w:after="140" w:line="288" w:lineRule="auto"/>
        <w:pBdr>
          <w:bottom w:val="single" w:sz="12" w:space="4" w:color="157048"/>
        </w:pBdr>
      </w:pPr>
      <w:r>
        <w:rPr>
          <w:rFonts w:ascii="PingFang SC" w:hAnsi="PingFang SC" w:eastAsia="PingFang SC" w:cs="PingFang SC"/>
          <w:b/>
          <w:bCs/>
          <w:color w:val="0F5537"/>
          <w:sz w:val="32"/>
          <w:szCs w:val="32"/>
        </w:rPr>
        <w:t xml:space="preserve">10. 我们不做什么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写清楚，免得听起来像什么都能干。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我们不做法律定性。只说命中了哪些违规表述特征、去哪里核查，不判断是不是诈骗。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绿色不等于安全。我们只能检查它说了什么，检查不了它实际做什么。有牌照的机构一样可能违规销售。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我们不是唯一的防线，也不该是。我们能做的是提高骗子的成本，不是提供绝对保护。不过为了绕开我们，他必须放弃那些最有杀伤力的话术，话术越拐弯，转化率越低，这个交换对我们有利。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不推荐任何具体标的，连举例都不行。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不编。没有出处的数字、法条、案例一律不写，宁可留空并写明为什么。</w:t>
      </w:r>
    </w:p>
    <w:p>
      <w:pPr>
        <w:spacing w:before="200" w:after="200"/>
        <w:pBdr>
          <w:bottom w:val="single" w:sz="6" w:space="1" w:color="E3ECE7"/>
        </w:pBdr>
      </w:pPr>
    </w:p>
    <w:p>
      <w:pPr>
        <w:keepNext/>
        <w:spacing w:before="320" w:after="140" w:line="288" w:lineRule="auto"/>
        <w:pBdr>
          <w:bottom w:val="single" w:sz="12" w:space="4" w:color="157048"/>
        </w:pBdr>
      </w:pPr>
      <w:r>
        <w:rPr>
          <w:rFonts w:ascii="PingFang SC" w:hAnsi="PingFang SC" w:eastAsia="PingFang SC" w:cs="PingFang SC"/>
          <w:b/>
          <w:bCs/>
          <w:color w:val="0F5537"/>
          <w:sz w:val="32"/>
          <w:szCs w:val="32"/>
        </w:rPr>
        <w:t xml:space="preserve">附：数字都是哪来的</w:t>
      </w:r>
    </w:p>
    <w:tbl>
      <w:tblPr>
        <w:tblW w:w="0" w:type="auto"/>
        <w:tblLayout w:type="fixed"/>
        <w:tblBorders>
          <w:top w:val="single" w:sz="4" w:space="0" w:color="E3ECE7"/>
          <w:left w:val="single" w:sz="4" w:space="0" w:color="E3ECE7"/>
          <w:bottom w:val="single" w:sz="4" w:space="0" w:color="E3ECE7"/>
          <w:right w:val="single" w:sz="4" w:space="0" w:color="E3ECE7"/>
          <w:insideH w:val="single" w:sz="4" w:space="0" w:color="E3ECE7"/>
          <w:insideV w:val="single" w:sz="4" w:space="0" w:color="E3ECE7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F6FBF8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b/>
                <w:bCs/>
                <w:color w:val="0F5537"/>
                <w:sz w:val="19"/>
                <w:szCs w:val="19"/>
              </w:rPr>
              <w:t xml:space="preserve">数字</w:t>
            </w:r>
          </w:p>
        </w:tc>
        <w:tc>
          <w:tcPr>
            <w:tcW w:w="4680" w:type="dxa"/>
            <w:shd w:val="clear" w:fill="F6FBF8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b/>
                <w:bCs/>
                <w:color w:val="0F5537"/>
                <w:sz w:val="19"/>
                <w:szCs w:val="19"/>
              </w:rPr>
              <w:t xml:space="preserve">出处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68,907 人；网络犯罪 18.2 万人；金融犯罪 2.5 万人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最高人民检察院《刑事检察工作白皮书（2025）》，2026 年 3 月 10 日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7.8 万人，增加 53.9%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最高人民检察院工作报告，2025 年 3 月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非法集资 6.02 万件 10.87 万人；重刑率 78.78%；养老诈骗约六成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最高人民法院，2022 年 9 月 22 日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7%、38%、36.7 天、46 岁以上占六成、「多数有专业投资理财经历」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北京市公安局发布会，2025 年 10 月 28 日。</w:t>
            </w:r>
            <w:r>
              <w:rPr>
                <w:rFonts w:ascii="PingFang SC" w:hAnsi="PingFang SC" w:eastAsia="PingFang SC" w:cs="PingFang SC"/>
                <w:b/>
                <w:bCs/>
                <w:color w:val="06301F"/>
                <w:sz w:val="19"/>
                <w:szCs w:val="19"/>
              </w:rPr>
              <w:t xml:space="preserve">是北京市数据，不是全国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十年期国债 1.68%，2026 年 9 月 7 日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中国债券信息网，财政部国债收益率曲线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14 条法规原文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中国政府网、国务院公报、中国人大网、最高检、商务部全球法规网等官方页面，逐条附链接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9 类骗局 10 条案例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最高人民法院、最高人民检察院、中国证监会公开发布页，逐条附链接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15 类特征、365 个关键词、704 项断言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项目代码和数据文件实测</w:t>
            </w:r>
          </w:p>
        </w:tc>
      </w:tr>
    </w:tbl>
    <w:p>
      <w:pPr>
        <w:spacing w:before="0" w:after="80"/>
      </w:pPr>
    </w:p>
    <w:p>
      <w:pPr>
        <w:spacing w:before="200" w:after="200"/>
        <w:pBdr>
          <w:bottom w:val="single" w:sz="6" w:space="1" w:color="E3ECE7"/>
        </w:pBdr>
      </w:pP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本文档提到的所有功能，都以「不构成投资建议，也不构成对任何机构或产品的法律定性」为前提。投资有风险，入市需谨慎。</w:t>
      </w:r>
    </w:p>
    <w:sectPr>
      <w:pgSz w:w="11906" w:h="16838"/>
      <w:pgMar w:top="1080" w:right="1000" w:bottom="1080" w:left="1000" w:header="708" w:footer="708" w:gutter="0"/>
    </w:sectPr>
  </w:body>
</w:document>
</file>