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jc w:val="left"/>
      </w:pPr>
      <w:r>
        <w:rPr>
          <w:rFonts w:ascii="宋体" w:hAnsi="宋体" w:eastAsia="宋体"/>
          <w:b w:val="0"/>
          <w:i w:val="0"/>
          <w:color w:val="1A1A1A"/>
          <w:sz w:val="96"/>
        </w:rPr>
      </w:r>
    </w:p>
    <w:p>
      <w:pPr>
        <w:keepNext w:val="0"/>
        <w:spacing w:before="0" w:after="120" w:line="240" w:lineRule="auto"/>
        <w:jc w:val="center"/>
      </w:pPr>
      <w:r>
        <w:rPr>
          <w:rFonts w:ascii="黑体" w:hAnsi="黑体" w:eastAsia="黑体"/>
          <w:b w:val="0"/>
          <w:i w:val="0"/>
          <w:color w:val="595959"/>
          <w:sz w:val="24"/>
        </w:rPr>
        <w:t>BIGQUANT · 北京大学「金融 AI 智能体创新大赛」</w:t>
      </w:r>
    </w:p>
    <w:p>
      <w:pPr>
        <w:keepNext w:val="0"/>
        <w:spacing w:before="0" w:after="600" w:line="240" w:lineRule="auto"/>
        <w:jc w:val="center"/>
      </w:pPr>
      <w:r>
        <w:rPr>
          <w:rFonts w:ascii="黑体" w:hAnsi="黑体" w:eastAsia="黑体"/>
          <w:b w:val="0"/>
          <w:i w:val="0"/>
          <w:color w:val="595959"/>
          <w:sz w:val="24"/>
        </w:rPr>
        <w:t>方向三 · 金融 AI 智能体行业场景落地</w:t>
      </w:r>
    </w:p>
    <w:p>
      <w:pPr>
        <w:keepNext w:val="0"/>
        <w:spacing w:before="0" w:after="200" w:line="240" w:lineRule="auto"/>
        <w:jc w:val="center"/>
      </w:pPr>
      <w:r>
        <w:rPr>
          <w:rFonts w:ascii="黑体" w:hAnsi="黑体" w:eastAsia="黑体"/>
          <w:b/>
          <w:i w:val="0"/>
          <w:color w:val="000000"/>
          <w:sz w:val="80"/>
        </w:rPr>
        <w:t>财 智 通</w:t>
      </w:r>
    </w:p>
    <w:p>
      <w:pPr>
        <w:keepNext w:val="0"/>
        <w:spacing w:before="0" w:after="520" w:line="240" w:lineRule="auto"/>
        <w:jc w:val="center"/>
      </w:pPr>
      <w:r>
        <w:rPr>
          <w:rFonts w:ascii="黑体" w:hAnsi="黑体" w:eastAsia="黑体"/>
          <w:b w:val="0"/>
          <w:i w:val="0"/>
          <w:color w:val="000000"/>
          <w:sz w:val="30"/>
        </w:rPr>
        <w:t>面向理财小白与易受骗人群的金融安全智能体</w:t>
      </w:r>
    </w:p>
    <w:p>
      <w:pPr>
        <w:keepNext w:val="0"/>
        <w:spacing w:before="0" w:after="160" w:line="240" w:lineRule="auto"/>
        <w:jc w:val="center"/>
      </w:pPr>
      <w:r>
        <w:rPr>
          <w:rFonts w:ascii="楷体" w:hAnsi="楷体" w:eastAsia="楷体"/>
          <w:b/>
          <w:i w:val="0"/>
          <w:color w:val="000000"/>
          <w:sz w:val="36"/>
        </w:rPr>
        <w:t>我们不保证你赚钱，但保证你不被骗。</w:t>
      </w:r>
    </w:p>
    <w:p>
      <w:pPr>
        <w:keepNext w:val="0"/>
        <w:spacing w:before="0" w:after="800" w:line="240" w:lineRule="auto"/>
        <w:jc w:val="center"/>
      </w:pPr>
      <w:r>
        <w:rPr>
          <w:rFonts w:ascii="楷体" w:hAnsi="楷体" w:eastAsia="楷体"/>
          <w:b w:val="0"/>
          <w:i w:val="0"/>
          <w:color w:val="595959"/>
          <w:sz w:val="24"/>
        </w:rPr>
        <w:t>——先别被骗 · 再看得懂 · 才敢规划</w:t>
      </w:r>
    </w:p>
    <w:p>
      <w:pPr>
        <w:keepNext w:val="0"/>
        <w:spacing w:before="0" w:after="0" w:line="240" w:lineRule="auto"/>
        <w:jc w:val="left"/>
      </w:pPr>
      <w:r>
        <w:rPr>
          <w:rFonts w:ascii="宋体" w:hAnsi="宋体" w:eastAsia="宋体"/>
          <w:b w:val="0"/>
          <w:i w:val="0"/>
          <w:color w:val="1A1A1A"/>
          <w:sz w:val="48"/>
        </w:rPr>
      </w:r>
    </w:p>
    <w:tbl>
      <w:tblPr>
        <w:tblStyle w:val="TableGrid"/>
        <w:tblW w:type="auto" w:w="0"/>
        <w:jc w:val="center"/>
        <w:tblLayout w:type="fixed"/>
        <w:tblLook w:firstColumn="1" w:firstRow="1" w:lastColumn="0" w:lastRow="0" w:noHBand="0" w:noVBand="1" w:val="04A0"/>
      </w:tblPr>
      <w:tblGrid>
        <w:gridCol w:w="4252"/>
        <w:gridCol w:w="4252"/>
      </w:tblGrid>
      <w:tr>
        <w:tc>
          <w:tcPr>
            <w:tcW w:type="dxa" w:w="1701"/>
            <w:shd w:fill="F2F2F2"/>
          </w:tcPr>
          <w:p>
            <w:pPr>
              <w:spacing w:after="20" w:before="20" w:line="276" w:lineRule="auto"/>
              <w:jc w:val="center"/>
            </w:pPr>
            <w:r/>
            <w:r>
              <w:rPr>
                <w:rFonts w:ascii="黑体" w:hAnsi="黑体" w:eastAsia="黑体"/>
                <w:b/>
                <w:i w:val="0"/>
                <w:color w:val="000000"/>
                <w:sz w:val="20"/>
              </w:rPr>
              <w:t>项 目</w:t>
            </w:r>
          </w:p>
        </w:tc>
        <w:tc>
          <w:tcPr>
            <w:tcW w:type="dxa" w:w="6803"/>
            <w:shd w:fill="F2F2F2"/>
          </w:tcPr>
          <w:p>
            <w:pPr>
              <w:spacing w:after="20" w:before="20" w:line="276" w:lineRule="auto"/>
              <w:jc w:val="center"/>
            </w:pPr>
            <w:r/>
            <w:r>
              <w:rPr>
                <w:rFonts w:ascii="黑体" w:hAnsi="黑体" w:eastAsia="黑体"/>
                <w:b/>
                <w:i w:val="0"/>
                <w:color w:val="000000"/>
                <w:sz w:val="20"/>
              </w:rPr>
              <w:t>内 容</w:t>
            </w:r>
          </w:p>
        </w:tc>
      </w:tr>
      <w:tr>
        <w:tc>
          <w:tcPr>
            <w:tcW w:type="dxa" w:w="1701"/>
          </w:tcPr>
          <w:p>
            <w:pPr>
              <w:spacing w:after="20" w:before="20" w:line="276" w:lineRule="auto"/>
            </w:pPr>
            <w:r/>
            <w:r>
              <w:rPr>
                <w:rFonts w:ascii="宋体" w:hAnsi="宋体" w:eastAsia="宋体"/>
                <w:b w:val="0"/>
                <w:i w:val="0"/>
                <w:color w:val="1A1A1A"/>
                <w:sz w:val="21"/>
              </w:rPr>
              <w:t>项目名称</w:t>
            </w:r>
          </w:p>
        </w:tc>
        <w:tc>
          <w:tcPr>
            <w:tcW w:type="dxa" w:w="6803"/>
          </w:tcPr>
          <w:p>
            <w:pPr>
              <w:spacing w:after="20" w:before="20" w:line="276" w:lineRule="auto"/>
            </w:pPr>
            <w:r/>
            <w:r>
              <w:rPr>
                <w:rFonts w:ascii="宋体" w:hAnsi="宋体" w:eastAsia="宋体"/>
                <w:b w:val="0"/>
                <w:i w:val="0"/>
                <w:color w:val="1A1A1A"/>
                <w:sz w:val="21"/>
              </w:rPr>
              <w:t>财智通（CaiZhiTong）· 金融安全智能体</w:t>
            </w:r>
          </w:p>
        </w:tc>
      </w:tr>
      <w:tr>
        <w:tc>
          <w:tcPr>
            <w:tcW w:type="dxa" w:w="1701"/>
          </w:tcPr>
          <w:p>
            <w:pPr>
              <w:spacing w:after="20" w:before="20" w:line="276" w:lineRule="auto"/>
            </w:pPr>
            <w:r/>
            <w:r>
              <w:rPr>
                <w:rFonts w:ascii="宋体" w:hAnsi="宋体" w:eastAsia="宋体"/>
                <w:b w:val="0"/>
                <w:i w:val="0"/>
                <w:color w:val="1A1A1A"/>
                <w:sz w:val="21"/>
              </w:rPr>
              <w:t>参赛方向</w:t>
            </w:r>
          </w:p>
        </w:tc>
        <w:tc>
          <w:tcPr>
            <w:tcW w:type="dxa" w:w="6803"/>
          </w:tcPr>
          <w:p>
            <w:pPr>
              <w:spacing w:after="20" w:before="20" w:line="276" w:lineRule="auto"/>
            </w:pPr>
            <w:r/>
            <w:r>
              <w:rPr>
                <w:rFonts w:ascii="宋体" w:hAnsi="宋体" w:eastAsia="宋体"/>
                <w:b w:val="0"/>
                <w:i w:val="0"/>
                <w:color w:val="1A1A1A"/>
                <w:sz w:val="21"/>
              </w:rPr>
              <w:t>方向三 · 金融 AI 智能体行业场景落地</w:t>
            </w:r>
          </w:p>
        </w:tc>
      </w:tr>
      <w:tr>
        <w:tc>
          <w:tcPr>
            <w:tcW w:type="dxa" w:w="1701"/>
          </w:tcPr>
          <w:p>
            <w:pPr>
              <w:spacing w:after="20" w:before="20" w:line="276" w:lineRule="auto"/>
            </w:pPr>
            <w:r/>
            <w:r>
              <w:rPr>
                <w:rFonts w:ascii="宋体" w:hAnsi="宋体" w:eastAsia="宋体"/>
                <w:b w:val="0"/>
                <w:i w:val="0"/>
                <w:color w:val="1A1A1A"/>
                <w:sz w:val="21"/>
              </w:rPr>
              <w:t>产品形态</w:t>
            </w:r>
          </w:p>
        </w:tc>
        <w:tc>
          <w:tcPr>
            <w:tcW w:type="dxa" w:w="6803"/>
          </w:tcPr>
          <w:p>
            <w:pPr>
              <w:spacing w:after="20" w:before="20" w:line="276" w:lineRule="auto"/>
            </w:pPr>
            <w:r/>
            <w:r>
              <w:rPr>
                <w:rFonts w:ascii="宋体" w:hAnsi="宋体" w:eastAsia="宋体"/>
                <w:b w:val="0"/>
                <w:i w:val="0"/>
                <w:color w:val="1A1A1A"/>
                <w:sz w:val="21"/>
              </w:rPr>
              <w:t>移动端优先的响应式 Web 应用，扫码即用，无需安装</w:t>
            </w:r>
          </w:p>
        </w:tc>
      </w:tr>
      <w:tr>
        <w:tc>
          <w:tcPr>
            <w:tcW w:type="dxa" w:w="1701"/>
          </w:tcPr>
          <w:p>
            <w:pPr>
              <w:spacing w:after="20" w:before="20" w:line="276" w:lineRule="auto"/>
            </w:pPr>
            <w:r/>
            <w:r>
              <w:rPr>
                <w:rFonts w:ascii="宋体" w:hAnsi="宋体" w:eastAsia="宋体"/>
                <w:b w:val="0"/>
                <w:i w:val="0"/>
                <w:color w:val="1A1A1A"/>
                <w:sz w:val="21"/>
              </w:rPr>
              <w:t>核心能力</w:t>
            </w:r>
          </w:p>
        </w:tc>
        <w:tc>
          <w:tcPr>
            <w:tcW w:type="dxa" w:w="6803"/>
          </w:tcPr>
          <w:p>
            <w:pPr>
              <w:spacing w:after="20" w:before="20" w:line="276" w:lineRule="auto"/>
            </w:pPr>
            <w:r/>
            <w:r>
              <w:rPr>
                <w:rFonts w:ascii="宋体" w:hAnsi="宋体" w:eastAsia="宋体"/>
                <w:b w:val="0"/>
                <w:i w:val="0"/>
                <w:color w:val="1A1A1A"/>
                <w:sz w:val="21"/>
              </w:rPr>
              <w:t>广告与话术的合规风险体检 · 术语与条款翻译 · 知识闯关 · 理财规划推演</w:t>
            </w:r>
          </w:p>
        </w:tc>
      </w:tr>
      <w:tr>
        <w:tc>
          <w:tcPr>
            <w:tcW w:type="dxa" w:w="1701"/>
          </w:tcPr>
          <w:p>
            <w:pPr>
              <w:spacing w:after="20" w:before="20" w:line="276" w:lineRule="auto"/>
            </w:pPr>
            <w:r/>
            <w:r>
              <w:rPr>
                <w:rFonts w:ascii="宋体" w:hAnsi="宋体" w:eastAsia="宋体"/>
                <w:b w:val="0"/>
                <w:i w:val="0"/>
                <w:color w:val="1A1A1A"/>
                <w:sz w:val="21"/>
              </w:rPr>
              <w:t>技术底座</w:t>
            </w:r>
          </w:p>
        </w:tc>
        <w:tc>
          <w:tcPr>
            <w:tcW w:type="dxa" w:w="6803"/>
          </w:tcPr>
          <w:p>
            <w:pPr>
              <w:spacing w:after="20" w:before="20" w:line="276" w:lineRule="auto"/>
            </w:pPr>
            <w:r/>
            <w:r>
              <w:rPr>
                <w:rFonts w:ascii="宋体" w:hAnsi="宋体" w:eastAsia="宋体"/>
                <w:b w:val="0"/>
                <w:i w:val="0"/>
                <w:color w:val="1A1A1A"/>
                <w:sz w:val="21"/>
              </w:rPr>
              <w:t>Next.js 16 + React 19 + TypeScript；国产多模态大模型（通义千问）+ 本地确定性规则引擎</w:t>
            </w:r>
          </w:p>
        </w:tc>
      </w:tr>
      <w:tr>
        <w:tc>
          <w:tcPr>
            <w:tcW w:type="dxa" w:w="1701"/>
          </w:tcPr>
          <w:p>
            <w:pPr>
              <w:spacing w:after="20" w:before="20" w:line="276" w:lineRule="auto"/>
            </w:pPr>
            <w:r/>
            <w:r>
              <w:rPr>
                <w:rFonts w:ascii="宋体" w:hAnsi="宋体" w:eastAsia="宋体"/>
                <w:b w:val="0"/>
                <w:i w:val="0"/>
                <w:color w:val="1A1A1A"/>
                <w:sz w:val="21"/>
              </w:rPr>
              <w:t>合规定位</w:t>
            </w:r>
          </w:p>
        </w:tc>
        <w:tc>
          <w:tcPr>
            <w:tcW w:type="dxa" w:w="6803"/>
          </w:tcPr>
          <w:p>
            <w:pPr>
              <w:spacing w:after="20" w:before="20" w:line="276" w:lineRule="auto"/>
            </w:pPr>
            <w:r/>
            <w:r>
              <w:rPr>
                <w:rFonts w:ascii="宋体" w:hAnsi="宋体" w:eastAsia="宋体"/>
                <w:b w:val="0"/>
                <w:i w:val="0"/>
                <w:color w:val="1A1A1A"/>
                <w:sz w:val="21"/>
              </w:rPr>
              <w:t>投资者教育与投资者保护；不持牌亦可合法运营，不推荐任何具体标的</w:t>
            </w:r>
          </w:p>
        </w:tc>
      </w:tr>
      <w:tr>
        <w:tc>
          <w:tcPr>
            <w:tcW w:type="dxa" w:w="1701"/>
          </w:tcPr>
          <w:p>
            <w:pPr>
              <w:spacing w:after="20" w:before="20" w:line="276" w:lineRule="auto"/>
            </w:pPr>
            <w:r/>
            <w:r>
              <w:rPr>
                <w:rFonts w:ascii="宋体" w:hAnsi="宋体" w:eastAsia="宋体"/>
                <w:b w:val="0"/>
                <w:i w:val="0"/>
                <w:color w:val="1A1A1A"/>
                <w:sz w:val="21"/>
              </w:rPr>
              <w:t>团队单位</w:t>
            </w:r>
          </w:p>
        </w:tc>
        <w:tc>
          <w:tcPr>
            <w:tcW w:type="dxa" w:w="6803"/>
          </w:tcPr>
          <w:p>
            <w:pPr>
              <w:spacing w:after="20" w:before="20" w:line="276" w:lineRule="auto"/>
            </w:pPr>
            <w:r/>
            <w:r>
              <w:rPr>
                <w:rFonts w:ascii="宋体" w:hAnsi="宋体" w:eastAsia="宋体"/>
                <w:b w:val="0"/>
                <w:i w:val="0"/>
                <w:color w:val="1A1A1A"/>
                <w:sz w:val="21"/>
              </w:rPr>
              <w:t>北京大学经济学院（团队成员信息见附录三）</w:t>
            </w:r>
          </w:p>
        </w:tc>
      </w:tr>
      <w:tr>
        <w:tc>
          <w:tcPr>
            <w:tcW w:type="dxa" w:w="1701"/>
          </w:tcPr>
          <w:p>
            <w:pPr>
              <w:spacing w:after="20" w:before="20" w:line="276" w:lineRule="auto"/>
            </w:pPr>
            <w:r/>
            <w:r>
              <w:rPr>
                <w:rFonts w:ascii="宋体" w:hAnsi="宋体" w:eastAsia="宋体"/>
                <w:b w:val="0"/>
                <w:i w:val="0"/>
                <w:color w:val="1A1A1A"/>
                <w:sz w:val="21"/>
              </w:rPr>
              <w:t>文档日期</w:t>
            </w:r>
          </w:p>
        </w:tc>
        <w:tc>
          <w:tcPr>
            <w:tcW w:type="dxa" w:w="6803"/>
          </w:tcPr>
          <w:p>
            <w:pPr>
              <w:spacing w:after="20" w:before="20" w:line="276" w:lineRule="auto"/>
            </w:pPr>
            <w:r/>
            <w:r>
              <w:rPr>
                <w:rFonts w:ascii="宋体" w:hAnsi="宋体" w:eastAsia="宋体"/>
                <w:b w:val="0"/>
                <w:i w:val="0"/>
                <w:color w:val="1A1A1A"/>
                <w:sz w:val="21"/>
              </w:rPr>
              <w:t>2026 年 9 月 9 日</w:t>
            </w:r>
          </w:p>
        </w:tc>
      </w:tr>
    </w:tbl>
    <w:p>
      <w:pPr>
        <w:keepNext w:val="0"/>
        <w:spacing w:before="0" w:after="160" w:line="240" w:lineRule="auto"/>
        <w:jc w:val="left"/>
      </w:pPr>
      <w:r>
        <w:rPr>
          <w:rFonts w:ascii="宋体" w:hAnsi="宋体" w:eastAsia="宋体"/>
          <w:b w:val="0"/>
          <w:i w:val="0"/>
          <w:color w:val="1A1A1A"/>
          <w:sz w:val="12"/>
        </w:rPr>
      </w:r>
    </w:p>
    <w:p>
      <w:r>
        <w:br w:type="page"/>
      </w:r>
    </w:p>
    <w:p>
      <w:pPr>
        <w:keepNext/>
        <w:spacing w:before="400" w:after="200" w:line="324" w:lineRule="auto"/>
        <w:jc w:val="left"/>
      </w:pPr>
      <w:r>
        <w:rPr>
          <w:rFonts w:ascii="黑体" w:hAnsi="黑体" w:eastAsia="黑体"/>
          <w:b/>
          <w:i w:val="0"/>
          <w:color w:val="000000"/>
          <w:sz w:val="32"/>
        </w:rPr>
        <w:t>二、项目摘要</w:t>
      </w:r>
    </w:p>
    <w:p>
      <w:pPr>
        <w:keepNext w:val="0"/>
        <w:spacing w:before="0" w:after="60" w:line="360" w:lineRule="auto"/>
        <w:ind w:firstLine="480"/>
        <w:jc w:val="both"/>
      </w:pPr>
      <w:r>
        <w:rPr>
          <w:rFonts w:ascii="宋体" w:hAnsi="宋体" w:eastAsia="宋体"/>
          <w:b/>
          <w:i w:val="0"/>
          <w:color w:val="1A1A1A"/>
          <w:sz w:val="24"/>
        </w:rPr>
        <w:t>一句话概括：别的团队在教 AI「怎么帮你赚钱」，我们在教 AI「怎么让你少被骗」——而后者恰恰是监管鼓励、法律允许、且从未被认真解决的那一半。</w:t>
      </w:r>
    </w:p>
    <w:p>
      <w:pPr>
        <w:keepNext w:val="0"/>
        <w:spacing w:before="0" w:after="60" w:line="360" w:lineRule="auto"/>
        <w:ind w:firstLine="480"/>
        <w:jc w:val="both"/>
      </w:pPr>
      <w:r>
        <w:rPr>
          <w:rFonts w:ascii="宋体" w:hAnsi="宋体" w:eastAsia="宋体"/>
          <w:b w:val="0"/>
          <w:i w:val="0"/>
          <w:color w:val="1A1A1A"/>
          <w:sz w:val="24"/>
        </w:rPr>
        <w:t>财智通是一个面向理财小白与易受骗人群的金融安全智能体。用户把一张广告截图、一段微信群里转来的话、或一份看不懂的产品说明书丢进来，系统在数秒内完成六个阶段的自动化处置：从图片中提取原文、逐条比对监管明令禁止的表述特征、用模型补足口语与变体的召回、核查宣传主体的资质疑点、为每一条命中调取对应的法规条文原文、最后把这些客观判定转述成一位六十岁长辈也能读懂的大白话，并给出「现在该做什么」的行动清单。</w:t>
      </w:r>
    </w:p>
    <w:p>
      <w:pPr>
        <w:keepNext w:val="0"/>
        <w:spacing w:before="0" w:after="60" w:line="360" w:lineRule="auto"/>
        <w:ind w:firstLine="480"/>
        <w:jc w:val="both"/>
      </w:pPr>
      <w:r>
        <w:rPr>
          <w:rFonts w:ascii="宋体" w:hAnsi="宋体" w:eastAsia="宋体"/>
          <w:b/>
          <w:i w:val="0"/>
          <w:color w:val="1A1A1A"/>
          <w:sz w:val="24"/>
        </w:rPr>
        <w:t>立项依据来自一句官方表述。</w:t>
      </w:r>
      <w:r>
        <w:rPr>
          <w:rFonts w:ascii="宋体" w:hAnsi="宋体" w:eastAsia="宋体"/>
          <w:b w:val="0"/>
          <w:i w:val="0"/>
          <w:color w:val="1A1A1A"/>
          <w:sz w:val="24"/>
        </w:rPr>
        <w:t xml:space="preserve"> 北京市公安局 2025 年 10 月 28 日新闻发布会披露：虚假网络投资理财类诈骗的发案数只占全市电信网络诈骗案件的 7%，却占了被骗总金额的 38%；受害者中 46 岁以上的占六成，60 岁以上的占二成；而且「多数有专业投资理财经历」。最后这七个字直接推翻了「理财小白才被骗」的直觉——被骗的不是不懂理财的人。这意味着「把人教聪明」这条路救不了他们，他们缺的不是知识，而是</w:t>
      </w:r>
      <w:r>
        <w:rPr>
          <w:rFonts w:ascii="宋体" w:hAnsi="宋体" w:eastAsia="宋体"/>
          <w:b/>
          <w:i w:val="0"/>
          <w:color w:val="1A1A1A"/>
          <w:sz w:val="24"/>
        </w:rPr>
        <w:t>在当下、就地、逐句、可核验、指向具体法条的判断依据</w:t>
      </w:r>
      <w:r>
        <w:rPr>
          <w:rFonts w:ascii="宋体" w:hAnsi="宋体" w:eastAsia="宋体"/>
          <w:b w:val="0"/>
          <w:i w:val="0"/>
          <w:color w:val="1A1A1A"/>
          <w:sz w:val="24"/>
        </w:rPr>
        <w:t>。同一份数据还给出一个更关键的数字：从诈骗分子首次接触受害者到受害者报警，平均 36.7 天。骗局不是一瞬间完成的，存在一个月的窗口期——来得及拦。</w:t>
      </w:r>
    </w:p>
    <w:p>
      <w:pPr>
        <w:keepNext w:val="0"/>
        <w:spacing w:before="0" w:after="60" w:line="360" w:lineRule="auto"/>
        <w:ind w:firstLine="480"/>
        <w:jc w:val="both"/>
      </w:pPr>
      <w:r>
        <w:rPr>
          <w:rFonts w:ascii="宋体" w:hAnsi="宋体" w:eastAsia="宋体"/>
          <w:b/>
          <w:i w:val="0"/>
          <w:color w:val="1A1A1A"/>
          <w:sz w:val="24"/>
        </w:rPr>
        <w:t>产品设计上，我们选择了一条与同赛道多数团队相反的路。</w:t>
      </w:r>
      <w:r>
        <w:rPr>
          <w:rFonts w:ascii="宋体" w:hAnsi="宋体" w:eastAsia="宋体"/>
          <w:b w:val="0"/>
          <w:i w:val="0"/>
          <w:color w:val="1A1A1A"/>
          <w:sz w:val="24"/>
        </w:rPr>
        <w:t xml:space="preserve"> 在现行监管下，未持牌推荐具体股票、基金、理财产品属于非法证券活动，因此所有走「帮你赚钱」路线的 AI 金融产品，天花板都被合规按住了。我们不做投顾，做投资者保护：投资者教育与反非法金融活动宣传，是《证券法》《反电信网络诈骗法》和各级监管部门明确要求履行的义务。同样一件事，别人做需要牌照，我们做是监管鼓励。</w:t>
      </w:r>
      <w:r>
        <w:rPr>
          <w:rFonts w:ascii="宋体" w:hAnsi="宋体" w:eastAsia="宋体"/>
          <w:b/>
          <w:i w:val="0"/>
          <w:color w:val="1A1A1A"/>
          <w:sz w:val="24"/>
        </w:rPr>
        <w:t>在这条路上，合规不是成本，而是护城河。</w:t>
      </w:r>
    </w:p>
    <w:p>
      <w:pPr>
        <w:keepNext w:val="0"/>
        <w:spacing w:before="0" w:after="60" w:line="360" w:lineRule="auto"/>
        <w:ind w:firstLine="480"/>
        <w:jc w:val="both"/>
      </w:pPr>
      <w:r>
        <w:rPr>
          <w:rFonts w:ascii="宋体" w:hAnsi="宋体" w:eastAsia="宋体"/>
          <w:b/>
          <w:i w:val="0"/>
          <w:color w:val="1A1A1A"/>
          <w:sz w:val="24"/>
        </w:rPr>
        <w:t>技术架构上，我们的核心原则是「判定归规则，转述归模型」。</w:t>
      </w:r>
      <w:r>
        <w:rPr>
          <w:rFonts w:ascii="宋体" w:hAnsi="宋体" w:eastAsia="宋体"/>
          <w:b w:val="0"/>
          <w:i w:val="0"/>
          <w:color w:val="1A1A1A"/>
          <w:sz w:val="24"/>
        </w:rPr>
        <w:t xml:space="preserve"> 风险等级、命中项、法规依据全部由确定性规则产生：15 类违规话术特征、365 个关键词、14 条逐字核对过原文的法规条文；模型只承担「从图片里提取原文」和「把结论讲成人话」这两件它可靠的事。由此得到三个可验证的性质：换模型不改变判定结果，因此可按机构合规要求私有化部署；每条结论都能溯源到法规原文；模型说错了也不影响结论——因为输出前必须经过确定性代码的审查层，六类越界表述硬拦截，并检测模型编造的数字，一旦出现原文没有的数值就整段丢弃、回退模板。截至本文档定稿，项目自动化测试共 843 项断言全部通过。</w:t>
      </w:r>
    </w:p>
    <w:p>
      <w:pPr>
        <w:keepNext w:val="0"/>
        <w:spacing w:before="0" w:after="60" w:line="360" w:lineRule="auto"/>
        <w:ind w:firstLine="480"/>
        <w:jc w:val="both"/>
      </w:pPr>
      <w:r>
        <w:rPr>
          <w:rFonts w:ascii="宋体" w:hAnsi="宋体" w:eastAsia="宋体"/>
          <w:b/>
          <w:i w:val="0"/>
          <w:color w:val="1A1A1A"/>
          <w:sz w:val="24"/>
        </w:rPr>
        <w:t>商业上，我们把付费方放在有合规义务、有预算科目的一侧。</w:t>
      </w:r>
      <w:r>
        <w:rPr>
          <w:rFonts w:ascii="宋体" w:hAnsi="宋体" w:eastAsia="宋体"/>
          <w:b w:val="0"/>
          <w:i w:val="0"/>
          <w:color w:val="1A1A1A"/>
          <w:sz w:val="24"/>
        </w:rPr>
        <w:t xml:space="preserve"> C 端永久免费，负责沉淀真实骗局样本、把识别能力做厚；收入来自银行与券商（投资者适当性管理与投资者教育是监管硬性义务，需要留痕、需要可考核）、社区街道与老年大学（反诈宣传年年有预算，现有手段停留在发传单贴海报）、以及高校（财商教育与防范校园贷进课表）。C 端上传的可疑广告沉淀为脱敏后的话术特征，反哺规则库——用得越多，识别越准，这是竞争者难以短期复制的数据飞轮。</w:t>
      </w:r>
    </w:p>
    <w:p>
      <w:pPr>
        <w:keepNext w:val="0"/>
        <w:spacing w:before="0" w:after="120" w:line="312" w:lineRule="auto"/>
        <w:ind w:left="482"/>
        <w:jc w:val="both"/>
      </w:pPr>
      <w:r>
        <w:rPr>
          <w:rFonts w:ascii="宋体" w:hAnsi="宋体" w:eastAsia="宋体"/>
          <w:b w:val="0"/>
          <w:i w:val="0"/>
          <w:color w:val="595959"/>
          <w:sz w:val="19"/>
        </w:rPr>
        <w:t>摘要中所有统计数字均标注了来源与年份，逐条可追溯，详见附录二参考文献。本项目全部产出不构成任何投资建议，不推荐任何具体股票、基金或理财产品，不预测涨跌、不承诺收益，亦不构成对任何机构或产品的法律定性。</w:t>
      </w:r>
    </w:p>
    <w:p>
      <w:r>
        <w:br w:type="page"/>
      </w:r>
    </w:p>
    <w:p>
      <w:pPr>
        <w:keepNext/>
        <w:spacing w:before="400" w:after="200" w:line="324" w:lineRule="auto"/>
        <w:jc w:val="left"/>
      </w:pPr>
      <w:r>
        <w:rPr>
          <w:rFonts w:ascii="黑体" w:hAnsi="黑体" w:eastAsia="黑体"/>
          <w:b/>
          <w:i w:val="0"/>
          <w:color w:val="000000"/>
          <w:sz w:val="32"/>
        </w:rPr>
        <w:t>三、目录</w:t>
      </w:r>
    </w:p>
    <w:p>
      <w:pPr>
        <w:keepNext w:val="0"/>
        <w:spacing w:before="0" w:after="40" w:line="336" w:lineRule="auto"/>
        <w:jc w:val="left"/>
      </w:pPr>
      <w:r>
        <w:rPr>
          <w:rFonts w:ascii="黑体" w:hAnsi="黑体" w:eastAsia="黑体"/>
          <w:b/>
          <w:i w:val="0"/>
          <w:color w:val="000000"/>
          <w:sz w:val="24"/>
        </w:rPr>
        <w:t>一、项目封面</w:t>
      </w:r>
    </w:p>
    <w:p>
      <w:pPr>
        <w:keepNext w:val="0"/>
        <w:spacing w:before="0" w:after="40" w:line="336" w:lineRule="auto"/>
        <w:jc w:val="left"/>
      </w:pPr>
      <w:r>
        <w:rPr>
          <w:rFonts w:ascii="黑体" w:hAnsi="黑体" w:eastAsia="黑体"/>
          <w:b/>
          <w:i w:val="0"/>
          <w:color w:val="000000"/>
          <w:sz w:val="24"/>
        </w:rPr>
        <w:t>二、项目摘要</w:t>
      </w:r>
    </w:p>
    <w:p>
      <w:pPr>
        <w:keepNext w:val="0"/>
        <w:spacing w:before="0" w:after="40" w:line="336" w:lineRule="auto"/>
        <w:jc w:val="left"/>
      </w:pPr>
      <w:r>
        <w:rPr>
          <w:rFonts w:ascii="黑体" w:hAnsi="黑体" w:eastAsia="黑体"/>
          <w:b/>
          <w:i w:val="0"/>
          <w:color w:val="000000"/>
          <w:sz w:val="24"/>
        </w:rPr>
        <w:t>三、目录</w:t>
      </w:r>
    </w:p>
    <w:p>
      <w:pPr>
        <w:keepNext w:val="0"/>
        <w:spacing w:before="0" w:after="40" w:line="336" w:lineRule="auto"/>
        <w:jc w:val="left"/>
      </w:pPr>
      <w:r>
        <w:rPr>
          <w:rFonts w:ascii="黑体" w:hAnsi="黑体" w:eastAsia="黑体"/>
          <w:b/>
          <w:i w:val="0"/>
          <w:color w:val="000000"/>
          <w:sz w:val="24"/>
        </w:rPr>
        <w:t>四、项目背景与行业现状</w:t>
      </w:r>
    </w:p>
    <w:p>
      <w:pPr>
        <w:keepNext w:val="0"/>
        <w:spacing w:before="0" w:after="20" w:line="324" w:lineRule="auto"/>
        <w:ind w:left="567"/>
        <w:jc w:val="left"/>
      </w:pPr>
      <w:r>
        <w:rPr>
          <w:rFonts w:ascii="宋体" w:hAnsi="宋体" w:eastAsia="宋体"/>
          <w:b w:val="0"/>
          <w:i w:val="0"/>
          <w:color w:val="1A1A1A"/>
          <w:sz w:val="22"/>
        </w:rPr>
        <w:t>1. 行业发展背景</w:t>
      </w:r>
    </w:p>
    <w:p>
      <w:pPr>
        <w:keepNext w:val="0"/>
        <w:spacing w:before="0" w:after="20" w:line="324" w:lineRule="auto"/>
        <w:ind w:left="567"/>
        <w:jc w:val="left"/>
      </w:pPr>
      <w:r>
        <w:rPr>
          <w:rFonts w:ascii="宋体" w:hAnsi="宋体" w:eastAsia="宋体"/>
          <w:b w:val="0"/>
          <w:i w:val="0"/>
          <w:color w:val="1A1A1A"/>
          <w:sz w:val="22"/>
        </w:rPr>
        <w:t>2. 现存行业痛点</w:t>
      </w:r>
    </w:p>
    <w:p>
      <w:pPr>
        <w:keepNext w:val="0"/>
        <w:spacing w:before="0" w:after="20" w:line="324" w:lineRule="auto"/>
        <w:ind w:left="567"/>
        <w:jc w:val="left"/>
      </w:pPr>
      <w:r>
        <w:rPr>
          <w:rFonts w:ascii="宋体" w:hAnsi="宋体" w:eastAsia="宋体"/>
          <w:b w:val="0"/>
          <w:i w:val="0"/>
          <w:color w:val="1A1A1A"/>
          <w:sz w:val="22"/>
        </w:rPr>
        <w:t>3. 国内外研究 / 产品现状</w:t>
      </w:r>
    </w:p>
    <w:p>
      <w:pPr>
        <w:keepNext w:val="0"/>
        <w:spacing w:before="0" w:after="20" w:line="324" w:lineRule="auto"/>
        <w:ind w:left="567"/>
        <w:jc w:val="left"/>
      </w:pPr>
      <w:r>
        <w:rPr>
          <w:rFonts w:ascii="宋体" w:hAnsi="宋体" w:eastAsia="宋体"/>
          <w:b w:val="0"/>
          <w:i w:val="0"/>
          <w:color w:val="1A1A1A"/>
          <w:sz w:val="22"/>
        </w:rPr>
        <w:t>4. 项目立项意义</w:t>
      </w:r>
    </w:p>
    <w:p>
      <w:pPr>
        <w:keepNext w:val="0"/>
        <w:spacing w:before="0" w:after="40" w:line="336" w:lineRule="auto"/>
        <w:jc w:val="left"/>
      </w:pPr>
      <w:r>
        <w:rPr>
          <w:rFonts w:ascii="黑体" w:hAnsi="黑体" w:eastAsia="黑体"/>
          <w:b/>
          <w:i w:val="0"/>
          <w:color w:val="000000"/>
          <w:sz w:val="24"/>
        </w:rPr>
        <w:t>五、产品功能与演示说明</w:t>
      </w:r>
    </w:p>
    <w:p>
      <w:pPr>
        <w:keepNext w:val="0"/>
        <w:spacing w:before="0" w:after="20" w:line="324" w:lineRule="auto"/>
        <w:ind w:left="567"/>
        <w:jc w:val="left"/>
      </w:pPr>
      <w:r>
        <w:rPr>
          <w:rFonts w:ascii="宋体" w:hAnsi="宋体" w:eastAsia="宋体"/>
          <w:b w:val="0"/>
          <w:i w:val="0"/>
          <w:color w:val="1A1A1A"/>
          <w:sz w:val="22"/>
        </w:rPr>
        <w:t>1. 核心功能完整介绍</w:t>
      </w:r>
    </w:p>
    <w:p>
      <w:pPr>
        <w:keepNext w:val="0"/>
        <w:spacing w:before="0" w:after="20" w:line="324" w:lineRule="auto"/>
        <w:ind w:left="567"/>
        <w:jc w:val="left"/>
      </w:pPr>
      <w:r>
        <w:rPr>
          <w:rFonts w:ascii="宋体" w:hAnsi="宋体" w:eastAsia="宋体"/>
          <w:b w:val="0"/>
          <w:i w:val="0"/>
          <w:color w:val="1A1A1A"/>
          <w:sz w:val="22"/>
        </w:rPr>
        <w:t>2. 页面流程与交互逻辑</w:t>
      </w:r>
    </w:p>
    <w:p>
      <w:pPr>
        <w:keepNext w:val="0"/>
        <w:spacing w:before="0" w:after="20" w:line="324" w:lineRule="auto"/>
        <w:ind w:left="567"/>
        <w:jc w:val="left"/>
      </w:pPr>
      <w:r>
        <w:rPr>
          <w:rFonts w:ascii="宋体" w:hAnsi="宋体" w:eastAsia="宋体"/>
          <w:b w:val="0"/>
          <w:i w:val="0"/>
          <w:color w:val="1A1A1A"/>
          <w:sz w:val="22"/>
        </w:rPr>
        <w:t>3. 智能体自动化工作流程</w:t>
      </w:r>
    </w:p>
    <w:p>
      <w:pPr>
        <w:keepNext w:val="0"/>
        <w:spacing w:before="0" w:after="20" w:line="324" w:lineRule="auto"/>
        <w:ind w:left="567"/>
        <w:jc w:val="left"/>
      </w:pPr>
      <w:r>
        <w:rPr>
          <w:rFonts w:ascii="宋体" w:hAnsi="宋体" w:eastAsia="宋体"/>
          <w:b w:val="0"/>
          <w:i w:val="0"/>
          <w:color w:val="1A1A1A"/>
          <w:sz w:val="22"/>
        </w:rPr>
        <w:t>4. 项目运行效果说明</w:t>
      </w:r>
    </w:p>
    <w:p>
      <w:pPr>
        <w:keepNext w:val="0"/>
        <w:spacing w:before="0" w:after="40" w:line="336" w:lineRule="auto"/>
        <w:jc w:val="left"/>
      </w:pPr>
      <w:r>
        <w:rPr>
          <w:rFonts w:ascii="黑体" w:hAnsi="黑体" w:eastAsia="黑体"/>
          <w:b/>
          <w:i w:val="0"/>
          <w:color w:val="000000"/>
          <w:sz w:val="24"/>
        </w:rPr>
        <w:t>六、技术方案</w:t>
      </w:r>
    </w:p>
    <w:p>
      <w:pPr>
        <w:keepNext w:val="0"/>
        <w:spacing w:before="0" w:after="20" w:line="324" w:lineRule="auto"/>
        <w:ind w:left="567"/>
        <w:jc w:val="left"/>
      </w:pPr>
      <w:r>
        <w:rPr>
          <w:rFonts w:ascii="宋体" w:hAnsi="宋体" w:eastAsia="宋体"/>
          <w:b w:val="0"/>
          <w:i w:val="0"/>
          <w:color w:val="1A1A1A"/>
          <w:sz w:val="22"/>
        </w:rPr>
        <w:t>1. 整体技术架构</w:t>
      </w:r>
    </w:p>
    <w:p>
      <w:pPr>
        <w:keepNext w:val="0"/>
        <w:spacing w:before="0" w:after="20" w:line="324" w:lineRule="auto"/>
        <w:ind w:left="567"/>
        <w:jc w:val="left"/>
      </w:pPr>
      <w:r>
        <w:rPr>
          <w:rFonts w:ascii="宋体" w:hAnsi="宋体" w:eastAsia="宋体"/>
          <w:b w:val="0"/>
          <w:i w:val="0"/>
          <w:color w:val="1A1A1A"/>
          <w:sz w:val="22"/>
        </w:rPr>
        <w:t>2. 核心技术栈明细</w:t>
      </w:r>
    </w:p>
    <w:p>
      <w:pPr>
        <w:keepNext w:val="0"/>
        <w:spacing w:before="0" w:after="20" w:line="324" w:lineRule="auto"/>
        <w:ind w:left="567"/>
        <w:jc w:val="left"/>
      </w:pPr>
      <w:r>
        <w:rPr>
          <w:rFonts w:ascii="宋体" w:hAnsi="宋体" w:eastAsia="宋体"/>
          <w:b w:val="0"/>
          <w:i w:val="0"/>
          <w:color w:val="1A1A1A"/>
          <w:sz w:val="22"/>
        </w:rPr>
        <w:t>3. AI 智能体核心能力设计</w:t>
      </w:r>
    </w:p>
    <w:p>
      <w:pPr>
        <w:keepNext w:val="0"/>
        <w:spacing w:before="0" w:after="20" w:line="324" w:lineRule="auto"/>
        <w:ind w:left="567"/>
        <w:jc w:val="left"/>
      </w:pPr>
      <w:r>
        <w:rPr>
          <w:rFonts w:ascii="宋体" w:hAnsi="宋体" w:eastAsia="宋体"/>
          <w:b w:val="0"/>
          <w:i w:val="0"/>
          <w:color w:val="1A1A1A"/>
          <w:sz w:val="22"/>
        </w:rPr>
        <w:t>4. 算法与模型方案</w:t>
      </w:r>
    </w:p>
    <w:p>
      <w:pPr>
        <w:keepNext w:val="0"/>
        <w:spacing w:before="0" w:after="20" w:line="324" w:lineRule="auto"/>
        <w:ind w:left="567"/>
        <w:jc w:val="left"/>
      </w:pPr>
      <w:r>
        <w:rPr>
          <w:rFonts w:ascii="宋体" w:hAnsi="宋体" w:eastAsia="宋体"/>
          <w:b w:val="0"/>
          <w:i w:val="0"/>
          <w:color w:val="1A1A1A"/>
          <w:sz w:val="22"/>
        </w:rPr>
        <w:t>5. 系统功能模块拆解</w:t>
      </w:r>
    </w:p>
    <w:p>
      <w:pPr>
        <w:keepNext w:val="0"/>
        <w:spacing w:before="0" w:after="20" w:line="324" w:lineRule="auto"/>
        <w:ind w:left="567"/>
        <w:jc w:val="left"/>
      </w:pPr>
      <w:r>
        <w:rPr>
          <w:rFonts w:ascii="宋体" w:hAnsi="宋体" w:eastAsia="宋体"/>
          <w:b w:val="0"/>
          <w:i w:val="0"/>
          <w:color w:val="1A1A1A"/>
          <w:sz w:val="22"/>
        </w:rPr>
        <w:t>6. 数据库与数据处理方案</w:t>
      </w:r>
    </w:p>
    <w:p>
      <w:pPr>
        <w:keepNext w:val="0"/>
        <w:spacing w:before="0" w:after="20" w:line="324" w:lineRule="auto"/>
        <w:ind w:left="567"/>
        <w:jc w:val="left"/>
      </w:pPr>
      <w:r>
        <w:rPr>
          <w:rFonts w:ascii="宋体" w:hAnsi="宋体" w:eastAsia="宋体"/>
          <w:b w:val="0"/>
          <w:i w:val="0"/>
          <w:color w:val="1A1A1A"/>
          <w:sz w:val="22"/>
        </w:rPr>
        <w:t>7. 前后端实现方案</w:t>
      </w:r>
    </w:p>
    <w:p>
      <w:pPr>
        <w:keepNext w:val="0"/>
        <w:spacing w:before="0" w:after="20" w:line="324" w:lineRule="auto"/>
        <w:ind w:left="567"/>
        <w:jc w:val="left"/>
      </w:pPr>
      <w:r>
        <w:rPr>
          <w:rFonts w:ascii="宋体" w:hAnsi="宋体" w:eastAsia="宋体"/>
          <w:b w:val="0"/>
          <w:i w:val="0"/>
          <w:color w:val="1A1A1A"/>
          <w:sz w:val="22"/>
        </w:rPr>
        <w:t>8. 安全性、稳定性、合规性设计</w:t>
      </w:r>
    </w:p>
    <w:p>
      <w:pPr>
        <w:keepNext w:val="0"/>
        <w:spacing w:before="0" w:after="20" w:line="324" w:lineRule="auto"/>
        <w:ind w:left="567"/>
        <w:jc w:val="left"/>
      </w:pPr>
      <w:r>
        <w:rPr>
          <w:rFonts w:ascii="宋体" w:hAnsi="宋体" w:eastAsia="宋体"/>
          <w:b w:val="0"/>
          <w:i w:val="0"/>
          <w:color w:val="1A1A1A"/>
          <w:sz w:val="22"/>
        </w:rPr>
        <w:t>9. 技术难点与解决方案</w:t>
      </w:r>
    </w:p>
    <w:p>
      <w:pPr>
        <w:keepNext w:val="0"/>
        <w:spacing w:before="0" w:after="40" w:line="336" w:lineRule="auto"/>
        <w:jc w:val="left"/>
      </w:pPr>
      <w:r>
        <w:rPr>
          <w:rFonts w:ascii="黑体" w:hAnsi="黑体" w:eastAsia="黑体"/>
          <w:b/>
          <w:i w:val="0"/>
          <w:color w:val="000000"/>
          <w:sz w:val="24"/>
        </w:rPr>
        <w:t>七、应用场景</w:t>
      </w:r>
    </w:p>
    <w:p>
      <w:pPr>
        <w:keepNext w:val="0"/>
        <w:spacing w:before="0" w:after="20" w:line="324" w:lineRule="auto"/>
        <w:ind w:left="567"/>
        <w:jc w:val="left"/>
      </w:pPr>
      <w:r>
        <w:rPr>
          <w:rFonts w:ascii="宋体" w:hAnsi="宋体" w:eastAsia="宋体"/>
          <w:b w:val="0"/>
          <w:i w:val="0"/>
          <w:color w:val="1A1A1A"/>
          <w:sz w:val="22"/>
        </w:rPr>
        <w:t>1. 零基础理财科普咨询场景</w:t>
      </w:r>
    </w:p>
    <w:p>
      <w:pPr>
        <w:keepNext w:val="0"/>
        <w:spacing w:before="0" w:after="20" w:line="324" w:lineRule="auto"/>
        <w:ind w:left="567"/>
        <w:jc w:val="left"/>
      </w:pPr>
      <w:r>
        <w:rPr>
          <w:rFonts w:ascii="宋体" w:hAnsi="宋体" w:eastAsia="宋体"/>
          <w:b w:val="0"/>
          <w:i w:val="0"/>
          <w:color w:val="1A1A1A"/>
          <w:sz w:val="22"/>
        </w:rPr>
        <w:t>2. 低风险理财决策辅助场景</w:t>
      </w:r>
    </w:p>
    <w:p>
      <w:pPr>
        <w:keepNext w:val="0"/>
        <w:spacing w:before="0" w:after="20" w:line="324" w:lineRule="auto"/>
        <w:ind w:left="567"/>
        <w:jc w:val="left"/>
      </w:pPr>
      <w:r>
        <w:rPr>
          <w:rFonts w:ascii="宋体" w:hAnsi="宋体" w:eastAsia="宋体"/>
          <w:b w:val="0"/>
          <w:i w:val="0"/>
          <w:color w:val="1A1A1A"/>
          <w:sz w:val="22"/>
        </w:rPr>
        <w:t>3. 个人轻量化资产管理场景</w:t>
      </w:r>
    </w:p>
    <w:p>
      <w:pPr>
        <w:keepNext w:val="0"/>
        <w:spacing w:before="0" w:after="40" w:line="336" w:lineRule="auto"/>
        <w:jc w:val="left"/>
      </w:pPr>
      <w:r>
        <w:rPr>
          <w:rFonts w:ascii="黑体" w:hAnsi="黑体" w:eastAsia="黑体"/>
          <w:b/>
          <w:i w:val="0"/>
          <w:color w:val="000000"/>
          <w:sz w:val="24"/>
        </w:rPr>
        <w:t>八、核心创新点</w:t>
      </w:r>
    </w:p>
    <w:p>
      <w:pPr>
        <w:keepNext w:val="0"/>
        <w:spacing w:before="0" w:after="20" w:line="324" w:lineRule="auto"/>
        <w:ind w:left="567"/>
        <w:jc w:val="left"/>
      </w:pPr>
      <w:r>
        <w:rPr>
          <w:rFonts w:ascii="宋体" w:hAnsi="宋体" w:eastAsia="宋体"/>
          <w:b w:val="0"/>
          <w:i w:val="0"/>
          <w:color w:val="1A1A1A"/>
          <w:sz w:val="22"/>
        </w:rPr>
        <w:t>1. 普惠型金融科普</w:t>
      </w:r>
    </w:p>
    <w:p>
      <w:pPr>
        <w:keepNext w:val="0"/>
        <w:spacing w:before="0" w:after="20" w:line="324" w:lineRule="auto"/>
        <w:ind w:left="567"/>
        <w:jc w:val="left"/>
      </w:pPr>
      <w:r>
        <w:rPr>
          <w:rFonts w:ascii="宋体" w:hAnsi="宋体" w:eastAsia="宋体"/>
          <w:b w:val="0"/>
          <w:i w:val="0"/>
          <w:color w:val="1A1A1A"/>
          <w:sz w:val="22"/>
        </w:rPr>
        <w:t>2. 一站式全流程成长</w:t>
      </w:r>
    </w:p>
    <w:p>
      <w:pPr>
        <w:keepNext w:val="0"/>
        <w:spacing w:before="0" w:after="20" w:line="324" w:lineRule="auto"/>
        <w:ind w:left="567"/>
        <w:jc w:val="left"/>
      </w:pPr>
      <w:r>
        <w:rPr>
          <w:rFonts w:ascii="宋体" w:hAnsi="宋体" w:eastAsia="宋体"/>
          <w:b w:val="0"/>
          <w:i w:val="0"/>
          <w:color w:val="1A1A1A"/>
          <w:sz w:val="22"/>
        </w:rPr>
        <w:t>3. 用户档案动态更新</w:t>
      </w:r>
    </w:p>
    <w:p>
      <w:pPr>
        <w:keepNext w:val="0"/>
        <w:spacing w:before="0" w:after="20" w:line="324" w:lineRule="auto"/>
        <w:ind w:left="567"/>
        <w:jc w:val="left"/>
      </w:pPr>
      <w:r>
        <w:rPr>
          <w:rFonts w:ascii="宋体" w:hAnsi="宋体" w:eastAsia="宋体"/>
          <w:b w:val="0"/>
          <w:i w:val="0"/>
          <w:color w:val="1A1A1A"/>
          <w:sz w:val="22"/>
        </w:rPr>
        <w:t>4. 信息集成与不对称破除</w:t>
      </w:r>
    </w:p>
    <w:p>
      <w:pPr>
        <w:keepNext w:val="0"/>
        <w:spacing w:before="0" w:after="20" w:line="324" w:lineRule="auto"/>
        <w:ind w:left="567"/>
        <w:jc w:val="left"/>
      </w:pPr>
      <w:r>
        <w:rPr>
          <w:rFonts w:ascii="宋体" w:hAnsi="宋体" w:eastAsia="宋体"/>
          <w:b w:val="0"/>
          <w:i w:val="0"/>
          <w:color w:val="1A1A1A"/>
          <w:sz w:val="22"/>
        </w:rPr>
        <w:t>5. 适老化设计</w:t>
      </w:r>
    </w:p>
    <w:p>
      <w:pPr>
        <w:keepNext w:val="0"/>
        <w:spacing w:before="0" w:after="40" w:line="336" w:lineRule="auto"/>
        <w:jc w:val="left"/>
      </w:pPr>
      <w:r>
        <w:rPr>
          <w:rFonts w:ascii="黑体" w:hAnsi="黑体" w:eastAsia="黑体"/>
          <w:b/>
          <w:i w:val="0"/>
          <w:color w:val="000000"/>
          <w:sz w:val="24"/>
        </w:rPr>
        <w:t>九、实际价值</w:t>
      </w:r>
    </w:p>
    <w:p>
      <w:pPr>
        <w:keepNext w:val="0"/>
        <w:spacing w:before="0" w:after="20" w:line="324" w:lineRule="auto"/>
        <w:ind w:left="567"/>
        <w:jc w:val="left"/>
      </w:pPr>
      <w:r>
        <w:rPr>
          <w:rFonts w:ascii="宋体" w:hAnsi="宋体" w:eastAsia="宋体"/>
          <w:b w:val="0"/>
          <w:i w:val="0"/>
          <w:color w:val="1A1A1A"/>
          <w:sz w:val="22"/>
        </w:rPr>
        <w:t>1. 用户价值</w:t>
      </w:r>
    </w:p>
    <w:p>
      <w:pPr>
        <w:keepNext w:val="0"/>
        <w:spacing w:before="0" w:after="20" w:line="324" w:lineRule="auto"/>
        <w:ind w:left="567"/>
        <w:jc w:val="left"/>
      </w:pPr>
      <w:r>
        <w:rPr>
          <w:rFonts w:ascii="宋体" w:hAnsi="宋体" w:eastAsia="宋体"/>
          <w:b w:val="0"/>
          <w:i w:val="0"/>
          <w:color w:val="1A1A1A"/>
          <w:sz w:val="22"/>
        </w:rPr>
        <w:t>2. 社会价值</w:t>
      </w:r>
    </w:p>
    <w:p>
      <w:pPr>
        <w:keepNext w:val="0"/>
        <w:spacing w:before="0" w:after="20" w:line="324" w:lineRule="auto"/>
        <w:ind w:left="567"/>
        <w:jc w:val="left"/>
      </w:pPr>
      <w:r>
        <w:rPr>
          <w:rFonts w:ascii="宋体" w:hAnsi="宋体" w:eastAsia="宋体"/>
          <w:b w:val="0"/>
          <w:i w:val="0"/>
          <w:color w:val="1A1A1A"/>
          <w:sz w:val="22"/>
        </w:rPr>
        <w:t>3. 行业价值</w:t>
      </w:r>
    </w:p>
    <w:p>
      <w:pPr>
        <w:keepNext w:val="0"/>
        <w:spacing w:before="0" w:after="20" w:line="324" w:lineRule="auto"/>
        <w:ind w:left="567"/>
        <w:jc w:val="left"/>
      </w:pPr>
      <w:r>
        <w:rPr>
          <w:rFonts w:ascii="宋体" w:hAnsi="宋体" w:eastAsia="宋体"/>
          <w:b w:val="0"/>
          <w:i w:val="0"/>
          <w:color w:val="1A1A1A"/>
          <w:sz w:val="22"/>
        </w:rPr>
        <w:t>4. 技术价值</w:t>
      </w:r>
    </w:p>
    <w:p>
      <w:pPr>
        <w:keepNext w:val="0"/>
        <w:spacing w:before="0" w:after="40" w:line="336" w:lineRule="auto"/>
        <w:jc w:val="left"/>
      </w:pPr>
      <w:r>
        <w:rPr>
          <w:rFonts w:ascii="黑体" w:hAnsi="黑体" w:eastAsia="黑体"/>
          <w:b/>
          <w:i w:val="0"/>
          <w:color w:val="000000"/>
          <w:sz w:val="24"/>
        </w:rPr>
        <w:t>十、商业落地路径</w:t>
      </w:r>
    </w:p>
    <w:p>
      <w:pPr>
        <w:keepNext w:val="0"/>
        <w:spacing w:before="0" w:after="20" w:line="324" w:lineRule="auto"/>
        <w:ind w:left="567"/>
        <w:jc w:val="left"/>
      </w:pPr>
      <w:r>
        <w:rPr>
          <w:rFonts w:ascii="宋体" w:hAnsi="宋体" w:eastAsia="宋体"/>
          <w:b w:val="0"/>
          <w:i w:val="0"/>
          <w:color w:val="1A1A1A"/>
          <w:sz w:val="22"/>
        </w:rPr>
        <w:t>1. 目标用户与市场分析</w:t>
      </w:r>
    </w:p>
    <w:p>
      <w:pPr>
        <w:keepNext w:val="0"/>
        <w:spacing w:before="0" w:after="20" w:line="324" w:lineRule="auto"/>
        <w:ind w:left="567"/>
        <w:jc w:val="left"/>
      </w:pPr>
      <w:r>
        <w:rPr>
          <w:rFonts w:ascii="宋体" w:hAnsi="宋体" w:eastAsia="宋体"/>
          <w:b w:val="0"/>
          <w:i w:val="0"/>
          <w:color w:val="1A1A1A"/>
          <w:sz w:val="22"/>
        </w:rPr>
        <w:t>2. 商业模式设计</w:t>
      </w:r>
    </w:p>
    <w:p>
      <w:pPr>
        <w:keepNext w:val="0"/>
        <w:spacing w:before="0" w:after="20" w:line="324" w:lineRule="auto"/>
        <w:ind w:left="567"/>
        <w:jc w:val="left"/>
      </w:pPr>
      <w:r>
        <w:rPr>
          <w:rFonts w:ascii="宋体" w:hAnsi="宋体" w:eastAsia="宋体"/>
          <w:b w:val="0"/>
          <w:i w:val="0"/>
          <w:color w:val="1A1A1A"/>
          <w:sz w:val="22"/>
        </w:rPr>
        <w:t>3. 落地实施步骤</w:t>
      </w:r>
    </w:p>
    <w:p>
      <w:pPr>
        <w:keepNext w:val="0"/>
        <w:spacing w:before="0" w:after="20" w:line="324" w:lineRule="auto"/>
        <w:ind w:left="567"/>
        <w:jc w:val="left"/>
      </w:pPr>
      <w:r>
        <w:rPr>
          <w:rFonts w:ascii="宋体" w:hAnsi="宋体" w:eastAsia="宋体"/>
          <w:b w:val="0"/>
          <w:i w:val="0"/>
          <w:color w:val="1A1A1A"/>
          <w:sz w:val="22"/>
        </w:rPr>
        <w:t>4. 推广与运营方案</w:t>
      </w:r>
    </w:p>
    <w:p>
      <w:pPr>
        <w:keepNext w:val="0"/>
        <w:spacing w:before="0" w:after="20" w:line="324" w:lineRule="auto"/>
        <w:ind w:left="567"/>
        <w:jc w:val="left"/>
      </w:pPr>
      <w:r>
        <w:rPr>
          <w:rFonts w:ascii="宋体" w:hAnsi="宋体" w:eastAsia="宋体"/>
          <w:b w:val="0"/>
          <w:i w:val="0"/>
          <w:color w:val="1A1A1A"/>
          <w:sz w:val="22"/>
        </w:rPr>
        <w:t>5. 盈利模式</w:t>
      </w:r>
    </w:p>
    <w:p>
      <w:pPr>
        <w:keepNext w:val="0"/>
        <w:spacing w:before="0" w:after="20" w:line="324" w:lineRule="auto"/>
        <w:ind w:left="567"/>
        <w:jc w:val="left"/>
      </w:pPr>
      <w:r>
        <w:rPr>
          <w:rFonts w:ascii="宋体" w:hAnsi="宋体" w:eastAsia="宋体"/>
          <w:b w:val="0"/>
          <w:i w:val="0"/>
          <w:color w:val="1A1A1A"/>
          <w:sz w:val="22"/>
        </w:rPr>
        <w:t>6. 竞品对比与核心竞争力</w:t>
      </w:r>
    </w:p>
    <w:p>
      <w:pPr>
        <w:keepNext w:val="0"/>
        <w:spacing w:before="0" w:after="40" w:line="336" w:lineRule="auto"/>
        <w:jc w:val="left"/>
      </w:pPr>
      <w:r>
        <w:rPr>
          <w:rFonts w:ascii="黑体" w:hAnsi="黑体" w:eastAsia="黑体"/>
          <w:b/>
          <w:i w:val="0"/>
          <w:color w:val="000000"/>
          <w:sz w:val="24"/>
        </w:rPr>
        <w:t>十一、可行性分析</w:t>
      </w:r>
    </w:p>
    <w:p>
      <w:pPr>
        <w:keepNext w:val="0"/>
        <w:spacing w:before="0" w:after="20" w:line="324" w:lineRule="auto"/>
        <w:ind w:left="567"/>
        <w:jc w:val="left"/>
      </w:pPr>
      <w:r>
        <w:rPr>
          <w:rFonts w:ascii="宋体" w:hAnsi="宋体" w:eastAsia="宋体"/>
          <w:b w:val="0"/>
          <w:i w:val="0"/>
          <w:color w:val="1A1A1A"/>
          <w:sz w:val="22"/>
        </w:rPr>
        <w:t>1. 技术可行性</w:t>
      </w:r>
    </w:p>
    <w:p>
      <w:pPr>
        <w:keepNext w:val="0"/>
        <w:spacing w:before="0" w:after="20" w:line="324" w:lineRule="auto"/>
        <w:ind w:left="567"/>
        <w:jc w:val="left"/>
      </w:pPr>
      <w:r>
        <w:rPr>
          <w:rFonts w:ascii="宋体" w:hAnsi="宋体" w:eastAsia="宋体"/>
          <w:b w:val="0"/>
          <w:i w:val="0"/>
          <w:color w:val="1A1A1A"/>
          <w:sz w:val="22"/>
        </w:rPr>
        <w:t>2. 市场可行性</w:t>
      </w:r>
    </w:p>
    <w:p>
      <w:pPr>
        <w:keepNext w:val="0"/>
        <w:spacing w:before="0" w:after="20" w:line="324" w:lineRule="auto"/>
        <w:ind w:left="567"/>
        <w:jc w:val="left"/>
      </w:pPr>
      <w:r>
        <w:rPr>
          <w:rFonts w:ascii="宋体" w:hAnsi="宋体" w:eastAsia="宋体"/>
          <w:b w:val="0"/>
          <w:i w:val="0"/>
          <w:color w:val="1A1A1A"/>
          <w:sz w:val="22"/>
        </w:rPr>
        <w:t>3. 运营可行性</w:t>
      </w:r>
    </w:p>
    <w:p>
      <w:pPr>
        <w:keepNext w:val="0"/>
        <w:spacing w:before="0" w:after="20" w:line="324" w:lineRule="auto"/>
        <w:ind w:left="567"/>
        <w:jc w:val="left"/>
      </w:pPr>
      <w:r>
        <w:rPr>
          <w:rFonts w:ascii="宋体" w:hAnsi="宋体" w:eastAsia="宋体"/>
          <w:b w:val="0"/>
          <w:i w:val="0"/>
          <w:color w:val="1A1A1A"/>
          <w:sz w:val="22"/>
        </w:rPr>
        <w:t>4. 合规可行性</w:t>
      </w:r>
    </w:p>
    <w:p>
      <w:pPr>
        <w:keepNext w:val="0"/>
        <w:spacing w:before="0" w:after="40" w:line="336" w:lineRule="auto"/>
        <w:jc w:val="left"/>
      </w:pPr>
      <w:r>
        <w:rPr>
          <w:rFonts w:ascii="黑体" w:hAnsi="黑体" w:eastAsia="黑体"/>
          <w:b/>
          <w:i w:val="0"/>
          <w:color w:val="000000"/>
          <w:sz w:val="24"/>
        </w:rPr>
        <w:t>十二、风险分析与应对方案</w:t>
      </w:r>
    </w:p>
    <w:p>
      <w:pPr>
        <w:keepNext w:val="0"/>
        <w:spacing w:before="0" w:after="20" w:line="324" w:lineRule="auto"/>
        <w:ind w:left="567"/>
        <w:jc w:val="left"/>
      </w:pPr>
      <w:r>
        <w:rPr>
          <w:rFonts w:ascii="宋体" w:hAnsi="宋体" w:eastAsia="宋体"/>
          <w:b w:val="0"/>
          <w:i w:val="0"/>
          <w:color w:val="1A1A1A"/>
          <w:sz w:val="22"/>
        </w:rPr>
        <w:t>1. 技术风险</w:t>
      </w:r>
    </w:p>
    <w:p>
      <w:pPr>
        <w:keepNext w:val="0"/>
        <w:spacing w:before="0" w:after="20" w:line="324" w:lineRule="auto"/>
        <w:ind w:left="567"/>
        <w:jc w:val="left"/>
      </w:pPr>
      <w:r>
        <w:rPr>
          <w:rFonts w:ascii="宋体" w:hAnsi="宋体" w:eastAsia="宋体"/>
          <w:b w:val="0"/>
          <w:i w:val="0"/>
          <w:color w:val="1A1A1A"/>
          <w:sz w:val="22"/>
        </w:rPr>
        <w:t>2. 市场风险</w:t>
      </w:r>
    </w:p>
    <w:p>
      <w:pPr>
        <w:keepNext w:val="0"/>
        <w:spacing w:before="0" w:after="20" w:line="324" w:lineRule="auto"/>
        <w:ind w:left="567"/>
        <w:jc w:val="left"/>
      </w:pPr>
      <w:r>
        <w:rPr>
          <w:rFonts w:ascii="宋体" w:hAnsi="宋体" w:eastAsia="宋体"/>
          <w:b w:val="0"/>
          <w:i w:val="0"/>
          <w:color w:val="1A1A1A"/>
          <w:sz w:val="22"/>
        </w:rPr>
        <w:t>3. 数据与合规风险</w:t>
      </w:r>
    </w:p>
    <w:p>
      <w:pPr>
        <w:keepNext w:val="0"/>
        <w:spacing w:before="0" w:after="20" w:line="324" w:lineRule="auto"/>
        <w:ind w:left="567"/>
        <w:jc w:val="left"/>
      </w:pPr>
      <w:r>
        <w:rPr>
          <w:rFonts w:ascii="宋体" w:hAnsi="宋体" w:eastAsia="宋体"/>
          <w:b w:val="0"/>
          <w:i w:val="0"/>
          <w:color w:val="1A1A1A"/>
          <w:sz w:val="22"/>
        </w:rPr>
        <w:t>4. 运营风险及对应解决策略</w:t>
      </w:r>
    </w:p>
    <w:p>
      <w:pPr>
        <w:keepNext w:val="0"/>
        <w:spacing w:before="0" w:after="40" w:line="336" w:lineRule="auto"/>
        <w:jc w:val="left"/>
      </w:pPr>
      <w:r>
        <w:rPr>
          <w:rFonts w:ascii="黑体" w:hAnsi="黑体" w:eastAsia="黑体"/>
          <w:b/>
          <w:i w:val="0"/>
          <w:color w:val="000000"/>
          <w:sz w:val="24"/>
        </w:rPr>
        <w:t>十三、项目总结与未来规划</w:t>
      </w:r>
    </w:p>
    <w:p>
      <w:pPr>
        <w:keepNext w:val="0"/>
        <w:spacing w:before="0" w:after="20" w:line="324" w:lineRule="auto"/>
        <w:ind w:left="567"/>
        <w:jc w:val="left"/>
      </w:pPr>
      <w:r>
        <w:rPr>
          <w:rFonts w:ascii="宋体" w:hAnsi="宋体" w:eastAsia="宋体"/>
          <w:b w:val="0"/>
          <w:i w:val="0"/>
          <w:color w:val="1A1A1A"/>
          <w:sz w:val="22"/>
        </w:rPr>
        <w:t>1. 项目现有成果总结</w:t>
      </w:r>
    </w:p>
    <w:p>
      <w:pPr>
        <w:keepNext w:val="0"/>
        <w:spacing w:before="0" w:after="20" w:line="324" w:lineRule="auto"/>
        <w:ind w:left="567"/>
        <w:jc w:val="left"/>
      </w:pPr>
      <w:r>
        <w:rPr>
          <w:rFonts w:ascii="宋体" w:hAnsi="宋体" w:eastAsia="宋体"/>
          <w:b w:val="0"/>
          <w:i w:val="0"/>
          <w:color w:val="1A1A1A"/>
          <w:sz w:val="22"/>
        </w:rPr>
        <w:t>2. 短期迭代规划</w:t>
      </w:r>
    </w:p>
    <w:p>
      <w:pPr>
        <w:keepNext w:val="0"/>
        <w:spacing w:before="0" w:after="20" w:line="324" w:lineRule="auto"/>
        <w:ind w:left="567"/>
        <w:jc w:val="left"/>
      </w:pPr>
      <w:r>
        <w:rPr>
          <w:rFonts w:ascii="宋体" w:hAnsi="宋体" w:eastAsia="宋体"/>
          <w:b w:val="0"/>
          <w:i w:val="0"/>
          <w:color w:val="1A1A1A"/>
          <w:sz w:val="22"/>
        </w:rPr>
        <w:t>3. 长期升级与拓展规划</w:t>
      </w:r>
    </w:p>
    <w:p>
      <w:pPr>
        <w:keepNext w:val="0"/>
        <w:spacing w:before="0" w:after="40" w:line="336" w:lineRule="auto"/>
        <w:jc w:val="left"/>
      </w:pPr>
      <w:r>
        <w:rPr>
          <w:rFonts w:ascii="黑体" w:hAnsi="黑体" w:eastAsia="黑体"/>
          <w:b/>
          <w:i w:val="0"/>
          <w:color w:val="000000"/>
          <w:sz w:val="24"/>
        </w:rPr>
        <w:t>十四、附录</w:t>
      </w:r>
    </w:p>
    <w:p>
      <w:pPr>
        <w:keepNext w:val="0"/>
        <w:spacing w:before="0" w:after="20" w:line="324" w:lineRule="auto"/>
        <w:ind w:left="567"/>
        <w:jc w:val="left"/>
      </w:pPr>
      <w:r>
        <w:rPr>
          <w:rFonts w:ascii="宋体" w:hAnsi="宋体" w:eastAsia="宋体"/>
          <w:b w:val="0"/>
          <w:i w:val="0"/>
          <w:color w:val="1A1A1A"/>
          <w:sz w:val="22"/>
        </w:rPr>
        <w:t>1. 项目源码</w:t>
      </w:r>
    </w:p>
    <w:p>
      <w:pPr>
        <w:keepNext w:val="0"/>
        <w:spacing w:before="0" w:after="20" w:line="324" w:lineRule="auto"/>
        <w:ind w:left="567"/>
        <w:jc w:val="left"/>
      </w:pPr>
      <w:r>
        <w:rPr>
          <w:rFonts w:ascii="宋体" w:hAnsi="宋体" w:eastAsia="宋体"/>
          <w:b w:val="0"/>
          <w:i w:val="0"/>
          <w:color w:val="1A1A1A"/>
          <w:sz w:val="22"/>
        </w:rPr>
        <w:t>2. 参考文献</w:t>
      </w:r>
    </w:p>
    <w:p>
      <w:pPr>
        <w:keepNext w:val="0"/>
        <w:spacing w:before="0" w:after="20" w:line="324" w:lineRule="auto"/>
        <w:ind w:left="567"/>
        <w:jc w:val="left"/>
      </w:pPr>
      <w:r>
        <w:rPr>
          <w:rFonts w:ascii="宋体" w:hAnsi="宋体" w:eastAsia="宋体"/>
          <w:b w:val="0"/>
          <w:i w:val="0"/>
          <w:color w:val="1A1A1A"/>
          <w:sz w:val="22"/>
        </w:rPr>
        <w:t>3. 团队信息、分工说明</w:t>
      </w:r>
    </w:p>
    <w:p>
      <w:pPr>
        <w:keepNext w:val="0"/>
        <w:spacing w:before="0" w:after="20" w:line="324" w:lineRule="auto"/>
        <w:ind w:left="567"/>
        <w:jc w:val="left"/>
      </w:pPr>
      <w:r>
        <w:rPr>
          <w:rFonts w:ascii="宋体" w:hAnsi="宋体" w:eastAsia="宋体"/>
          <w:b w:val="0"/>
          <w:i w:val="0"/>
          <w:color w:val="1A1A1A"/>
          <w:sz w:val="22"/>
        </w:rPr>
        <w:t>4. 其他佐证材料</w:t>
      </w:r>
    </w:p>
    <w:p>
      <w:pPr>
        <w:keepNext w:val="0"/>
        <w:spacing w:before="0" w:after="0" w:line="240" w:lineRule="auto"/>
        <w:jc w:val="left"/>
      </w:pPr>
      <w:r>
        <w:rPr>
          <w:rFonts w:ascii="宋体" w:hAnsi="宋体" w:eastAsia="宋体"/>
          <w:b w:val="0"/>
          <w:i w:val="0"/>
          <w:color w:val="1A1A1A"/>
          <w:sz w:val="20"/>
        </w:rPr>
      </w:r>
    </w:p>
    <w:p>
      <w:pPr>
        <w:keepNext w:val="0"/>
        <w:spacing w:before="0" w:after="80" w:line="336" w:lineRule="auto"/>
        <w:jc w:val="left"/>
      </w:pPr>
      <w:r>
        <w:rPr>
          <w:rFonts w:ascii="黑体" w:hAnsi="黑体" w:eastAsia="黑体"/>
          <w:b/>
          <w:i w:val="0"/>
          <w:color w:val="000000"/>
          <w:sz w:val="24"/>
        </w:rPr>
        <w:t>图 表 目 录</w:t>
      </w:r>
    </w:p>
    <w:p>
      <w:pPr>
        <w:keepNext w:val="0"/>
        <w:spacing w:before="0" w:after="20" w:line="324" w:lineRule="auto"/>
        <w:ind w:left="567"/>
        <w:jc w:val="left"/>
      </w:pPr>
      <w:r>
        <w:rPr>
          <w:rFonts w:ascii="宋体" w:hAnsi="宋体" w:eastAsia="宋体"/>
          <w:b w:val="0"/>
          <w:i w:val="0"/>
          <w:color w:val="1A1A1A"/>
          <w:sz w:val="22"/>
        </w:rPr>
        <w:t>图 1　全国检察机关起诉电信网络诈骗犯罪人数（2024—2025）</w:t>
      </w:r>
    </w:p>
    <w:p>
      <w:pPr>
        <w:keepNext w:val="0"/>
        <w:spacing w:before="0" w:after="20" w:line="324" w:lineRule="auto"/>
        <w:ind w:left="567"/>
        <w:jc w:val="left"/>
      </w:pPr>
      <w:r>
        <w:rPr>
          <w:rFonts w:ascii="宋体" w:hAnsi="宋体" w:eastAsia="宋体"/>
          <w:b w:val="0"/>
          <w:i w:val="0"/>
          <w:color w:val="1A1A1A"/>
          <w:sz w:val="22"/>
        </w:rPr>
        <w:t>图 2　虚假网络投资理财类诈骗：7% 的发案，38% 的金额（北京市）</w:t>
      </w:r>
    </w:p>
    <w:p>
      <w:pPr>
        <w:keepNext w:val="0"/>
        <w:spacing w:before="0" w:after="20" w:line="324" w:lineRule="auto"/>
        <w:ind w:left="567"/>
        <w:jc w:val="left"/>
      </w:pPr>
      <w:r>
        <w:rPr>
          <w:rFonts w:ascii="宋体" w:hAnsi="宋体" w:eastAsia="宋体"/>
          <w:b w:val="0"/>
          <w:i w:val="0"/>
          <w:color w:val="1A1A1A"/>
          <w:sz w:val="22"/>
        </w:rPr>
        <w:t>图 3　受害者年龄结构与「多数有专业投资理财经历」（北京市）</w:t>
      </w:r>
    </w:p>
    <w:p>
      <w:pPr>
        <w:keepNext w:val="0"/>
        <w:spacing w:before="0" w:after="20" w:line="324" w:lineRule="auto"/>
        <w:ind w:left="567"/>
        <w:jc w:val="left"/>
      </w:pPr>
      <w:r>
        <w:rPr>
          <w:rFonts w:ascii="宋体" w:hAnsi="宋体" w:eastAsia="宋体"/>
          <w:b w:val="0"/>
          <w:i w:val="0"/>
          <w:color w:val="1A1A1A"/>
          <w:sz w:val="22"/>
        </w:rPr>
        <w:t>图 4　从首次接触到报警平均 36.7 天：可介入的窗口期</w:t>
      </w:r>
    </w:p>
    <w:p>
      <w:pPr>
        <w:keepNext w:val="0"/>
        <w:spacing w:before="0" w:after="20" w:line="324" w:lineRule="auto"/>
        <w:ind w:left="567"/>
        <w:jc w:val="left"/>
      </w:pPr>
      <w:r>
        <w:rPr>
          <w:rFonts w:ascii="宋体" w:hAnsi="宋体" w:eastAsia="宋体"/>
          <w:b w:val="0"/>
          <w:i w:val="0"/>
          <w:color w:val="1A1A1A"/>
          <w:sz w:val="22"/>
        </w:rPr>
        <w:t>图 5　六阶段智能体流水线与「判定归规则，转述归模型」</w:t>
      </w:r>
    </w:p>
    <w:p>
      <w:pPr>
        <w:keepNext w:val="0"/>
        <w:spacing w:before="0" w:after="20" w:line="324" w:lineRule="auto"/>
        <w:ind w:left="567"/>
        <w:jc w:val="left"/>
      </w:pPr>
      <w:r>
        <w:rPr>
          <w:rFonts w:ascii="宋体" w:hAnsi="宋体" w:eastAsia="宋体"/>
          <w:b w:val="0"/>
          <w:i w:val="0"/>
          <w:color w:val="1A1A1A"/>
          <w:sz w:val="22"/>
        </w:rPr>
        <w:t>图 6　合规三区边界：禁止区 / 谨慎区 / 放心区</w:t>
      </w:r>
    </w:p>
    <w:p>
      <w:pPr>
        <w:keepNext w:val="0"/>
        <w:spacing w:before="0" w:after="20" w:line="324" w:lineRule="auto"/>
        <w:ind w:left="567"/>
        <w:jc w:val="left"/>
      </w:pPr>
      <w:r>
        <w:rPr>
          <w:rFonts w:ascii="宋体" w:hAnsi="宋体" w:eastAsia="宋体"/>
          <w:b w:val="0"/>
          <w:i w:val="0"/>
          <w:color w:val="1A1A1A"/>
          <w:sz w:val="22"/>
        </w:rPr>
        <w:t>图 7　分期负债真实年化与名义口径的差距（本项目计算器实测）</w:t>
      </w:r>
    </w:p>
    <w:p>
      <w:pPr>
        <w:keepNext w:val="0"/>
        <w:spacing w:before="0" w:after="20" w:line="324" w:lineRule="auto"/>
        <w:ind w:left="567"/>
        <w:jc w:val="left"/>
      </w:pPr>
      <w:r>
        <w:rPr>
          <w:rFonts w:ascii="宋体" w:hAnsi="宋体" w:eastAsia="宋体"/>
          <w:b w:val="0"/>
          <w:i w:val="0"/>
          <w:color w:val="1A1A1A"/>
          <w:sz w:val="22"/>
        </w:rPr>
        <w:t>图 8　三阶段商业落地路线</w:t>
      </w:r>
    </w:p>
    <w:p>
      <w:pPr>
        <w:keepNext w:val="0"/>
        <w:spacing w:before="0" w:after="20" w:line="324" w:lineRule="auto"/>
        <w:ind w:left="567"/>
        <w:jc w:val="left"/>
      </w:pPr>
      <w:r>
        <w:rPr>
          <w:rFonts w:ascii="宋体" w:hAnsi="宋体" w:eastAsia="宋体"/>
          <w:b w:val="0"/>
          <w:i w:val="0"/>
          <w:color w:val="1A1A1A"/>
          <w:sz w:val="22"/>
        </w:rPr>
        <w:t>图 9　竞品定位：内容层 × 事前预防</w:t>
      </w:r>
    </w:p>
    <w:p>
      <w:pPr>
        <w:keepNext w:val="0"/>
        <w:spacing w:before="0" w:after="20" w:line="324" w:lineRule="auto"/>
        <w:ind w:left="567"/>
        <w:jc w:val="left"/>
      </w:pPr>
      <w:r>
        <w:rPr>
          <w:rFonts w:ascii="宋体" w:hAnsi="宋体" w:eastAsia="宋体"/>
          <w:b w:val="0"/>
          <w:i w:val="0"/>
          <w:color w:val="1A1A1A"/>
          <w:sz w:val="22"/>
        </w:rPr>
        <w:t>图 10—图 18　产品界面实拍（识别与翻译、风险条目、五维画像、骗局剧本、主动追问、学习闯关、骗局图鉴、规划师、共享档案）</w:t>
      </w:r>
    </w:p>
    <w:p>
      <w:r>
        <w:br w:type="page"/>
      </w:r>
    </w:p>
    <w:p>
      <w:pPr>
        <w:keepNext/>
        <w:spacing w:before="400" w:after="200" w:line="324" w:lineRule="auto"/>
        <w:jc w:val="left"/>
      </w:pPr>
      <w:r>
        <w:rPr>
          <w:rFonts w:ascii="黑体" w:hAnsi="黑体" w:eastAsia="黑体"/>
          <w:b/>
          <w:i w:val="0"/>
          <w:color w:val="000000"/>
          <w:sz w:val="32"/>
        </w:rPr>
        <w:t>四、项目背景与行业现状</w:t>
      </w:r>
    </w:p>
    <w:p>
      <w:pPr>
        <w:keepNext/>
        <w:spacing w:before="280" w:after="120" w:line="324" w:lineRule="auto"/>
        <w:jc w:val="left"/>
      </w:pPr>
      <w:r>
        <w:rPr>
          <w:rFonts w:ascii="黑体" w:hAnsi="黑体" w:eastAsia="黑体"/>
          <w:b/>
          <w:i w:val="0"/>
          <w:color w:val="000000"/>
          <w:sz w:val="27"/>
        </w:rPr>
        <w:t>1. 行业发展背景</w:t>
      </w:r>
    </w:p>
    <w:p>
      <w:pPr>
        <w:keepNext w:val="0"/>
        <w:spacing w:before="0" w:after="60" w:line="360" w:lineRule="auto"/>
        <w:ind w:firstLine="480"/>
        <w:jc w:val="both"/>
      </w:pPr>
      <w:r>
        <w:rPr>
          <w:rFonts w:ascii="宋体" w:hAnsi="宋体" w:eastAsia="宋体"/>
          <w:b/>
          <w:i w:val="0"/>
          <w:color w:val="1A1A1A"/>
          <w:sz w:val="24"/>
        </w:rPr>
        <w:t>居民财富在增长，可支配的理财入口在爆炸式增加，但与之匹配的金融素养并没有同步提升。</w:t>
      </w:r>
      <w:r>
        <w:rPr>
          <w:rFonts w:ascii="宋体" w:hAnsi="宋体" w:eastAsia="宋体"/>
          <w:b w:val="0"/>
          <w:i w:val="0"/>
          <w:color w:val="1A1A1A"/>
          <w:sz w:val="24"/>
        </w:rPr>
        <w:t xml:space="preserve"> 过去十年，货币基金、银行理财、公募基金、券商资管、互联网平台代销乃至各类境外「高息」产品，都被压缩进一部手机的几次点击之内。购买行为的摩擦被降到了历史最低，而理解成本没有降低半分——一份公募基金合同动辄数万字，一张理财产品页上「业绩比较基准」「非保本浮动收益」「封闭期」「R2 中低风险」这些词，对绝大多数持有者而言是无法解析的符号。</w:t>
      </w:r>
    </w:p>
    <w:p>
      <w:pPr>
        <w:keepNext w:val="0"/>
        <w:spacing w:before="0" w:after="60" w:line="360" w:lineRule="auto"/>
        <w:ind w:firstLine="480"/>
        <w:jc w:val="both"/>
      </w:pPr>
      <w:r>
        <w:rPr>
          <w:rFonts w:ascii="宋体" w:hAnsi="宋体" w:eastAsia="宋体"/>
          <w:b/>
          <w:i w:val="0"/>
          <w:color w:val="1A1A1A"/>
          <w:sz w:val="24"/>
        </w:rPr>
        <w:t>金融素养的短板是有系统性证据的，且不限于低学历人群。</w:t>
      </w:r>
      <w:r>
        <w:rPr>
          <w:rFonts w:ascii="宋体" w:hAnsi="宋体" w:eastAsia="宋体"/>
          <w:b w:val="0"/>
          <w:i w:val="0"/>
          <w:color w:val="1A1A1A"/>
          <w:sz w:val="24"/>
        </w:rPr>
        <w:t xml:space="preserve"> 中国人民银行金融消费权益保护局自 2017 年起多次组织全国范围的消费者金融素养问卷调查并公开发布分析报告，OECD/INFE 与 PISA 财经素养测评框架亦长期将「风险与收益的权衡」「复利与折现的理解」列为最普遍的薄弱环节。国内多所高校针对大学生群体的问卷研究普遍指出：大学生对基础金融概念的自评熟悉度显著高于其客观测评得分，即</w:t>
      </w:r>
      <w:r>
        <w:rPr>
          <w:rFonts w:ascii="宋体" w:hAnsi="宋体" w:eastAsia="宋体"/>
          <w:b/>
          <w:i w:val="0"/>
          <w:color w:val="1A1A1A"/>
          <w:sz w:val="24"/>
        </w:rPr>
        <w:t>普遍存在「自认为懂」与「实际不懂」的错位</w:t>
      </w:r>
      <w:r>
        <w:rPr>
          <w:rFonts w:ascii="宋体" w:hAnsi="宋体" w:eastAsia="宋体"/>
          <w:b w:val="0"/>
          <w:i w:val="0"/>
          <w:color w:val="1A1A1A"/>
          <w:sz w:val="24"/>
        </w:rPr>
        <w:t>，而这种错位恰恰是最危险的——它同时降低了求证动机与防御强度。</w:t>
      </w:r>
    </w:p>
    <w:p>
      <w:pPr>
        <w:keepNext w:val="0"/>
        <w:spacing w:before="0" w:after="120" w:line="312" w:lineRule="auto"/>
        <w:ind w:left="482"/>
        <w:jc w:val="both"/>
      </w:pPr>
      <w:r>
        <w:rPr>
          <w:rFonts w:ascii="宋体" w:hAnsi="宋体" w:eastAsia="宋体"/>
          <w:b w:val="0"/>
          <w:i w:val="0"/>
          <w:color w:val="595959"/>
          <w:sz w:val="19"/>
        </w:rPr>
        <w:t>口径说明：本节引用的调查与测评框架均为公开发布的成果，此处仅作定性引用；本文档不引用未经我们逐字核对原页面的具体百分比数值。凡涉及具体数字的表述，一律标注发布机构、文件名称与年份，见附录二。</w:t>
      </w:r>
    </w:p>
    <w:p>
      <w:pPr>
        <w:keepNext w:val="0"/>
        <w:spacing w:before="0" w:after="60" w:line="360" w:lineRule="auto"/>
        <w:ind w:firstLine="480"/>
        <w:jc w:val="both"/>
      </w:pPr>
      <w:r>
        <w:rPr>
          <w:rFonts w:ascii="宋体" w:hAnsi="宋体" w:eastAsia="宋体"/>
          <w:b/>
          <w:i w:val="0"/>
          <w:color w:val="1A1A1A"/>
          <w:sz w:val="24"/>
        </w:rPr>
        <w:t>与素养短板并存的是骗局的高发与高破坏力，且监管与司法机关已将其点名为重点领域。</w:t>
      </w:r>
      <w:r>
        <w:rPr>
          <w:rFonts w:ascii="宋体" w:hAnsi="宋体" w:eastAsia="宋体"/>
          <w:b w:val="0"/>
          <w:i w:val="0"/>
          <w:color w:val="1A1A1A"/>
          <w:sz w:val="24"/>
        </w:rPr>
        <w:t xml:space="preserve"> 公安部刑侦局与国家反诈中心 2025 年 7 月联合发布的《2025 版防范电信网络诈骗宣传手册》梳理了十类高发电信网络诈骗类型，</w:t>
      </w:r>
      <w:r>
        <w:rPr>
          <w:rFonts w:ascii="宋体" w:hAnsi="宋体" w:eastAsia="宋体"/>
          <w:b/>
          <w:i w:val="0"/>
          <w:color w:val="1A1A1A"/>
          <w:sz w:val="24"/>
        </w:rPr>
        <w:t>「虚假网络投资理财」位列第二</w:t>
      </w:r>
      <w:r>
        <w:rPr>
          <w:rFonts w:ascii="宋体" w:hAnsi="宋体" w:eastAsia="宋体"/>
          <w:b w:val="0"/>
          <w:i w:val="0"/>
          <w:color w:val="1A1A1A"/>
          <w:sz w:val="24"/>
        </w:rPr>
        <w:t>（第一为刷单返利）；该手册同时首次提炼了「帮助群众快速破译骗局的 20 个防诈关键词」——</w:t>
      </w:r>
      <w:r>
        <w:rPr>
          <w:rFonts w:ascii="宋体" w:hAnsi="宋体" w:eastAsia="宋体"/>
          <w:b/>
          <w:i w:val="0"/>
          <w:color w:val="1A1A1A"/>
          <w:sz w:val="24"/>
        </w:rPr>
        <w:t>官方自身的方法论也是「关键词 + 套路拆解」</w:t>
      </w:r>
      <w:r>
        <w:rPr>
          <w:rFonts w:ascii="宋体" w:hAnsi="宋体" w:eastAsia="宋体"/>
          <w:b w:val="0"/>
          <w:i w:val="0"/>
          <w:color w:val="1A1A1A"/>
          <w:sz w:val="24"/>
        </w:rPr>
        <w:t>，这与本项目的技术路径同向，我们所做的是把它自动化、即时化。</w:t>
      </w:r>
    </w:p>
    <w:p>
      <w:pPr>
        <w:keepNext w:val="0"/>
        <w:spacing w:before="160" w:after="40" w:line="240" w:lineRule="auto"/>
        <w:jc w:val="center"/>
      </w:pPr>
      <w:r>
        <w:drawing>
          <wp:inline xmlns:a="http://schemas.openxmlformats.org/drawingml/2006/main" xmlns:pic="http://schemas.openxmlformats.org/drawingml/2006/picture">
            <wp:extent cx="5400000" cy="2655738"/>
            <wp:docPr id="1" name="Picture 1"/>
            <wp:cNvGraphicFramePr>
              <a:graphicFrameLocks noChangeAspect="1"/>
            </wp:cNvGraphicFramePr>
            <a:graphic>
              <a:graphicData uri="http://schemas.openxmlformats.org/drawingml/2006/picture">
                <pic:pic>
                  <pic:nvPicPr>
                    <pic:cNvPr id="0" name="fig1-起诉人数.png"/>
                    <pic:cNvPicPr/>
                  </pic:nvPicPr>
                  <pic:blipFill>
                    <a:blip r:embed="rId9"/>
                    <a:stretch>
                      <a:fillRect/>
                    </a:stretch>
                  </pic:blipFill>
                  <pic:spPr>
                    <a:xfrm>
                      <a:off x="0" y="0"/>
                      <a:ext cx="5400000" cy="2655738"/>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1　全国检察机关起诉电信网络诈骗犯罪人数（2024—2025）</w:t>
      </w:r>
    </w:p>
    <w:p>
      <w:pPr>
        <w:keepNext w:val="0"/>
        <w:spacing w:before="0" w:after="60" w:line="360" w:lineRule="auto"/>
        <w:ind w:firstLine="480"/>
        <w:jc w:val="both"/>
      </w:pPr>
      <w:r>
        <w:rPr>
          <w:rFonts w:ascii="宋体" w:hAnsi="宋体" w:eastAsia="宋体"/>
          <w:b w:val="0"/>
          <w:i w:val="0"/>
          <w:color w:val="1A1A1A"/>
          <w:sz w:val="24"/>
        </w:rPr>
        <w:t>从司法数据看，打击力度在持续加大，但发案仍处高位。最高人民检察院《刑事检察工作白皮书（2025）》披露：2025 年全国检察机关起诉电信网络诈骗犯罪 68,907 人；同期起诉网络犯罪 18.2 万人，同比下降 33.3%，「但仍处于高位」。而 2024 年该项起诉人数为 7.8 万人，同比上升 53.9%。同一份白皮书还披露，2025 年全国检察机关起诉金融犯罪 1.3 万件 2.5 万人，并组织开展打击非法集资专项行动，</w:t>
      </w:r>
      <w:r>
        <w:rPr>
          <w:rFonts w:ascii="宋体" w:hAnsi="宋体" w:eastAsia="宋体"/>
          <w:b/>
          <w:i w:val="0"/>
          <w:color w:val="1A1A1A"/>
          <w:sz w:val="24"/>
        </w:rPr>
        <w:t>明确把「投资理财」列为重点领域之首</w:t>
      </w:r>
      <w:r>
        <w:rPr>
          <w:rFonts w:ascii="宋体" w:hAnsi="宋体" w:eastAsia="宋体"/>
          <w:b w:val="0"/>
          <w:i w:val="0"/>
          <w:color w:val="1A1A1A"/>
          <w:sz w:val="24"/>
        </w:rPr>
        <w:t>。</w:t>
      </w:r>
    </w:p>
    <w:p>
      <w:pPr>
        <w:keepNext w:val="0"/>
        <w:spacing w:before="0" w:after="60" w:line="360" w:lineRule="auto"/>
        <w:ind w:firstLine="480"/>
        <w:jc w:val="both"/>
      </w:pPr>
      <w:r>
        <w:rPr>
          <w:rFonts w:ascii="宋体" w:hAnsi="宋体" w:eastAsia="宋体"/>
          <w:b w:val="0"/>
          <w:i w:val="0"/>
          <w:color w:val="1A1A1A"/>
          <w:sz w:val="24"/>
        </w:rPr>
        <w:t>非法集资是「披着理财外衣」的主要形式。最高人民法院数据显示，2017 年至 2022 年 8 月，全国法院审结非法集资一审刑事案件 6.02 万件 10.87 万人；此类案件平均重刑率 19.99%，其中集资诈骗案件重刑率高达 78.78%，远高于刑事案件平均水平。在专门针对老年人的养老诈骗领域，全国法院受理的 2014 件刑事案件中，非法集资案件 1208 件（约六成），全国法院执行养老诈骗案件财产近 30 亿元。</w:t>
      </w:r>
      <w:r>
        <w:rPr>
          <w:rFonts w:ascii="宋体" w:hAnsi="宋体" w:eastAsia="宋体"/>
          <w:b/>
          <w:i w:val="0"/>
          <w:color w:val="1A1A1A"/>
          <w:sz w:val="24"/>
        </w:rPr>
        <w:t>换言之，骗老年人的主要手段，正是包装成理财产品的非法集资。</w:t>
      </w:r>
    </w:p>
    <w:p>
      <w:pPr>
        <w:keepNext/>
        <w:spacing w:before="280" w:after="120" w:line="324" w:lineRule="auto"/>
        <w:jc w:val="left"/>
      </w:pPr>
      <w:r>
        <w:rPr>
          <w:rFonts w:ascii="黑体" w:hAnsi="黑体" w:eastAsia="黑体"/>
          <w:b/>
          <w:i w:val="0"/>
          <w:color w:val="000000"/>
          <w:sz w:val="27"/>
        </w:rPr>
        <w:t>2. 现存行业痛点</w:t>
      </w:r>
    </w:p>
    <w:p>
      <w:pPr>
        <w:keepNext w:val="0"/>
        <w:spacing w:before="0" w:after="60" w:line="360" w:lineRule="auto"/>
        <w:ind w:firstLine="480"/>
        <w:jc w:val="both"/>
      </w:pPr>
      <w:r>
        <w:rPr>
          <w:rFonts w:ascii="宋体" w:hAnsi="宋体" w:eastAsia="宋体"/>
          <w:b/>
          <w:i w:val="0"/>
          <w:color w:val="1A1A1A"/>
          <w:sz w:val="24"/>
        </w:rPr>
        <w:t>痛点一：信息零散杂乱，供给过剩而判断稀缺。</w:t>
      </w:r>
      <w:r>
        <w:rPr>
          <w:rFonts w:ascii="宋体" w:hAnsi="宋体" w:eastAsia="宋体"/>
          <w:b w:val="0"/>
          <w:i w:val="0"/>
          <w:color w:val="1A1A1A"/>
          <w:sz w:val="24"/>
        </w:rPr>
        <w:t xml:space="preserve"> 打开任何财经平台，信息是过剩的，不是稀缺的。行情、快讯、观点、直播、社群，一个普通用户一天能接触到的金融内容量远超其处理能力。真正稀缺的不是资讯，而是「针对我手上这一条内容，它到底有没有问题」的即时判断。</w:t>
      </w:r>
    </w:p>
    <w:p>
      <w:pPr>
        <w:keepNext w:val="0"/>
        <w:spacing w:before="0" w:after="60" w:line="360" w:lineRule="auto"/>
        <w:ind w:firstLine="480"/>
        <w:jc w:val="both"/>
      </w:pPr>
      <w:r>
        <w:rPr>
          <w:rFonts w:ascii="宋体" w:hAnsi="宋体" w:eastAsia="宋体"/>
          <w:b/>
          <w:i w:val="0"/>
          <w:color w:val="1A1A1A"/>
          <w:sz w:val="24"/>
        </w:rPr>
        <w:t>痛点二：广告与营销内容占据了绝大部分注意力入口。</w:t>
      </w:r>
      <w:r>
        <w:rPr>
          <w:rFonts w:ascii="宋体" w:hAnsi="宋体" w:eastAsia="宋体"/>
          <w:b w:val="0"/>
          <w:i w:val="0"/>
          <w:color w:val="1A1A1A"/>
          <w:sz w:val="24"/>
        </w:rPr>
        <w:t xml:space="preserve"> 用户接触金融信息的第一触点，往往不是招股书或产品说明书，而是短视频里的一段口播、朋友圈的一张图、微信群里转来的一条消息。这些内容天然经过了「转化率优化」——收益数字被放大、风险表述被隐去、紧迫感被人为制造。而现有的信息核验工具几乎都不作用于这一层。</w:t>
      </w:r>
    </w:p>
    <w:p>
      <w:pPr>
        <w:keepNext w:val="0"/>
        <w:spacing w:before="0" w:after="60" w:line="360" w:lineRule="auto"/>
        <w:ind w:firstLine="480"/>
        <w:jc w:val="both"/>
      </w:pPr>
      <w:r>
        <w:rPr>
          <w:rFonts w:ascii="宋体" w:hAnsi="宋体" w:eastAsia="宋体"/>
          <w:b/>
          <w:i w:val="0"/>
          <w:color w:val="1A1A1A"/>
          <w:sz w:val="24"/>
        </w:rPr>
        <w:t>痛点三：缺少中立的科普供给。</w:t>
      </w:r>
      <w:r>
        <w:rPr>
          <w:rFonts w:ascii="宋体" w:hAnsi="宋体" w:eastAsia="宋体"/>
          <w:b w:val="0"/>
          <w:i w:val="0"/>
          <w:color w:val="1A1A1A"/>
          <w:sz w:val="24"/>
        </w:rPr>
        <w:t xml:space="preserve"> 目前的金融科普大致分两类：一类由持牌机构提供，带有天然的销售目的，其内容边界受自身产品线约束；另一类由自媒体提供，内容质量参差，且相当一部分本身就是导流入口。</w:t>
      </w:r>
      <w:r>
        <w:rPr>
          <w:rFonts w:ascii="宋体" w:hAnsi="宋体" w:eastAsia="宋体"/>
          <w:b/>
          <w:i w:val="0"/>
          <w:color w:val="1A1A1A"/>
          <w:sz w:val="24"/>
        </w:rPr>
        <w:t>「既中立、又免费、还能就地回答我这一条具体问题」的供给几乎是空缺的。</w:t>
      </w:r>
    </w:p>
    <w:p>
      <w:pPr>
        <w:keepNext w:val="0"/>
        <w:spacing w:before="0" w:after="60" w:line="360" w:lineRule="auto"/>
        <w:ind w:firstLine="480"/>
        <w:jc w:val="both"/>
      </w:pPr>
      <w:r>
        <w:rPr>
          <w:rFonts w:ascii="宋体" w:hAnsi="宋体" w:eastAsia="宋体"/>
          <w:b/>
          <w:i w:val="0"/>
          <w:color w:val="1A1A1A"/>
          <w:sz w:val="24"/>
        </w:rPr>
        <w:t>痛点四：科普信息与个人理财决策严重错位。</w:t>
      </w:r>
      <w:r>
        <w:rPr>
          <w:rFonts w:ascii="宋体" w:hAnsi="宋体" w:eastAsia="宋体"/>
          <w:b w:val="0"/>
          <w:i w:val="0"/>
          <w:color w:val="1A1A1A"/>
          <w:sz w:val="24"/>
        </w:rPr>
        <w:t xml:space="preserve"> 这是本项目认为最关键的一条痛点。现有科普的组织方式是「按知识点」——什么是市盈率、什么是久期、什么是资产配置；而用户的真实行为不是「我来学习一下」，而是「我看到这句话看不懂」「有人跟我说了这个事，靠不靠谱」。</w:t>
      </w:r>
      <w:r>
        <w:rPr>
          <w:rFonts w:ascii="宋体" w:hAnsi="宋体" w:eastAsia="宋体"/>
          <w:b/>
          <w:i w:val="0"/>
          <w:color w:val="1A1A1A"/>
          <w:sz w:val="24"/>
        </w:rPr>
        <w:t>按知识点组织的内容，无法在用户真正需要判断的那一刻被检索到。</w:t>
      </w:r>
      <w:r>
        <w:rPr>
          <w:rFonts w:ascii="宋体" w:hAnsi="宋体" w:eastAsia="宋体"/>
          <w:b w:val="0"/>
          <w:i w:val="0"/>
          <w:color w:val="1A1A1A"/>
          <w:sz w:val="24"/>
        </w:rPr>
        <w:t xml:space="preserve"> 更进一步，多数人并没有专门的时间主动搜集信息、系统学习金融知识，却随时可能面对一个需要立即决定的理财场景——这个时间上的错配，使「开始学习」这件事的门槛被抬得极高。</w:t>
      </w:r>
    </w:p>
    <w:p>
      <w:pPr>
        <w:keepNext w:val="0"/>
        <w:spacing w:before="0" w:after="60" w:line="360" w:lineRule="auto"/>
        <w:ind w:firstLine="480"/>
        <w:jc w:val="both"/>
      </w:pPr>
      <w:r>
        <w:rPr>
          <w:rFonts w:ascii="宋体" w:hAnsi="宋体" w:eastAsia="宋体"/>
          <w:b/>
          <w:i w:val="0"/>
          <w:color w:val="1A1A1A"/>
          <w:sz w:val="24"/>
        </w:rPr>
        <w:t>痛点五：既有反诈手段作用在通讯与交易层，而投资理财骗局的入口在内容与话术层。</w:t>
      </w:r>
      <w:r>
        <w:rPr>
          <w:rFonts w:ascii="宋体" w:hAnsi="宋体" w:eastAsia="宋体"/>
          <w:b w:val="0"/>
          <w:i w:val="0"/>
          <w:color w:val="1A1A1A"/>
          <w:sz w:val="24"/>
        </w:rPr>
        <w:t xml:space="preserve"> 号码黑名单、短信拦截、涉诈 App 识别、转账预警，管的是「已经发生的接触行为」。但一张广告图、一段群聊截图、一份产品说明书，不在任何黑名单里。这是一个明确的能力空白。</w:t>
      </w:r>
    </w:p>
    <w:p>
      <w:pPr>
        <w:keepNext w:val="0"/>
        <w:spacing w:before="160" w:after="40" w:line="240" w:lineRule="auto"/>
        <w:jc w:val="center"/>
      </w:pPr>
      <w:r>
        <w:drawing>
          <wp:inline xmlns:a="http://schemas.openxmlformats.org/drawingml/2006/main" xmlns:pic="http://schemas.openxmlformats.org/drawingml/2006/picture">
            <wp:extent cx="5400000" cy="2390164"/>
            <wp:docPr id="2" name="Picture 2"/>
            <wp:cNvGraphicFramePr>
              <a:graphicFrameLocks noChangeAspect="1"/>
            </wp:cNvGraphicFramePr>
            <a:graphic>
              <a:graphicData uri="http://schemas.openxmlformats.org/drawingml/2006/picture">
                <pic:pic>
                  <pic:nvPicPr>
                    <pic:cNvPr id="0" name="fig2-发案与金额.png"/>
                    <pic:cNvPicPr/>
                  </pic:nvPicPr>
                  <pic:blipFill>
                    <a:blip r:embed="rId10"/>
                    <a:stretch>
                      <a:fillRect/>
                    </a:stretch>
                  </pic:blipFill>
                  <pic:spPr>
                    <a:xfrm>
                      <a:off x="0" y="0"/>
                      <a:ext cx="5400000" cy="2390164"/>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2　虚假网络投资理财类诈骗：7% 的发案，38% 的金额（北京市公安局 2025-10-28）</w:t>
      </w:r>
    </w:p>
    <w:p>
      <w:pPr>
        <w:keepNext w:val="0"/>
        <w:spacing w:before="160" w:after="40" w:line="240" w:lineRule="auto"/>
        <w:jc w:val="center"/>
      </w:pPr>
      <w:r>
        <w:drawing>
          <wp:inline xmlns:a="http://schemas.openxmlformats.org/drawingml/2006/main" xmlns:pic="http://schemas.openxmlformats.org/drawingml/2006/picture">
            <wp:extent cx="5400000" cy="2032041"/>
            <wp:docPr id="3" name="Picture 3"/>
            <wp:cNvGraphicFramePr>
              <a:graphicFrameLocks noChangeAspect="1"/>
            </wp:cNvGraphicFramePr>
            <a:graphic>
              <a:graphicData uri="http://schemas.openxmlformats.org/drawingml/2006/picture">
                <pic:pic>
                  <pic:nvPicPr>
                    <pic:cNvPr id="0" name="fig3-年龄结构.png"/>
                    <pic:cNvPicPr/>
                  </pic:nvPicPr>
                  <pic:blipFill>
                    <a:blip r:embed="rId11"/>
                    <a:stretch>
                      <a:fillRect/>
                    </a:stretch>
                  </pic:blipFill>
                  <pic:spPr>
                    <a:xfrm>
                      <a:off x="0" y="0"/>
                      <a:ext cx="5400000" cy="2032041"/>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3　受害者年龄结构与「多数有专业投资理财经历」（北京市公安局 2025-10-28）</w:t>
      </w:r>
    </w:p>
    <w:p>
      <w:pPr>
        <w:keepNext w:val="0"/>
        <w:spacing w:before="0" w:after="60" w:line="360" w:lineRule="auto"/>
        <w:ind w:firstLine="480"/>
        <w:jc w:val="both"/>
      </w:pPr>
      <w:r>
        <w:rPr>
          <w:rFonts w:ascii="宋体" w:hAnsi="宋体" w:eastAsia="宋体"/>
          <w:b/>
          <w:i w:val="0"/>
          <w:color w:val="1A1A1A"/>
          <w:sz w:val="24"/>
        </w:rPr>
        <w:t>痛点六：受骗人群与「理财小白」的直觉画像并不重合。</w:t>
      </w:r>
      <w:r>
        <w:rPr>
          <w:rFonts w:ascii="宋体" w:hAnsi="宋体" w:eastAsia="宋体"/>
          <w:b w:val="0"/>
          <w:i w:val="0"/>
          <w:color w:val="1A1A1A"/>
          <w:sz w:val="24"/>
        </w:rPr>
        <w:t xml:space="preserve"> 北京市公安局的数据显示，虚假网络投资理财类诈骗受害者中 46 岁以上占六成、60 岁以上占二成，年龄最大的男性和女性均为 88 岁，且</w:t>
      </w:r>
      <w:r>
        <w:rPr>
          <w:rFonts w:ascii="宋体" w:hAnsi="宋体" w:eastAsia="宋体"/>
          <w:b/>
          <w:i w:val="0"/>
          <w:color w:val="1A1A1A"/>
          <w:sz w:val="24"/>
        </w:rPr>
        <w:t>「多数有专业投资理财经历」</w:t>
      </w:r>
      <w:r>
        <w:rPr>
          <w:rFonts w:ascii="宋体" w:hAnsi="宋体" w:eastAsia="宋体"/>
          <w:b w:val="0"/>
          <w:i w:val="0"/>
          <w:color w:val="1A1A1A"/>
          <w:sz w:val="24"/>
        </w:rPr>
        <w:t>。这一条对产品设计具有决定性意义：它说明单靠「提升知识水平」无法解决问题，必须提供一种</w:t>
      </w:r>
      <w:r>
        <w:rPr>
          <w:rFonts w:ascii="宋体" w:hAnsi="宋体" w:eastAsia="宋体"/>
          <w:b/>
          <w:i w:val="0"/>
          <w:color w:val="1A1A1A"/>
          <w:sz w:val="24"/>
        </w:rPr>
        <w:t>不依赖用户知识水平</w:t>
      </w:r>
      <w:r>
        <w:rPr>
          <w:rFonts w:ascii="宋体" w:hAnsi="宋体" w:eastAsia="宋体"/>
          <w:b w:val="0"/>
          <w:i w:val="0"/>
          <w:color w:val="1A1A1A"/>
          <w:sz w:val="24"/>
        </w:rPr>
        <w:t>的、当场可用的识别能力。同时，六成以上受害者在 46 岁以上，意味着</w:t>
      </w:r>
      <w:r>
        <w:rPr>
          <w:rFonts w:ascii="宋体" w:hAnsi="宋体" w:eastAsia="宋体"/>
          <w:b/>
          <w:i w:val="0"/>
          <w:color w:val="1A1A1A"/>
          <w:sz w:val="24"/>
        </w:rPr>
        <w:t>适老化不是装饰性功能，而是核心功能的一部分</w:t>
      </w:r>
      <w:r>
        <w:rPr>
          <w:rFonts w:ascii="宋体" w:hAnsi="宋体" w:eastAsia="宋体"/>
          <w:b w:val="0"/>
          <w:i w:val="0"/>
          <w:color w:val="1A1A1A"/>
          <w:sz w:val="24"/>
        </w:rPr>
        <w:t>。</w:t>
      </w:r>
    </w:p>
    <w:p>
      <w:pPr>
        <w:keepNext/>
        <w:spacing w:before="280" w:after="120" w:line="324" w:lineRule="auto"/>
        <w:jc w:val="left"/>
      </w:pPr>
      <w:r>
        <w:rPr>
          <w:rFonts w:ascii="黑体" w:hAnsi="黑体" w:eastAsia="黑体"/>
          <w:b/>
          <w:i w:val="0"/>
          <w:color w:val="000000"/>
          <w:sz w:val="27"/>
        </w:rPr>
        <w:t>3. 国内外研究 / 产品现状</w:t>
      </w:r>
    </w:p>
    <w:p>
      <w:pPr>
        <w:keepNext w:val="0"/>
        <w:spacing w:before="0" w:after="60" w:line="360" w:lineRule="auto"/>
        <w:ind w:firstLine="480"/>
        <w:jc w:val="both"/>
      </w:pPr>
      <w:r>
        <w:rPr>
          <w:rFonts w:ascii="宋体" w:hAnsi="宋体" w:eastAsia="宋体"/>
          <w:b/>
          <w:i w:val="0"/>
          <w:color w:val="1A1A1A"/>
          <w:sz w:val="24"/>
        </w:rPr>
        <w:t>（1）学术与政策研究层面。</w:t>
      </w:r>
      <w:r>
        <w:rPr>
          <w:rFonts w:ascii="宋体" w:hAnsi="宋体" w:eastAsia="宋体"/>
          <w:b w:val="0"/>
          <w:i w:val="0"/>
          <w:color w:val="1A1A1A"/>
          <w:sz w:val="24"/>
        </w:rPr>
        <w:t xml:space="preserve"> 国际上，OECD/INFE 的金融素养测评框架与 PISA 财经素养测评构成了跨国比较的基础，其核心结论具有高度一致性：金融素养与受教育程度正相关但并不等价，且「风险—收益权衡」与「复利理解」是各国普遍的薄弱项。国内层面，中国人民银行金融消费权益保护局自 2017 年起多次开展全国消费者金融素养调查并公开发布分析报告；中国证券投资者保护基金公司持续发布《全国股票市场投资者状况调查报告》；中国证监会认定并公示了一批投资者教育基地。</w:t>
      </w:r>
      <w:r>
        <w:rPr>
          <w:rFonts w:ascii="宋体" w:hAnsi="宋体" w:eastAsia="宋体"/>
          <w:b/>
          <w:i w:val="0"/>
          <w:color w:val="1A1A1A"/>
          <w:sz w:val="24"/>
        </w:rPr>
        <w:t>政策方向是明确且自上而下的：投资者教育与投资者保护属于被鼓励、被要求、并配有实施主体的领域。</w:t>
      </w:r>
      <w:r>
        <w:rPr>
          <w:rFonts w:ascii="宋体" w:hAnsi="宋体" w:eastAsia="宋体"/>
          <w:b w:val="0"/>
          <w:i w:val="0"/>
          <w:color w:val="1A1A1A"/>
          <w:sz w:val="24"/>
        </w:rPr>
        <w:t xml:space="preserve"> 但既有研究与政策工具的落点，主要在「供给知识」与「规范机构行为」，尚未系统性地覆盖「对用户手上的单条内容作即时合规判断」这一环。</w:t>
      </w:r>
    </w:p>
    <w:p>
      <w:pPr>
        <w:keepNext w:val="0"/>
        <w:spacing w:before="0" w:after="60" w:line="360" w:lineRule="auto"/>
        <w:ind w:firstLine="480"/>
        <w:jc w:val="both"/>
      </w:pPr>
      <w:r>
        <w:rPr>
          <w:rFonts w:ascii="宋体" w:hAnsi="宋体" w:eastAsia="宋体"/>
          <w:b/>
          <w:i w:val="0"/>
          <w:color w:val="1A1A1A"/>
          <w:sz w:val="24"/>
        </w:rPr>
        <w:t>（2）产品层面，现有方案可归为三类，各有明确边界。</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149"/>
            <w:shd w:fill="F2F2F2"/>
          </w:tcPr>
          <w:p>
            <w:pPr>
              <w:spacing w:after="20" w:before="20" w:line="276" w:lineRule="auto"/>
              <w:jc w:val="center"/>
            </w:pPr>
            <w:r/>
            <w:r>
              <w:rPr>
                <w:rFonts w:ascii="黑体" w:hAnsi="黑体" w:eastAsia="黑体"/>
                <w:b/>
                <w:i w:val="0"/>
                <w:color w:val="000000"/>
                <w:sz w:val="19"/>
              </w:rPr>
              <w:t>类别</w:t>
            </w:r>
          </w:p>
        </w:tc>
        <w:tc>
          <w:tcPr>
            <w:tcW w:type="dxa" w:w="1992"/>
            <w:shd w:fill="F2F2F2"/>
          </w:tcPr>
          <w:p>
            <w:pPr>
              <w:spacing w:after="20" w:before="20" w:line="276" w:lineRule="auto"/>
              <w:jc w:val="center"/>
            </w:pPr>
            <w:r/>
            <w:r>
              <w:rPr>
                <w:rFonts w:ascii="黑体" w:hAnsi="黑体" w:eastAsia="黑体"/>
                <w:b/>
                <w:i w:val="0"/>
                <w:color w:val="000000"/>
                <w:sz w:val="19"/>
              </w:rPr>
              <w:t>代表形态</w:t>
            </w:r>
          </w:p>
        </w:tc>
        <w:tc>
          <w:tcPr>
            <w:tcW w:type="dxa" w:w="2452"/>
            <w:shd w:fill="F2F2F2"/>
          </w:tcPr>
          <w:p>
            <w:pPr>
              <w:spacing w:after="20" w:before="20" w:line="276" w:lineRule="auto"/>
              <w:jc w:val="center"/>
            </w:pPr>
            <w:r/>
            <w:r>
              <w:rPr>
                <w:rFonts w:ascii="黑体" w:hAnsi="黑体" w:eastAsia="黑体"/>
                <w:b/>
                <w:i w:val="0"/>
                <w:color w:val="000000"/>
                <w:sz w:val="19"/>
              </w:rPr>
              <w:t>作用层</w:t>
            </w:r>
          </w:p>
        </w:tc>
        <w:tc>
          <w:tcPr>
            <w:tcW w:type="dxa" w:w="1532"/>
            <w:shd w:fill="F2F2F2"/>
          </w:tcPr>
          <w:p>
            <w:pPr>
              <w:spacing w:after="20" w:before="20" w:line="276" w:lineRule="auto"/>
              <w:jc w:val="center"/>
            </w:pPr>
            <w:r/>
            <w:r>
              <w:rPr>
                <w:rFonts w:ascii="黑体" w:hAnsi="黑体" w:eastAsia="黑体"/>
                <w:b/>
                <w:i w:val="0"/>
                <w:color w:val="000000"/>
                <w:sz w:val="19"/>
              </w:rPr>
              <w:t>面对的对象</w:t>
            </w:r>
          </w:p>
        </w:tc>
        <w:tc>
          <w:tcPr>
            <w:tcW w:type="dxa" w:w="1379"/>
            <w:shd w:fill="F2F2F2"/>
          </w:tcPr>
          <w:p>
            <w:pPr>
              <w:spacing w:after="20" w:before="20" w:line="276" w:lineRule="auto"/>
              <w:jc w:val="center"/>
            </w:pPr>
            <w:r/>
            <w:r>
              <w:rPr>
                <w:rFonts w:ascii="黑体" w:hAnsi="黑体" w:eastAsia="黑体"/>
                <w:b/>
                <w:i w:val="0"/>
                <w:color w:val="000000"/>
                <w:sz w:val="19"/>
              </w:rPr>
              <w:t>能否处理一张群聊截图</w:t>
            </w:r>
          </w:p>
        </w:tc>
      </w:tr>
      <w:tr>
        <w:tc>
          <w:tcPr>
            <w:tcW w:type="dxa" w:w="1149"/>
          </w:tcPr>
          <w:p>
            <w:pPr>
              <w:spacing w:after="20" w:before="20" w:line="276" w:lineRule="auto"/>
            </w:pPr>
            <w:r/>
            <w:r>
              <w:rPr>
                <w:rFonts w:ascii="宋体" w:hAnsi="宋体" w:eastAsia="宋体"/>
                <w:b w:val="0"/>
                <w:i w:val="0"/>
                <w:color w:val="1A1A1A"/>
                <w:sz w:val="19"/>
              </w:rPr>
              <w:t>反诈类应用</w:t>
            </w:r>
          </w:p>
        </w:tc>
        <w:tc>
          <w:tcPr>
            <w:tcW w:type="dxa" w:w="1992"/>
          </w:tcPr>
          <w:p>
            <w:pPr>
              <w:spacing w:after="20" w:before="20" w:line="276" w:lineRule="auto"/>
            </w:pPr>
            <w:r/>
            <w:r>
              <w:rPr>
                <w:rFonts w:ascii="宋体" w:hAnsi="宋体" w:eastAsia="宋体"/>
                <w:b w:val="0"/>
                <w:i w:val="0"/>
                <w:color w:val="1A1A1A"/>
                <w:sz w:val="19"/>
              </w:rPr>
              <w:t>国家反诈中心 App 等</w:t>
            </w:r>
          </w:p>
        </w:tc>
        <w:tc>
          <w:tcPr>
            <w:tcW w:type="dxa" w:w="2452"/>
          </w:tcPr>
          <w:p>
            <w:pPr>
              <w:spacing w:after="20" w:before="20" w:line="276" w:lineRule="auto"/>
            </w:pPr>
            <w:r/>
            <w:r>
              <w:rPr>
                <w:rFonts w:ascii="宋体" w:hAnsi="宋体" w:eastAsia="宋体"/>
                <w:b w:val="0"/>
                <w:i w:val="0"/>
                <w:color w:val="1A1A1A"/>
                <w:sz w:val="19"/>
              </w:rPr>
              <w:t>通讯与交易层：涉诈号码、短信、App 黑名单、转账预警</w:t>
            </w:r>
          </w:p>
        </w:tc>
        <w:tc>
          <w:tcPr>
            <w:tcW w:type="dxa" w:w="1532"/>
          </w:tcPr>
          <w:p>
            <w:pPr>
              <w:spacing w:after="20" w:before="20" w:line="276" w:lineRule="auto"/>
            </w:pPr>
            <w:r/>
            <w:r>
              <w:rPr>
                <w:rFonts w:ascii="宋体" w:hAnsi="宋体" w:eastAsia="宋体"/>
                <w:b w:val="0"/>
                <w:i w:val="0"/>
                <w:color w:val="1A1A1A"/>
                <w:sz w:val="19"/>
              </w:rPr>
              <w:t>已经发生的接触行为</w:t>
            </w:r>
          </w:p>
        </w:tc>
        <w:tc>
          <w:tcPr>
            <w:tcW w:type="dxa" w:w="1379"/>
          </w:tcPr>
          <w:p>
            <w:pPr>
              <w:spacing w:after="20" w:before="20" w:line="276" w:lineRule="auto"/>
            </w:pPr>
            <w:r/>
            <w:r>
              <w:rPr>
                <w:rFonts w:ascii="宋体" w:hAnsi="宋体" w:eastAsia="宋体"/>
                <w:b w:val="0"/>
                <w:i w:val="0"/>
                <w:color w:val="1A1A1A"/>
                <w:sz w:val="19"/>
              </w:rPr>
              <w:t>不能</w:t>
            </w:r>
          </w:p>
        </w:tc>
      </w:tr>
      <w:tr>
        <w:tc>
          <w:tcPr>
            <w:tcW w:type="dxa" w:w="1149"/>
          </w:tcPr>
          <w:p>
            <w:pPr>
              <w:spacing w:after="20" w:before="20" w:line="276" w:lineRule="auto"/>
            </w:pPr>
            <w:r/>
            <w:r>
              <w:rPr>
                <w:rFonts w:ascii="宋体" w:hAnsi="宋体" w:eastAsia="宋体"/>
                <w:b w:val="0"/>
                <w:i w:val="0"/>
                <w:color w:val="1A1A1A"/>
                <w:sz w:val="19"/>
              </w:rPr>
              <w:t>投教类平台</w:t>
            </w:r>
          </w:p>
        </w:tc>
        <w:tc>
          <w:tcPr>
            <w:tcW w:type="dxa" w:w="1992"/>
          </w:tcPr>
          <w:p>
            <w:pPr>
              <w:spacing w:after="20" w:before="20" w:line="276" w:lineRule="auto"/>
            </w:pPr>
            <w:r/>
            <w:r>
              <w:rPr>
                <w:rFonts w:ascii="宋体" w:hAnsi="宋体" w:eastAsia="宋体"/>
                <w:b w:val="0"/>
                <w:i w:val="0"/>
                <w:color w:val="1A1A1A"/>
                <w:sz w:val="19"/>
              </w:rPr>
              <w:t>监管认定的投资者教育基地、机构投教频道、知识类自媒体</w:t>
            </w:r>
          </w:p>
        </w:tc>
        <w:tc>
          <w:tcPr>
            <w:tcW w:type="dxa" w:w="2452"/>
          </w:tcPr>
          <w:p>
            <w:pPr>
              <w:spacing w:after="20" w:before="20" w:line="276" w:lineRule="auto"/>
            </w:pPr>
            <w:r/>
            <w:r>
              <w:rPr>
                <w:rFonts w:ascii="宋体" w:hAnsi="宋体" w:eastAsia="宋体"/>
                <w:b w:val="0"/>
                <w:i w:val="0"/>
                <w:color w:val="1A1A1A"/>
                <w:sz w:val="19"/>
              </w:rPr>
              <w:t>知识供给层</w:t>
            </w:r>
          </w:p>
        </w:tc>
        <w:tc>
          <w:tcPr>
            <w:tcW w:type="dxa" w:w="1532"/>
          </w:tcPr>
          <w:p>
            <w:pPr>
              <w:spacing w:after="20" w:before="20" w:line="276" w:lineRule="auto"/>
            </w:pPr>
            <w:r/>
            <w:r>
              <w:rPr>
                <w:rFonts w:ascii="宋体" w:hAnsi="宋体" w:eastAsia="宋体"/>
                <w:b w:val="0"/>
                <w:i w:val="0"/>
                <w:color w:val="1A1A1A"/>
                <w:sz w:val="19"/>
              </w:rPr>
              <w:t>愿意主动学习的人</w:t>
            </w:r>
          </w:p>
        </w:tc>
        <w:tc>
          <w:tcPr>
            <w:tcW w:type="dxa" w:w="1379"/>
          </w:tcPr>
          <w:p>
            <w:pPr>
              <w:spacing w:after="20" w:before="20" w:line="276" w:lineRule="auto"/>
            </w:pPr>
            <w:r/>
            <w:r>
              <w:rPr>
                <w:rFonts w:ascii="宋体" w:hAnsi="宋体" w:eastAsia="宋体"/>
                <w:b w:val="0"/>
                <w:i w:val="0"/>
                <w:color w:val="1A1A1A"/>
                <w:sz w:val="19"/>
              </w:rPr>
              <w:t>不能</w:t>
            </w:r>
          </w:p>
        </w:tc>
      </w:tr>
      <w:tr>
        <w:tc>
          <w:tcPr>
            <w:tcW w:type="dxa" w:w="1149"/>
          </w:tcPr>
          <w:p>
            <w:pPr>
              <w:spacing w:after="20" w:before="20" w:line="276" w:lineRule="auto"/>
            </w:pPr>
            <w:r/>
            <w:r>
              <w:rPr>
                <w:rFonts w:ascii="宋体" w:hAnsi="宋体" w:eastAsia="宋体"/>
                <w:b w:val="0"/>
                <w:i w:val="0"/>
                <w:color w:val="1A1A1A"/>
                <w:sz w:val="19"/>
              </w:rPr>
              <w:t>AI 投顾助手</w:t>
            </w:r>
          </w:p>
        </w:tc>
        <w:tc>
          <w:tcPr>
            <w:tcW w:type="dxa" w:w="1992"/>
          </w:tcPr>
          <w:p>
            <w:pPr>
              <w:spacing w:after="20" w:before="20" w:line="276" w:lineRule="auto"/>
            </w:pPr>
            <w:r/>
            <w:r>
              <w:rPr>
                <w:rFonts w:ascii="宋体" w:hAnsi="宋体" w:eastAsia="宋体"/>
                <w:b w:val="0"/>
                <w:i w:val="0"/>
                <w:color w:val="1A1A1A"/>
                <w:sz w:val="19"/>
              </w:rPr>
              <w:t>各类「AI 荐股 / 荐基 / 买卖信号」工具</w:t>
            </w:r>
          </w:p>
        </w:tc>
        <w:tc>
          <w:tcPr>
            <w:tcW w:type="dxa" w:w="2452"/>
          </w:tcPr>
          <w:p>
            <w:pPr>
              <w:spacing w:after="20" w:before="20" w:line="276" w:lineRule="auto"/>
            </w:pPr>
            <w:r/>
            <w:r>
              <w:rPr>
                <w:rFonts w:ascii="宋体" w:hAnsi="宋体" w:eastAsia="宋体"/>
                <w:b w:val="0"/>
                <w:i w:val="0"/>
                <w:color w:val="1A1A1A"/>
                <w:sz w:val="19"/>
              </w:rPr>
              <w:t>决策建议层</w:t>
            </w:r>
          </w:p>
        </w:tc>
        <w:tc>
          <w:tcPr>
            <w:tcW w:type="dxa" w:w="1532"/>
          </w:tcPr>
          <w:p>
            <w:pPr>
              <w:spacing w:after="20" w:before="20" w:line="276" w:lineRule="auto"/>
            </w:pPr>
            <w:r/>
            <w:r>
              <w:rPr>
                <w:rFonts w:ascii="宋体" w:hAnsi="宋体" w:eastAsia="宋体"/>
                <w:b w:val="0"/>
                <w:i w:val="0"/>
                <w:color w:val="1A1A1A"/>
                <w:sz w:val="19"/>
              </w:rPr>
              <w:t>追求收益的活跃投资者</w:t>
            </w:r>
          </w:p>
        </w:tc>
        <w:tc>
          <w:tcPr>
            <w:tcW w:type="dxa" w:w="1379"/>
          </w:tcPr>
          <w:p>
            <w:pPr>
              <w:spacing w:after="20" w:before="20" w:line="276" w:lineRule="auto"/>
            </w:pPr>
            <w:r/>
            <w:r>
              <w:rPr>
                <w:rFonts w:ascii="宋体" w:hAnsi="宋体" w:eastAsia="宋体"/>
                <w:b w:val="0"/>
                <w:i w:val="0"/>
                <w:color w:val="1A1A1A"/>
                <w:sz w:val="19"/>
              </w:rPr>
              <w:t>不涉及；且荐股荐基须持牌</w:t>
            </w:r>
          </w:p>
        </w:tc>
      </w:tr>
      <w:tr>
        <w:tc>
          <w:tcPr>
            <w:tcW w:type="dxa" w:w="1149"/>
          </w:tcPr>
          <w:p>
            <w:pPr>
              <w:spacing w:after="20" w:before="20" w:line="276" w:lineRule="auto"/>
            </w:pPr>
            <w:r/>
            <w:r>
              <w:rPr>
                <w:rFonts w:ascii="宋体" w:hAnsi="宋体" w:eastAsia="宋体"/>
                <w:b/>
                <w:i w:val="0"/>
                <w:color w:val="1A1A1A"/>
                <w:sz w:val="19"/>
              </w:rPr>
              <w:t>财智通</w:t>
            </w:r>
          </w:p>
        </w:tc>
        <w:tc>
          <w:tcPr>
            <w:tcW w:type="dxa" w:w="1992"/>
          </w:tcPr>
          <w:p>
            <w:pPr>
              <w:spacing w:after="20" w:before="20" w:line="276" w:lineRule="auto"/>
            </w:pPr>
            <w:r/>
            <w:r>
              <w:rPr>
                <w:rFonts w:ascii="宋体" w:hAnsi="宋体" w:eastAsia="宋体"/>
                <w:b/>
                <w:i w:val="0"/>
                <w:color w:val="1A1A1A"/>
                <w:sz w:val="19"/>
              </w:rPr>
              <w:t>本项目</w:t>
            </w:r>
          </w:p>
        </w:tc>
        <w:tc>
          <w:tcPr>
            <w:tcW w:type="dxa" w:w="2452"/>
          </w:tcPr>
          <w:p>
            <w:pPr>
              <w:spacing w:after="20" w:before="20" w:line="276" w:lineRule="auto"/>
            </w:pPr>
            <w:r/>
            <w:r>
              <w:rPr>
                <w:rFonts w:ascii="宋体" w:hAnsi="宋体" w:eastAsia="宋体"/>
                <w:b/>
                <w:i w:val="0"/>
                <w:color w:val="1A1A1A"/>
                <w:sz w:val="19"/>
              </w:rPr>
              <w:t>内容与话术层的合规体检</w:t>
            </w:r>
          </w:p>
        </w:tc>
        <w:tc>
          <w:tcPr>
            <w:tcW w:type="dxa" w:w="1532"/>
          </w:tcPr>
          <w:p>
            <w:pPr>
              <w:spacing w:after="20" w:before="20" w:line="276" w:lineRule="auto"/>
            </w:pPr>
            <w:r/>
            <w:r>
              <w:rPr>
                <w:rFonts w:ascii="宋体" w:hAnsi="宋体" w:eastAsia="宋体"/>
                <w:b/>
                <w:i w:val="0"/>
                <w:color w:val="1A1A1A"/>
                <w:sz w:val="19"/>
              </w:rPr>
              <w:t>手里正拿着一张可疑广告的人</w:t>
            </w:r>
          </w:p>
        </w:tc>
        <w:tc>
          <w:tcPr>
            <w:tcW w:type="dxa" w:w="1379"/>
          </w:tcPr>
          <w:p>
            <w:pPr>
              <w:spacing w:after="20" w:before="20" w:line="276" w:lineRule="auto"/>
            </w:pPr>
            <w:r/>
            <w:r>
              <w:rPr>
                <w:rFonts w:ascii="宋体" w:hAnsi="宋体" w:eastAsia="宋体"/>
                <w:b/>
                <w:i w:val="0"/>
                <w:color w:val="1A1A1A"/>
                <w:sz w:val="19"/>
              </w:rPr>
              <w:t>能，并给出法规依据与核查指引</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1　现有方案的作用层与边界对比（依据各产品公开披露的功能范围）</w:t>
      </w:r>
    </w:p>
    <w:p>
      <w:pPr>
        <w:keepNext w:val="0"/>
        <w:spacing w:before="0" w:after="60" w:line="360" w:lineRule="auto"/>
        <w:ind w:firstLine="480"/>
        <w:jc w:val="both"/>
      </w:pPr>
      <w:r>
        <w:rPr>
          <w:rFonts w:ascii="宋体" w:hAnsi="宋体" w:eastAsia="宋体"/>
          <w:b/>
          <w:i w:val="0"/>
          <w:color w:val="1A1A1A"/>
          <w:sz w:val="24"/>
        </w:rPr>
        <w:t>（3）由此得到本项目的定位。</w:t>
      </w:r>
      <w:r>
        <w:rPr>
          <w:rFonts w:ascii="宋体" w:hAnsi="宋体" w:eastAsia="宋体"/>
          <w:b w:val="0"/>
          <w:i w:val="0"/>
          <w:color w:val="1A1A1A"/>
          <w:sz w:val="24"/>
        </w:rPr>
        <w:t xml:space="preserve"> 财智通与反诈类应用是互补关系而非替代关系：前者作用于内容，后者作用于通道。与投教类平台的分界线是「是否需要用户先有学习意愿」。与 AI 投顾类产品的分界线是合规属性——</w:t>
      </w:r>
      <w:r>
        <w:rPr>
          <w:rFonts w:ascii="宋体" w:hAnsi="宋体" w:eastAsia="宋体"/>
          <w:b/>
          <w:i w:val="0"/>
          <w:color w:val="1A1A1A"/>
          <w:sz w:val="24"/>
        </w:rPr>
        <w:t>我们不做需要牌照的事，因此我们能做的事，竞争者反而做不了。</w:t>
      </w:r>
    </w:p>
    <w:p>
      <w:pPr>
        <w:keepNext w:val="0"/>
        <w:spacing w:before="160" w:after="40" w:line="240" w:lineRule="auto"/>
        <w:jc w:val="center"/>
      </w:pPr>
      <w:r>
        <w:drawing>
          <wp:inline xmlns:a="http://schemas.openxmlformats.org/drawingml/2006/main" xmlns:pic="http://schemas.openxmlformats.org/drawingml/2006/picture">
            <wp:extent cx="5400000" cy="3048387"/>
            <wp:docPr id="4" name="Picture 4"/>
            <wp:cNvGraphicFramePr>
              <a:graphicFrameLocks noChangeAspect="1"/>
            </wp:cNvGraphicFramePr>
            <a:graphic>
              <a:graphicData uri="http://schemas.openxmlformats.org/drawingml/2006/picture">
                <pic:pic>
                  <pic:nvPicPr>
                    <pic:cNvPr id="0" name="fig9-竞品定位.png"/>
                    <pic:cNvPicPr/>
                  </pic:nvPicPr>
                  <pic:blipFill>
                    <a:blip r:embed="rId12"/>
                    <a:stretch>
                      <a:fillRect/>
                    </a:stretch>
                  </pic:blipFill>
                  <pic:spPr>
                    <a:xfrm>
                      <a:off x="0" y="0"/>
                      <a:ext cx="5400000" cy="3048387"/>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9　竞品定位：我们补的是「内容层 × 事前预防」这一格</w:t>
      </w:r>
    </w:p>
    <w:p>
      <w:pPr>
        <w:keepNext/>
        <w:spacing w:before="280" w:after="120" w:line="324" w:lineRule="auto"/>
        <w:jc w:val="left"/>
      </w:pPr>
      <w:r>
        <w:rPr>
          <w:rFonts w:ascii="黑体" w:hAnsi="黑体" w:eastAsia="黑体"/>
          <w:b/>
          <w:i w:val="0"/>
          <w:color w:val="000000"/>
          <w:sz w:val="27"/>
        </w:rPr>
        <w:t>4. 项目立项意义</w:t>
      </w:r>
    </w:p>
    <w:p>
      <w:pPr>
        <w:keepNext w:val="0"/>
        <w:spacing w:before="0" w:after="60" w:line="360" w:lineRule="auto"/>
        <w:ind w:firstLine="480"/>
        <w:jc w:val="both"/>
      </w:pPr>
      <w:r>
        <w:rPr>
          <w:rFonts w:ascii="宋体" w:hAnsi="宋体" w:eastAsia="宋体"/>
          <w:b/>
          <w:i w:val="0"/>
          <w:color w:val="1A1A1A"/>
          <w:sz w:val="24"/>
        </w:rPr>
        <w:t>第一，填补普惠金融教育的能力缺口，而非仅仅增加知识供给。</w:t>
      </w:r>
      <w:r>
        <w:rPr>
          <w:rFonts w:ascii="宋体" w:hAnsi="宋体" w:eastAsia="宋体"/>
          <w:b w:val="0"/>
          <w:i w:val="0"/>
          <w:color w:val="1A1A1A"/>
          <w:sz w:val="24"/>
        </w:rPr>
        <w:t xml:space="preserve"> 现有投教的瓶颈不在内容数量，而在触达时机。财智通把投教内容挂在「用户正在困惑的那一句话」上——用户查一个词、传一张图，教育就在那一刻发生。这使投教从「需要动机的主动学习」变成「零动机的被动获得」。</w:t>
      </w:r>
    </w:p>
    <w:p>
      <w:pPr>
        <w:keepNext w:val="0"/>
        <w:spacing w:before="0" w:after="60" w:line="360" w:lineRule="auto"/>
        <w:ind w:firstLine="480"/>
        <w:jc w:val="both"/>
      </w:pPr>
      <w:r>
        <w:rPr>
          <w:rFonts w:ascii="宋体" w:hAnsi="宋体" w:eastAsia="宋体"/>
          <w:b/>
          <w:i w:val="0"/>
          <w:color w:val="1A1A1A"/>
          <w:sz w:val="24"/>
        </w:rPr>
        <w:t>第二，直接服务于全民金融素养的实质提升。</w:t>
      </w:r>
      <w:r>
        <w:rPr>
          <w:rFonts w:ascii="宋体" w:hAnsi="宋体" w:eastAsia="宋体"/>
          <w:b w:val="0"/>
          <w:i w:val="0"/>
          <w:color w:val="1A1A1A"/>
          <w:sz w:val="24"/>
        </w:rPr>
        <w:t xml:space="preserve"> 产品把三件事绑在一条链路上：先识别眼前这条内容的风险，再解释其中不懂的术语，最后建立自己的规划框架。用户每完成一次识别，都会同时获得一次概念解释和一条可复用的判断口诀（例如「承诺保本又高息，一定是陷阱；让你加微信私聊的，一定别信」）。</w:t>
      </w:r>
      <w:r>
        <w:rPr>
          <w:rFonts w:ascii="宋体" w:hAnsi="宋体" w:eastAsia="宋体"/>
          <w:b/>
          <w:i w:val="0"/>
          <w:color w:val="1A1A1A"/>
          <w:sz w:val="24"/>
        </w:rPr>
        <w:t>素养的提升是识别行为的副产品，而不是需要额外投入时间的负担。</w:t>
      </w:r>
    </w:p>
    <w:p>
      <w:pPr>
        <w:keepNext w:val="0"/>
        <w:spacing w:before="0" w:after="60" w:line="360" w:lineRule="auto"/>
        <w:ind w:firstLine="480"/>
        <w:jc w:val="both"/>
      </w:pPr>
      <w:r>
        <w:rPr>
          <w:rFonts w:ascii="宋体" w:hAnsi="宋体" w:eastAsia="宋体"/>
          <w:b/>
          <w:i w:val="0"/>
          <w:color w:val="1A1A1A"/>
          <w:sz w:val="24"/>
        </w:rPr>
        <w:t>第三，保障居民财产安全，且干预窗口客观存在。</w:t>
      </w:r>
      <w:r>
        <w:rPr>
          <w:rFonts w:ascii="宋体" w:hAnsi="宋体" w:eastAsia="宋体"/>
          <w:b w:val="0"/>
          <w:i w:val="0"/>
          <w:color w:val="1A1A1A"/>
          <w:sz w:val="24"/>
        </w:rPr>
        <w:t xml:space="preserve"> 北京市公安局的数据显示，此类案件从首次接触到报警平均历时 36.7 天。这意味着骗局的推进是一个可被打断的过程。我们的骗局剧本功能会明确预告「接下来对方会让你先小额提现尝到甜头」——这是一个</w:t>
      </w:r>
      <w:r>
        <w:rPr>
          <w:rFonts w:ascii="宋体" w:hAnsi="宋体" w:eastAsia="宋体"/>
          <w:b/>
          <w:i w:val="0"/>
          <w:color w:val="1A1A1A"/>
          <w:sz w:val="24"/>
        </w:rPr>
        <w:t>可被用户自己验证的预测</w:t>
      </w:r>
      <w:r>
        <w:rPr>
          <w:rFonts w:ascii="宋体" w:hAnsi="宋体" w:eastAsia="宋体"/>
          <w:b w:val="0"/>
          <w:i w:val="0"/>
          <w:color w:val="1A1A1A"/>
          <w:sz w:val="24"/>
        </w:rPr>
        <w:t>，用户不需要相信我们，只需要等着看对不对，而每一步被印证，都在加强他退出的决心。</w:t>
      </w:r>
    </w:p>
    <w:p>
      <w:pPr>
        <w:keepNext w:val="0"/>
        <w:spacing w:before="160" w:after="40" w:line="240" w:lineRule="auto"/>
        <w:jc w:val="center"/>
      </w:pPr>
      <w:r>
        <w:drawing>
          <wp:inline xmlns:a="http://schemas.openxmlformats.org/drawingml/2006/main" xmlns:pic="http://schemas.openxmlformats.org/drawingml/2006/picture">
            <wp:extent cx="5400000" cy="2109375"/>
            <wp:docPr id="5" name="Picture 5"/>
            <wp:cNvGraphicFramePr>
              <a:graphicFrameLocks noChangeAspect="1"/>
            </wp:cNvGraphicFramePr>
            <a:graphic>
              <a:graphicData uri="http://schemas.openxmlformats.org/drawingml/2006/picture">
                <pic:pic>
                  <pic:nvPicPr>
                    <pic:cNvPr id="0" name="fig4-窗口期.png"/>
                    <pic:cNvPicPr/>
                  </pic:nvPicPr>
                  <pic:blipFill>
                    <a:blip r:embed="rId13"/>
                    <a:stretch>
                      <a:fillRect/>
                    </a:stretch>
                  </pic:blipFill>
                  <pic:spPr>
                    <a:xfrm>
                      <a:off x="0" y="0"/>
                      <a:ext cx="5400000" cy="2109375"/>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4　从首次接触到报警平均 36.7 天：可介入的窗口期（数据来源：北京市公安局 2025-10-28）</w:t>
      </w:r>
    </w:p>
    <w:p>
      <w:pPr>
        <w:keepNext w:val="0"/>
        <w:spacing w:before="0" w:after="60" w:line="360" w:lineRule="auto"/>
        <w:ind w:firstLine="480"/>
        <w:jc w:val="both"/>
      </w:pPr>
      <w:r>
        <w:rPr>
          <w:rFonts w:ascii="宋体" w:hAnsi="宋体" w:eastAsia="宋体"/>
          <w:b/>
          <w:i w:val="0"/>
          <w:color w:val="1A1A1A"/>
          <w:sz w:val="24"/>
        </w:rPr>
        <w:t>第四，承接监管明确要求、且有真实预算科目的社会职能。</w:t>
      </w:r>
      <w:r>
        <w:rPr>
          <w:rFonts w:ascii="宋体" w:hAnsi="宋体" w:eastAsia="宋体"/>
          <w:b w:val="0"/>
          <w:i w:val="0"/>
          <w:color w:val="1A1A1A"/>
          <w:sz w:val="24"/>
        </w:rPr>
        <w:t xml:space="preserve"> 投资者适当性管理与投资者教育是金融机构的监管硬性义务；反非法金融活动宣传是各级政府自上而下推动的工作。我们不是去创造一个新需求，而是去替代现有的低效手段——发传单、贴海报、开讲座。</w:t>
      </w:r>
      <w:r>
        <w:rPr>
          <w:rFonts w:ascii="宋体" w:hAnsi="宋体" w:eastAsia="宋体"/>
          <w:b/>
          <w:i w:val="0"/>
          <w:color w:val="1A1A1A"/>
          <w:sz w:val="24"/>
        </w:rPr>
        <w:t>这既是社会价值，也是本项目商业模式成立的基础。</w:t>
      </w:r>
    </w:p>
    <w:p>
      <w:r>
        <w:br w:type="page"/>
      </w:r>
    </w:p>
    <w:p>
      <w:pPr>
        <w:keepNext/>
        <w:spacing w:before="400" w:after="200" w:line="324" w:lineRule="auto"/>
        <w:jc w:val="left"/>
      </w:pPr>
      <w:r>
        <w:rPr>
          <w:rFonts w:ascii="黑体" w:hAnsi="黑体" w:eastAsia="黑体"/>
          <w:b/>
          <w:i w:val="0"/>
          <w:color w:val="000000"/>
          <w:sz w:val="32"/>
        </w:rPr>
        <w:t>五、产品功能与演示说明</w:t>
      </w:r>
    </w:p>
    <w:p>
      <w:pPr>
        <w:keepNext/>
        <w:spacing w:before="280" w:after="120" w:line="324" w:lineRule="auto"/>
        <w:jc w:val="left"/>
      </w:pPr>
      <w:r>
        <w:rPr>
          <w:rFonts w:ascii="黑体" w:hAnsi="黑体" w:eastAsia="黑体"/>
          <w:b/>
          <w:i w:val="0"/>
          <w:color w:val="000000"/>
          <w:sz w:val="27"/>
        </w:rPr>
        <w:t>1. 核心功能完整介绍</w:t>
      </w:r>
    </w:p>
    <w:p>
      <w:pPr>
        <w:keepNext w:val="0"/>
        <w:spacing w:before="0" w:after="60" w:line="360" w:lineRule="auto"/>
        <w:ind w:firstLine="480"/>
        <w:jc w:val="both"/>
      </w:pPr>
      <w:r>
        <w:rPr>
          <w:rFonts w:ascii="宋体" w:hAnsi="宋体" w:eastAsia="宋体"/>
          <w:b w:val="0"/>
          <w:i w:val="0"/>
          <w:color w:val="1A1A1A"/>
          <w:sz w:val="24"/>
        </w:rPr>
        <w:t>产品由三大基本功能构成，外加一层贯穿全站的共享用户档案。三个功能的排列顺序即价值主张：</w:t>
      </w:r>
      <w:r>
        <w:rPr>
          <w:rFonts w:ascii="宋体" w:hAnsi="宋体" w:eastAsia="宋体"/>
          <w:b/>
          <w:i w:val="0"/>
          <w:color w:val="1A1A1A"/>
          <w:sz w:val="24"/>
        </w:rPr>
        <w:t>先别被骗 → 再看得懂 → 才敢规划。</w:t>
      </w:r>
      <w:r>
        <w:rPr>
          <w:rFonts w:ascii="宋体" w:hAnsi="宋体" w:eastAsia="宋体"/>
          <w:b w:val="0"/>
          <w:i w:val="0"/>
          <w:color w:val="1A1A1A"/>
          <w:sz w:val="24"/>
        </w:rPr>
        <w:t xml:space="preserve"> 防骗被放在最前面，这不是导航栏的排版结果，而是产品对「小白的第一笔亏损往往不是投资失败，而是被骗」这一判断的贯彻。</w:t>
      </w:r>
    </w:p>
    <w:p>
      <w:pPr>
        <w:keepNext/>
        <w:spacing w:before="200" w:after="80" w:line="324" w:lineRule="auto"/>
        <w:jc w:val="left"/>
      </w:pPr>
      <w:r>
        <w:rPr>
          <w:rFonts w:ascii="黑体" w:hAnsi="黑体" w:eastAsia="黑体"/>
          <w:b/>
          <w:i w:val="0"/>
          <w:color w:val="000000"/>
          <w:sz w:val="24"/>
        </w:rPr>
        <w:t>1.1　广告 / 金融术语识别与翻译——在掌握金融黑话的同时精准识别风险</w:t>
      </w:r>
    </w:p>
    <w:p>
      <w:pPr>
        <w:keepNext w:val="0"/>
        <w:spacing w:before="0" w:after="60" w:line="360" w:lineRule="auto"/>
        <w:ind w:firstLine="480"/>
        <w:jc w:val="both"/>
      </w:pPr>
      <w:r>
        <w:rPr>
          <w:rFonts w:ascii="宋体" w:hAnsi="宋体" w:eastAsia="宋体"/>
          <w:b w:val="0"/>
          <w:i w:val="0"/>
          <w:color w:val="1A1A1A"/>
          <w:sz w:val="24"/>
        </w:rPr>
        <w:t>这是产品的王牌功能，也是差异化所在。入口只有一个输入框，用户可以粘贴文字、上传截图，或者只输入一个看不懂的词。系统提供两种模式：</w:t>
      </w:r>
      <w:r>
        <w:rPr>
          <w:rFonts w:ascii="宋体" w:hAnsi="宋体" w:eastAsia="宋体"/>
          <w:b/>
          <w:i w:val="0"/>
          <w:color w:val="1A1A1A"/>
          <w:sz w:val="24"/>
        </w:rPr>
        <w:t>「只翻成人话」</w:t>
      </w:r>
      <w:r>
        <w:rPr>
          <w:rFonts w:ascii="宋体" w:hAnsi="宋体" w:eastAsia="宋体"/>
          <w:b w:val="0"/>
          <w:i w:val="0"/>
          <w:color w:val="1A1A1A"/>
          <w:sz w:val="24"/>
        </w:rPr>
        <w:t>（纯翻译，不作任何评价）与</w:t>
      </w:r>
      <w:r>
        <w:rPr>
          <w:rFonts w:ascii="宋体" w:hAnsi="宋体" w:eastAsia="宋体"/>
          <w:b/>
          <w:i w:val="0"/>
          <w:color w:val="1A1A1A"/>
          <w:sz w:val="24"/>
        </w:rPr>
        <w:t>「翻译 + 风险体检」</w:t>
      </w:r>
      <w:r>
        <w:rPr>
          <w:rFonts w:ascii="宋体" w:hAnsi="宋体" w:eastAsia="宋体"/>
          <w:b w:val="0"/>
          <w:i w:val="0"/>
          <w:color w:val="1A1A1A"/>
          <w:sz w:val="24"/>
        </w:rPr>
        <w:t>（默认模式，翻译后再逐条比对合规风险）。</w:t>
      </w:r>
    </w:p>
    <w:p>
      <w:pPr>
        <w:keepNext w:val="0"/>
        <w:spacing w:before="160" w:after="40" w:line="240" w:lineRule="auto"/>
        <w:jc w:val="center"/>
      </w:pPr>
      <w:r>
        <w:drawing>
          <wp:inline xmlns:a="http://schemas.openxmlformats.org/drawingml/2006/main" xmlns:pic="http://schemas.openxmlformats.org/drawingml/2006/picture">
            <wp:extent cx="5400000" cy="3290625"/>
            <wp:docPr id="6" name="Picture 6"/>
            <wp:cNvGraphicFramePr>
              <a:graphicFrameLocks noChangeAspect="1"/>
            </wp:cNvGraphicFramePr>
            <a:graphic>
              <a:graphicData uri="http://schemas.openxmlformats.org/drawingml/2006/picture">
                <pic:pic>
                  <pic:nvPicPr>
                    <pic:cNvPr id="0" name="x-识别首屏.png"/>
                    <pic:cNvPicPr/>
                  </pic:nvPicPr>
                  <pic:blipFill>
                    <a:blip r:embed="rId14"/>
                    <a:stretch>
                      <a:fillRect/>
                    </a:stretch>
                  </pic:blipFill>
                  <pic:spPr>
                    <a:xfrm>
                      <a:off x="0" y="0"/>
                      <a:ext cx="5400000" cy="3290625"/>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10　识别与翻译首屏：一个输入框承接截图、文字与单个术语三种输入</w:t>
      </w:r>
    </w:p>
    <w:p>
      <w:pPr>
        <w:keepNext w:val="0"/>
        <w:spacing w:before="0" w:after="60" w:line="360" w:lineRule="auto"/>
        <w:ind w:firstLine="480"/>
        <w:jc w:val="both"/>
      </w:pPr>
      <w:r>
        <w:rPr>
          <w:rFonts w:ascii="宋体" w:hAnsi="宋体" w:eastAsia="宋体"/>
          <w:b/>
          <w:i w:val="0"/>
          <w:color w:val="1A1A1A"/>
          <w:sz w:val="24"/>
        </w:rPr>
        <w:t>输出报告包含七个板块，每一个都对应一项确定的信息需求：</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人话版</w:t>
      </w:r>
      <w:r>
        <w:rPr>
          <w:rFonts w:ascii="宋体" w:hAnsi="宋体" w:eastAsia="宋体"/>
          <w:b w:val="0"/>
          <w:i w:val="0"/>
          <w:color w:val="1A1A1A"/>
          <w:sz w:val="23"/>
        </w:rPr>
        <w:t>——这段话到底在讲什么。只转述原文，不评价产品好不好、值不值得买。</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风险条目</w:t>
      </w:r>
      <w:r>
        <w:rPr>
          <w:rFonts w:ascii="宋体" w:hAnsi="宋体" w:eastAsia="宋体"/>
          <w:b w:val="0"/>
          <w:i w:val="0"/>
          <w:color w:val="1A1A1A"/>
          <w:sz w:val="23"/>
        </w:rPr>
        <w:t>——逐条列出命中的表述特征。每一条都携带「原文片段 + 前后文 + 特征类型 + 严重度 + 法规条文 + 大白话解释」，让用户不仅知道结论，还能自己复核依据。</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正规产品该有、但这里没有</w:t>
      </w:r>
      <w:r>
        <w:rPr>
          <w:rFonts w:ascii="宋体" w:hAnsi="宋体" w:eastAsia="宋体"/>
          <w:b w:val="0"/>
          <w:i w:val="0"/>
          <w:color w:val="1A1A1A"/>
          <w:sz w:val="23"/>
        </w:rPr>
        <w:t>——反向对照。风险提示语、产品风险等级（R1–R5）、管理人全称与产品编码、费率与期限披露，四项要素缺一即列出。这一板块往往比命中项更有说服力：</w:t>
      </w:r>
      <w:r>
        <w:rPr>
          <w:rFonts w:ascii="宋体" w:hAnsi="宋体" w:eastAsia="宋体"/>
          <w:b/>
          <w:i w:val="0"/>
          <w:color w:val="1A1A1A"/>
          <w:sz w:val="23"/>
        </w:rPr>
        <w:t>一个正规理财广告不可能不写风险提示。</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五维风险画像</w:t>
      </w:r>
      <w:r>
        <w:rPr>
          <w:rFonts w:ascii="宋体" w:hAnsi="宋体" w:eastAsia="宋体"/>
          <w:b w:val="0"/>
          <w:i w:val="0"/>
          <w:color w:val="1A1A1A"/>
          <w:sz w:val="23"/>
        </w:rPr>
        <w:t>——把散落的命中收敛为「收益承诺 / 资质可核验 / 渠道正规 / 紧迫压迫 / 情感操控」五个维度，回答「这份内容主要在哪几路上做手脚」。</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骗局剧本预测</w:t>
      </w:r>
      <w:r>
        <w:rPr>
          <w:rFonts w:ascii="宋体" w:hAnsi="宋体" w:eastAsia="宋体"/>
          <w:b w:val="0"/>
          <w:i w:val="0"/>
          <w:color w:val="1A1A1A"/>
          <w:sz w:val="23"/>
        </w:rPr>
        <w:t>——匹配骗局图鉴后，按时间顺序预告对方接下来的推进步骤。</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主动追问</w:t>
      </w:r>
      <w:r>
        <w:rPr>
          <w:rFonts w:ascii="宋体" w:hAnsi="宋体" w:eastAsia="宋体"/>
          <w:b w:val="0"/>
          <w:i w:val="0"/>
          <w:color w:val="1A1A1A"/>
          <w:sz w:val="23"/>
        </w:rPr>
        <w:t>——系统先判断自己缺什么信息，再决定问什么；信息足够时一个都不问。用户的回答会被拼回原文，</w:t>
      </w:r>
      <w:r>
        <w:rPr>
          <w:rFonts w:ascii="宋体" w:hAnsi="宋体" w:eastAsia="宋体"/>
          <w:b/>
          <w:i w:val="0"/>
          <w:color w:val="1A1A1A"/>
          <w:sz w:val="23"/>
        </w:rPr>
        <w:t>重新走一遍完整的六阶段分析</w:t>
      </w:r>
      <w:r>
        <w:rPr>
          <w:rFonts w:ascii="宋体" w:hAnsi="宋体" w:eastAsia="宋体"/>
          <w:b w:val="0"/>
          <w:i w:val="0"/>
          <w:color w:val="1A1A1A"/>
          <w:sz w:val="23"/>
        </w:rPr>
        <w:t>。</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现在该做什么</w:t>
      </w:r>
      <w:r>
        <w:rPr>
          <w:rFonts w:ascii="宋体" w:hAnsi="宋体" w:eastAsia="宋体"/>
          <w:b w:val="0"/>
          <w:i w:val="0"/>
          <w:color w:val="1A1A1A"/>
          <w:sz w:val="23"/>
        </w:rPr>
        <w:t>——按用户处境（还没转钱 / 已转账 / 提现受阻 / 借钱投资 / 被要求保密）重排的行动清单，附官方核查入口与报警渠道。</w:t>
      </w:r>
    </w:p>
    <w:p>
      <w:pPr>
        <w:keepNext w:val="0"/>
        <w:spacing w:before="160" w:after="40" w:line="240" w:lineRule="auto"/>
        <w:jc w:val="center"/>
      </w:pPr>
      <w:r>
        <w:drawing>
          <wp:inline xmlns:a="http://schemas.openxmlformats.org/drawingml/2006/main" xmlns:pic="http://schemas.openxmlformats.org/drawingml/2006/picture">
            <wp:extent cx="4680000" cy="4959783"/>
            <wp:docPr id="7" name="Picture 7"/>
            <wp:cNvGraphicFramePr>
              <a:graphicFrameLocks noChangeAspect="1"/>
            </wp:cNvGraphicFramePr>
            <a:graphic>
              <a:graphicData uri="http://schemas.openxmlformats.org/drawingml/2006/picture">
                <pic:pic>
                  <pic:nvPicPr>
                    <pic:cNvPr id="0" name="x-风险条目.png"/>
                    <pic:cNvPicPr/>
                  </pic:nvPicPr>
                  <pic:blipFill>
                    <a:blip r:embed="rId15"/>
                    <a:stretch>
                      <a:fillRect/>
                    </a:stretch>
                  </pic:blipFill>
                  <pic:spPr>
                    <a:xfrm>
                      <a:off x="0" y="0"/>
                      <a:ext cx="4680000" cy="4959783"/>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11　风险条目：每一条命中都附原文引用、大白话解释与法规条文出处（界面实拍）</w:t>
      </w:r>
    </w:p>
    <w:p>
      <w:pPr>
        <w:keepNext w:val="0"/>
        <w:spacing w:before="160" w:after="40" w:line="240" w:lineRule="auto"/>
        <w:jc w:val="center"/>
      </w:pPr>
      <w:r>
        <w:drawing>
          <wp:inline xmlns:a="http://schemas.openxmlformats.org/drawingml/2006/main" xmlns:pic="http://schemas.openxmlformats.org/drawingml/2006/picture">
            <wp:extent cx="4680000" cy="2263696"/>
            <wp:docPr id="8" name="Picture 8"/>
            <wp:cNvGraphicFramePr>
              <a:graphicFrameLocks noChangeAspect="1"/>
            </wp:cNvGraphicFramePr>
            <a:graphic>
              <a:graphicData uri="http://schemas.openxmlformats.org/drawingml/2006/picture">
                <pic:pic>
                  <pic:nvPicPr>
                    <pic:cNvPr id="0" name="04-五维画像.png"/>
                    <pic:cNvPicPr/>
                  </pic:nvPicPr>
                  <pic:blipFill>
                    <a:blip r:embed="rId16"/>
                    <a:stretch>
                      <a:fillRect/>
                    </a:stretch>
                  </pic:blipFill>
                  <pic:spPr>
                    <a:xfrm>
                      <a:off x="0" y="0"/>
                      <a:ext cx="4680000" cy="2263696"/>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12　五维风险画像：从「列举命中项」升级为「归纳出它主要在哪几路上做手脚」</w:t>
      </w:r>
    </w:p>
    <w:p>
      <w:pPr>
        <w:keepNext w:val="0"/>
        <w:spacing w:before="160" w:after="40" w:line="240" w:lineRule="auto"/>
        <w:jc w:val="center"/>
      </w:pPr>
      <w:r>
        <w:drawing>
          <wp:inline xmlns:a="http://schemas.openxmlformats.org/drawingml/2006/main" xmlns:pic="http://schemas.openxmlformats.org/drawingml/2006/picture">
            <wp:extent cx="4680000" cy="1933043"/>
            <wp:docPr id="9" name="Picture 9"/>
            <wp:cNvGraphicFramePr>
              <a:graphicFrameLocks noChangeAspect="1"/>
            </wp:cNvGraphicFramePr>
            <a:graphic>
              <a:graphicData uri="http://schemas.openxmlformats.org/drawingml/2006/picture">
                <pic:pic>
                  <pic:nvPicPr>
                    <pic:cNvPr id="0" name="05-骗局剧本.png"/>
                    <pic:cNvPicPr/>
                  </pic:nvPicPr>
                  <pic:blipFill>
                    <a:blip r:embed="rId17"/>
                    <a:stretch>
                      <a:fillRect/>
                    </a:stretch>
                  </pic:blipFill>
                  <pic:spPr>
                    <a:xfrm>
                      <a:off x="0" y="0"/>
                      <a:ext cx="4680000" cy="1933043"/>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13　骗局剧本预测：预告接下来会发生什么，用户可自行验证</w:t>
      </w:r>
    </w:p>
    <w:p>
      <w:pPr>
        <w:keepNext w:val="0"/>
        <w:spacing w:before="160" w:after="40" w:line="240" w:lineRule="auto"/>
        <w:jc w:val="center"/>
      </w:pPr>
      <w:r>
        <w:drawing>
          <wp:inline xmlns:a="http://schemas.openxmlformats.org/drawingml/2006/main" xmlns:pic="http://schemas.openxmlformats.org/drawingml/2006/picture">
            <wp:extent cx="4680000" cy="1437065"/>
            <wp:docPr id="10" name="Picture 10"/>
            <wp:cNvGraphicFramePr>
              <a:graphicFrameLocks noChangeAspect="1"/>
            </wp:cNvGraphicFramePr>
            <a:graphic>
              <a:graphicData uri="http://schemas.openxmlformats.org/drawingml/2006/picture">
                <pic:pic>
                  <pic:nvPicPr>
                    <pic:cNvPr id="0" name="06-主动追问.png"/>
                    <pic:cNvPicPr/>
                  </pic:nvPicPr>
                  <pic:blipFill>
                    <a:blip r:embed="rId18"/>
                    <a:stretch>
                      <a:fillRect/>
                    </a:stretch>
                  </pic:blipFill>
                  <pic:spPr>
                    <a:xfrm>
                      <a:off x="0" y="0"/>
                      <a:ext cx="4680000" cy="1437065"/>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14　主动追问：补充信息后重新走一遍完整分析，行动建议随处境重排</w:t>
      </w:r>
    </w:p>
    <w:p>
      <w:pPr>
        <w:keepNext w:val="0"/>
        <w:spacing w:before="0" w:after="60" w:line="360" w:lineRule="auto"/>
        <w:ind w:firstLine="480"/>
        <w:jc w:val="both"/>
      </w:pPr>
      <w:r>
        <w:rPr>
          <w:rFonts w:ascii="宋体" w:hAnsi="宋体" w:eastAsia="宋体"/>
          <w:b/>
          <w:i w:val="0"/>
          <w:color w:val="1A1A1A"/>
          <w:sz w:val="24"/>
        </w:rPr>
        <w:t>术语翻译是同一入口的低门槛旁路。</w:t>
      </w:r>
      <w:r>
        <w:rPr>
          <w:rFonts w:ascii="宋体" w:hAnsi="宋体" w:eastAsia="宋体"/>
          <w:b w:val="0"/>
          <w:i w:val="0"/>
          <w:color w:val="1A1A1A"/>
          <w:sz w:val="24"/>
        </w:rPr>
        <w:t xml:space="preserve"> 用户不必打整句，输入「年化」「封闭期」「业绩比较基准」这类单个词即可。首屏预置八个高频词，点击秒出结果，</w:t>
      </w:r>
      <w:r>
        <w:rPr>
          <w:rFonts w:ascii="宋体" w:hAnsi="宋体" w:eastAsia="宋体"/>
          <w:b/>
          <w:i w:val="0"/>
          <w:color w:val="1A1A1A"/>
          <w:sz w:val="24"/>
        </w:rPr>
        <w:t>不调用模型</w:t>
      </w:r>
      <w:r>
        <w:rPr>
          <w:rFonts w:ascii="宋体" w:hAnsi="宋体" w:eastAsia="宋体"/>
          <w:b w:val="0"/>
          <w:i w:val="0"/>
          <w:color w:val="1A1A1A"/>
          <w:sz w:val="24"/>
        </w:rPr>
        <w:t>——由本地 24 条术语表直接返回「大白话解释 + 最该注意的那一点」。这一设计保证了产品在任何网络条件下都有可用的核心功能。</w:t>
      </w:r>
    </w:p>
    <w:p>
      <w:pPr>
        <w:keepNext/>
        <w:spacing w:before="200" w:after="80" w:line="324" w:lineRule="auto"/>
        <w:jc w:val="left"/>
      </w:pPr>
      <w:r>
        <w:rPr>
          <w:rFonts w:ascii="黑体" w:hAnsi="黑体" w:eastAsia="黑体"/>
          <w:b/>
          <w:i w:val="0"/>
          <w:color w:val="000000"/>
          <w:sz w:val="24"/>
        </w:rPr>
        <w:t>1.2　题库与知识科普界面——用答题闯关与错题记录，把学习变轻</w:t>
      </w:r>
    </w:p>
    <w:p>
      <w:pPr>
        <w:keepNext w:val="0"/>
        <w:spacing w:before="0" w:after="60" w:line="360" w:lineRule="auto"/>
        <w:ind w:firstLine="480"/>
        <w:jc w:val="both"/>
      </w:pPr>
      <w:r>
        <w:rPr>
          <w:rFonts w:ascii="宋体" w:hAnsi="宋体" w:eastAsia="宋体"/>
          <w:b w:val="0"/>
          <w:i w:val="0"/>
          <w:color w:val="1A1A1A"/>
          <w:sz w:val="24"/>
        </w:rPr>
        <w:t>学习模块把知识供给组织成五个递进关卡，共 25 道题、满分 300 分：术语关（看懂产品页 / 算清成本）、反诈关（一句话里的破口 / 整段来判）、常识关（顺序比选择重要）。答错自动触发对应概念的定向微课，错题与薄弱术语写入用户档案，并影响其他模块的表达深度。</w:t>
      </w:r>
    </w:p>
    <w:p>
      <w:pPr>
        <w:keepNext w:val="0"/>
        <w:spacing w:before="160" w:after="40" w:line="240" w:lineRule="auto"/>
        <w:jc w:val="center"/>
      </w:pPr>
      <w:r>
        <w:drawing>
          <wp:inline xmlns:a="http://schemas.openxmlformats.org/drawingml/2006/main" xmlns:pic="http://schemas.openxmlformats.org/drawingml/2006/picture">
            <wp:extent cx="5400000" cy="3164062"/>
            <wp:docPr id="11" name="Picture 11"/>
            <wp:cNvGraphicFramePr>
              <a:graphicFrameLocks noChangeAspect="1"/>
            </wp:cNvGraphicFramePr>
            <a:graphic>
              <a:graphicData uri="http://schemas.openxmlformats.org/drawingml/2006/picture">
                <pic:pic>
                  <pic:nvPicPr>
                    <pic:cNvPr id="0" name="x-学习首屏.png"/>
                    <pic:cNvPicPr/>
                  </pic:nvPicPr>
                  <pic:blipFill>
                    <a:blip r:embed="rId19"/>
                    <a:stretch>
                      <a:fillRect/>
                    </a:stretch>
                  </pic:blipFill>
                  <pic:spPr>
                    <a:xfrm>
                      <a:off x="0" y="0"/>
                      <a:ext cx="5400000" cy="3164062"/>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15　学习模块：五个递进关卡、错题记录与定向微课</w:t>
      </w:r>
    </w:p>
    <w:p>
      <w:pPr>
        <w:keepNext w:val="0"/>
        <w:spacing w:before="0" w:after="60" w:line="360" w:lineRule="auto"/>
        <w:ind w:firstLine="480"/>
        <w:jc w:val="both"/>
      </w:pPr>
      <w:r>
        <w:rPr>
          <w:rFonts w:ascii="宋体" w:hAnsi="宋体" w:eastAsia="宋体"/>
          <w:b/>
          <w:i w:val="0"/>
          <w:color w:val="1A1A1A"/>
          <w:sz w:val="24"/>
        </w:rPr>
        <w:t>其中「骗局识别测试 · 你 vs 财智通」是这一模块的设计亮点。</w:t>
      </w:r>
      <w:r>
        <w:rPr>
          <w:rFonts w:ascii="宋体" w:hAnsi="宋体" w:eastAsia="宋体"/>
          <w:b w:val="0"/>
          <w:i w:val="0"/>
          <w:color w:val="1A1A1A"/>
          <w:sz w:val="24"/>
        </w:rPr>
        <w:t xml:space="preserve"> 系统给出五段仿真广告文案，先让用户自己判断有没有问题，再展示引擎的判定结果与依据，最后逐题对比。此处</w:t>
      </w:r>
      <w:r>
        <w:rPr>
          <w:rFonts w:ascii="宋体" w:hAnsi="宋体" w:eastAsia="宋体"/>
          <w:b/>
          <w:i w:val="0"/>
          <w:color w:val="1A1A1A"/>
          <w:sz w:val="24"/>
        </w:rPr>
        <w:t>刻意不预存判定结果</w:t>
      </w:r>
      <w:r>
        <w:rPr>
          <w:rFonts w:ascii="宋体" w:hAnsi="宋体" w:eastAsia="宋体"/>
          <w:b w:val="0"/>
          <w:i w:val="0"/>
          <w:color w:val="1A1A1A"/>
          <w:sz w:val="24"/>
        </w:rPr>
        <w:t>——用户提交后由服务端调用规则引擎实时判定，保证展示的是引擎的真实输出而非写死的答案。这种「先让你判、再告诉你为什么」的顺序，比单向灌输知识点有效得多。</w:t>
      </w:r>
    </w:p>
    <w:p>
      <w:pPr>
        <w:keepNext w:val="0"/>
        <w:spacing w:before="0" w:after="60" w:line="360" w:lineRule="auto"/>
        <w:ind w:firstLine="480"/>
        <w:jc w:val="both"/>
      </w:pPr>
      <w:r>
        <w:rPr>
          <w:rFonts w:ascii="宋体" w:hAnsi="宋体" w:eastAsia="宋体"/>
          <w:b w:val="0"/>
          <w:i w:val="0"/>
          <w:color w:val="1A1A1A"/>
          <w:sz w:val="24"/>
        </w:rPr>
        <w:t>配套的骗局图鉴收录 9 类套路、48 步推进剧本，每类写清三件事：</w:t>
      </w:r>
      <w:r>
        <w:rPr>
          <w:rFonts w:ascii="宋体" w:hAnsi="宋体" w:eastAsia="宋体"/>
          <w:b/>
          <w:i w:val="0"/>
          <w:color w:val="1A1A1A"/>
          <w:sz w:val="24"/>
        </w:rPr>
        <w:t>钱是怎么没的</w:t>
      </w:r>
      <w:r>
        <w:rPr>
          <w:rFonts w:ascii="宋体" w:hAnsi="宋体" w:eastAsia="宋体"/>
          <w:b w:val="0"/>
          <w:i w:val="0"/>
          <w:color w:val="1A1A1A"/>
          <w:sz w:val="24"/>
        </w:rPr>
        <w:t>（运作机制）、</w:t>
      </w:r>
      <w:r>
        <w:rPr>
          <w:rFonts w:ascii="宋体" w:hAnsi="宋体" w:eastAsia="宋体"/>
          <w:b/>
          <w:i w:val="0"/>
          <w:color w:val="1A1A1A"/>
          <w:sz w:val="24"/>
        </w:rPr>
        <w:t>推进剧本</w:t>
      </w:r>
      <w:r>
        <w:rPr>
          <w:rFonts w:ascii="宋体" w:hAnsi="宋体" w:eastAsia="宋体"/>
          <w:b w:val="0"/>
          <w:i w:val="0"/>
          <w:color w:val="1A1A1A"/>
          <w:sz w:val="24"/>
        </w:rPr>
        <w:t>（时间顺序）、</w:t>
      </w:r>
      <w:r>
        <w:rPr>
          <w:rFonts w:ascii="宋体" w:hAnsi="宋体" w:eastAsia="宋体"/>
          <w:b/>
          <w:i w:val="0"/>
          <w:color w:val="1A1A1A"/>
          <w:sz w:val="24"/>
        </w:rPr>
        <w:t>一句话口诀</w:t>
      </w:r>
      <w:r>
        <w:rPr>
          <w:rFonts w:ascii="宋体" w:hAnsi="宋体" w:eastAsia="宋体"/>
          <w:b w:val="0"/>
          <w:i w:val="0"/>
          <w:color w:val="1A1A1A"/>
          <w:sz w:val="24"/>
        </w:rPr>
        <w:t>（便于中老年用户记住）。报告页的剧本匹配结果可直接跳转到对应卡片。</w:t>
      </w:r>
    </w:p>
    <w:p>
      <w:pPr>
        <w:keepNext w:val="0"/>
        <w:spacing w:before="160" w:after="40" w:line="240" w:lineRule="auto"/>
        <w:jc w:val="center"/>
      </w:pPr>
      <w:r>
        <w:drawing>
          <wp:inline xmlns:a="http://schemas.openxmlformats.org/drawingml/2006/main" xmlns:pic="http://schemas.openxmlformats.org/drawingml/2006/picture">
            <wp:extent cx="5400000" cy="3164062"/>
            <wp:docPr id="12" name="Picture 12"/>
            <wp:cNvGraphicFramePr>
              <a:graphicFrameLocks noChangeAspect="1"/>
            </wp:cNvGraphicFramePr>
            <a:graphic>
              <a:graphicData uri="http://schemas.openxmlformats.org/drawingml/2006/picture">
                <pic:pic>
                  <pic:nvPicPr>
                    <pic:cNvPr id="0" name="x-骗局图鉴.png"/>
                    <pic:cNvPicPr/>
                  </pic:nvPicPr>
                  <pic:blipFill>
                    <a:blip r:embed="rId20"/>
                    <a:stretch>
                      <a:fillRect/>
                    </a:stretch>
                  </pic:blipFill>
                  <pic:spPr>
                    <a:xfrm>
                      <a:off x="0" y="0"/>
                      <a:ext cx="5400000" cy="3164062"/>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16　骗局图鉴：9 类套路的运作机制、推进剧本与识别口诀</w:t>
      </w:r>
    </w:p>
    <w:p>
      <w:pPr>
        <w:keepNext/>
        <w:spacing w:before="200" w:after="80" w:line="324" w:lineRule="auto"/>
        <w:jc w:val="left"/>
      </w:pPr>
      <w:r>
        <w:rPr>
          <w:rFonts w:ascii="黑体" w:hAnsi="黑体" w:eastAsia="黑体"/>
          <w:b/>
          <w:i w:val="0"/>
          <w:color w:val="000000"/>
          <w:sz w:val="24"/>
        </w:rPr>
        <w:t>1.3　规划师——从用户画像到理财思路，只讲品类不指向产品</w:t>
      </w:r>
    </w:p>
    <w:p>
      <w:pPr>
        <w:keepNext w:val="0"/>
        <w:spacing w:before="0" w:after="60" w:line="360" w:lineRule="auto"/>
        <w:ind w:firstLine="480"/>
        <w:jc w:val="both"/>
      </w:pPr>
      <w:r>
        <w:rPr>
          <w:rFonts w:ascii="宋体" w:hAnsi="宋体" w:eastAsia="宋体"/>
          <w:b w:val="0"/>
          <w:i w:val="0"/>
          <w:color w:val="1A1A1A"/>
          <w:sz w:val="24"/>
        </w:rPr>
        <w:t>规划师由四个环节串联：</w:t>
      </w:r>
      <w:r>
        <w:rPr>
          <w:rFonts w:ascii="宋体" w:hAnsi="宋体" w:eastAsia="宋体"/>
          <w:b/>
          <w:i w:val="0"/>
          <w:color w:val="1A1A1A"/>
          <w:sz w:val="24"/>
        </w:rPr>
        <w:t>自适应风险测评 → 矛盾发现 → 大类资产配置思路参考 → 目标可行性推演</w:t>
      </w:r>
      <w:r>
        <w:rPr>
          <w:rFonts w:ascii="宋体" w:hAnsi="宋体" w:eastAsia="宋体"/>
          <w:b w:val="0"/>
          <w:i w:val="0"/>
          <w:color w:val="1A1A1A"/>
          <w:sz w:val="24"/>
        </w:rPr>
        <w:t>，另配两个纯计算工具。</w:t>
      </w:r>
    </w:p>
    <w:p>
      <w:pPr>
        <w:keepNext w:val="0"/>
        <w:spacing w:before="0" w:after="60" w:line="360" w:lineRule="auto"/>
        <w:ind w:firstLine="480"/>
        <w:jc w:val="both"/>
      </w:pPr>
      <w:r>
        <w:rPr>
          <w:rFonts w:ascii="宋体" w:hAnsi="宋体" w:eastAsia="宋体"/>
          <w:b/>
          <w:i w:val="0"/>
          <w:color w:val="1A1A1A"/>
          <w:sz w:val="24"/>
        </w:rPr>
        <w:t>（1）自适应风险测评。</w:t>
      </w:r>
      <w:r>
        <w:rPr>
          <w:rFonts w:ascii="宋体" w:hAnsi="宋体" w:eastAsia="宋体"/>
          <w:b w:val="0"/>
          <w:i w:val="0"/>
          <w:color w:val="1A1A1A"/>
          <w:sz w:val="24"/>
        </w:rPr>
        <w:t xml:space="preserve"> 问卷不是固定表单，而是按已有回答动态选择下一题：退休金路径会追问养老金占比而跳过学生负债题，学生路径反之。测评输出风险类型与综合得分，写入共享档案。</w:t>
      </w:r>
    </w:p>
    <w:p>
      <w:pPr>
        <w:keepNext w:val="0"/>
        <w:spacing w:before="0" w:after="60" w:line="360" w:lineRule="auto"/>
        <w:ind w:firstLine="480"/>
        <w:jc w:val="both"/>
      </w:pPr>
      <w:r>
        <w:rPr>
          <w:rFonts w:ascii="宋体" w:hAnsi="宋体" w:eastAsia="宋体"/>
          <w:b/>
          <w:i w:val="0"/>
          <w:color w:val="1A1A1A"/>
          <w:sz w:val="24"/>
        </w:rPr>
        <w:t>（2）矛盾发现。</w:t>
      </w:r>
      <w:r>
        <w:rPr>
          <w:rFonts w:ascii="宋体" w:hAnsi="宋体" w:eastAsia="宋体"/>
          <w:b w:val="0"/>
          <w:i w:val="0"/>
          <w:color w:val="1A1A1A"/>
          <w:sz w:val="24"/>
        </w:rPr>
        <w:t xml:space="preserve"> 这是测评环节真正的产品价值。系统不只给一个等级，还主动指出用户回答中互相打架的地方——例如「这笔钱是养老钱，但你选择了高风险偏好」「半年内要用的钱，却计划长期投资」「没有应急金就开始投资」「借钱投资」。</w:t>
      </w:r>
      <w:r>
        <w:rPr>
          <w:rFonts w:ascii="宋体" w:hAnsi="宋体" w:eastAsia="宋体"/>
          <w:b/>
          <w:i w:val="0"/>
          <w:color w:val="1A1A1A"/>
          <w:sz w:val="24"/>
        </w:rPr>
        <w:t>承受能力会压低意愿定级</w:t>
      </w:r>
      <w:r>
        <w:rPr>
          <w:rFonts w:ascii="宋体" w:hAnsi="宋体" w:eastAsia="宋体"/>
          <w:b w:val="0"/>
          <w:i w:val="0"/>
          <w:color w:val="1A1A1A"/>
          <w:sz w:val="24"/>
        </w:rPr>
        <w:t>：借钱投资一律降到最保守档。</w:t>
      </w:r>
    </w:p>
    <w:p>
      <w:pPr>
        <w:keepNext w:val="0"/>
        <w:spacing w:before="160" w:after="40" w:line="240" w:lineRule="auto"/>
        <w:jc w:val="center"/>
      </w:pPr>
      <w:r>
        <w:drawing>
          <wp:inline xmlns:a="http://schemas.openxmlformats.org/drawingml/2006/main" xmlns:pic="http://schemas.openxmlformats.org/drawingml/2006/picture">
            <wp:extent cx="4680000" cy="3815217"/>
            <wp:docPr id="13" name="Picture 13"/>
            <wp:cNvGraphicFramePr>
              <a:graphicFrameLocks noChangeAspect="1"/>
            </wp:cNvGraphicFramePr>
            <a:graphic>
              <a:graphicData uri="http://schemas.openxmlformats.org/drawingml/2006/picture">
                <pic:pic>
                  <pic:nvPicPr>
                    <pic:cNvPr id="0" name="12-矛盾发现.png"/>
                    <pic:cNvPicPr/>
                  </pic:nvPicPr>
                  <pic:blipFill>
                    <a:blip r:embed="rId21"/>
                    <a:stretch>
                      <a:fillRect/>
                    </a:stretch>
                  </pic:blipFill>
                  <pic:spPr>
                    <a:xfrm>
                      <a:off x="0" y="0"/>
                      <a:ext cx="4680000" cy="3815217"/>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17　矛盾发现：指出用户回答中互相打架的地方，并说明为什么</w:t>
      </w:r>
    </w:p>
    <w:p>
      <w:pPr>
        <w:keepNext w:val="0"/>
        <w:spacing w:before="0" w:after="60" w:line="360" w:lineRule="auto"/>
        <w:ind w:firstLine="480"/>
        <w:jc w:val="both"/>
      </w:pPr>
      <w:r>
        <w:rPr>
          <w:rFonts w:ascii="宋体" w:hAnsi="宋体" w:eastAsia="宋体"/>
          <w:b/>
          <w:i w:val="0"/>
          <w:color w:val="1A1A1A"/>
          <w:sz w:val="24"/>
        </w:rPr>
        <w:t>（3）大类资产配置思路参考。</w:t>
      </w:r>
      <w:r>
        <w:rPr>
          <w:rFonts w:ascii="宋体" w:hAnsi="宋体" w:eastAsia="宋体"/>
          <w:b w:val="0"/>
          <w:i w:val="0"/>
          <w:color w:val="1A1A1A"/>
          <w:sz w:val="24"/>
        </w:rPr>
        <w:t xml:space="preserve"> 输出的是大类比例参考（活钱管理、稳健固收、权益类等），每一类都解释「为什么是这个比例」「这类资产的风险来自哪里」，并根据矛盾发现的结果做出可解释的调整（例如半年内要用的钱把权益类归零、没有应急金则提高活钱比例）。</w:t>
      </w:r>
      <w:r>
        <w:rPr>
          <w:rFonts w:ascii="宋体" w:hAnsi="宋体" w:eastAsia="宋体"/>
          <w:b/>
          <w:i w:val="0"/>
          <w:color w:val="1A1A1A"/>
          <w:sz w:val="24"/>
        </w:rPr>
        <w:t>绝不出现任何具体产品名称、代码或管理人。</w:t>
      </w:r>
      <w:r>
        <w:rPr>
          <w:rFonts w:ascii="宋体" w:hAnsi="宋体" w:eastAsia="宋体"/>
          <w:b w:val="0"/>
          <w:i w:val="0"/>
          <w:color w:val="1A1A1A"/>
          <w:sz w:val="24"/>
        </w:rPr>
        <w:t xml:space="preserve"> 措辞上一律使用「权益类参考比例 20%」，而非「建议配置 20% 股票基金」。</w:t>
      </w:r>
    </w:p>
    <w:p>
      <w:pPr>
        <w:keepNext w:val="0"/>
        <w:spacing w:before="160" w:after="40" w:line="240" w:lineRule="auto"/>
        <w:jc w:val="center"/>
      </w:pPr>
      <w:r>
        <w:drawing>
          <wp:inline xmlns:a="http://schemas.openxmlformats.org/drawingml/2006/main" xmlns:pic="http://schemas.openxmlformats.org/drawingml/2006/picture">
            <wp:extent cx="4680000" cy="4330272"/>
            <wp:docPr id="14" name="Picture 14"/>
            <wp:cNvGraphicFramePr>
              <a:graphicFrameLocks noChangeAspect="1"/>
            </wp:cNvGraphicFramePr>
            <a:graphic>
              <a:graphicData uri="http://schemas.openxmlformats.org/drawingml/2006/picture">
                <pic:pic>
                  <pic:nvPicPr>
                    <pic:cNvPr id="0" name="14-配置环图.png"/>
                    <pic:cNvPicPr/>
                  </pic:nvPicPr>
                  <pic:blipFill>
                    <a:blip r:embed="rId22"/>
                    <a:stretch>
                      <a:fillRect/>
                    </a:stretch>
                  </pic:blipFill>
                  <pic:spPr>
                    <a:xfrm>
                      <a:off x="0" y="0"/>
                      <a:ext cx="4680000" cy="4330272"/>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18　大类资产配置思路参考：只讲品类与比例原则，每一项都说明风险来源</w:t>
      </w:r>
    </w:p>
    <w:p>
      <w:pPr>
        <w:keepNext w:val="0"/>
        <w:spacing w:before="0" w:after="60" w:line="360" w:lineRule="auto"/>
        <w:ind w:firstLine="480"/>
        <w:jc w:val="both"/>
      </w:pPr>
      <w:r>
        <w:rPr>
          <w:rFonts w:ascii="宋体" w:hAnsi="宋体" w:eastAsia="宋体"/>
          <w:b/>
          <w:i w:val="0"/>
          <w:color w:val="1A1A1A"/>
          <w:sz w:val="24"/>
        </w:rPr>
        <w:t>（4）目标可行性推演。</w:t>
      </w:r>
      <w:r>
        <w:rPr>
          <w:rFonts w:ascii="宋体" w:hAnsi="宋体" w:eastAsia="宋体"/>
          <w:b w:val="0"/>
          <w:i w:val="0"/>
          <w:color w:val="1A1A1A"/>
          <w:sz w:val="24"/>
        </w:rPr>
        <w:t xml:space="preserve"> 这是把「不给建议」转化为真正有用的输出的关键设计。用户给出目标（例如 5 年后凑 80 万首付）、现有本金与月投金额，系统反解出</w:t>
      </w:r>
      <w:r>
        <w:rPr>
          <w:rFonts w:ascii="宋体" w:hAnsi="宋体" w:eastAsia="宋体"/>
          <w:b/>
          <w:i w:val="0"/>
          <w:color w:val="1A1A1A"/>
          <w:sz w:val="24"/>
        </w:rPr>
        <w:t>达成该目标所需的年化收益率</w:t>
      </w:r>
      <w:r>
        <w:rPr>
          <w:rFonts w:ascii="宋体" w:hAnsi="宋体" w:eastAsia="宋体"/>
          <w:b w:val="0"/>
          <w:i w:val="0"/>
          <w:color w:val="1A1A1A"/>
          <w:sz w:val="24"/>
        </w:rPr>
        <w:t>，并与当前 10 年期国债收益率（1.68%，数据日期 2026-09-07，来源中国债券信息网）以及用户自身的风险测评结果对照，指出目标是否现实，最后给出三个可以动的杠杆：延长期限 / 降低目标 / 提高月投。</w:t>
      </w:r>
      <w:r>
        <w:rPr>
          <w:rFonts w:ascii="宋体" w:hAnsi="宋体" w:eastAsia="宋体"/>
          <w:b/>
          <w:i w:val="0"/>
          <w:color w:val="1A1A1A"/>
          <w:sz w:val="24"/>
        </w:rPr>
        <w:t>收益率假设由用户自己给出——我们不预测收益，也不替他假设一个好看的数字。</w:t>
      </w:r>
      <w:r>
        <w:rPr>
          <w:rFonts w:ascii="宋体" w:hAnsi="宋体" w:eastAsia="宋体"/>
          <w:b w:val="0"/>
          <w:i w:val="0"/>
          <w:color w:val="1A1A1A"/>
          <w:sz w:val="24"/>
        </w:rPr>
        <w:t xml:space="preserve"> 这是纯数学与权衡，完全合规，但它做的正是投顾真正该做的事。</w:t>
      </w:r>
    </w:p>
    <w:p>
      <w:pPr>
        <w:keepNext w:val="0"/>
        <w:spacing w:before="0" w:after="60" w:line="360" w:lineRule="auto"/>
        <w:ind w:firstLine="480"/>
        <w:jc w:val="both"/>
      </w:pPr>
      <w:r>
        <w:rPr>
          <w:rFonts w:ascii="宋体" w:hAnsi="宋体" w:eastAsia="宋体"/>
          <w:b/>
          <w:i w:val="0"/>
          <w:color w:val="1A1A1A"/>
          <w:sz w:val="24"/>
        </w:rPr>
        <w:t>（5）两个计算器。</w:t>
      </w:r>
      <w:r>
        <w:rPr>
          <w:rFonts w:ascii="宋体" w:hAnsi="宋体" w:eastAsia="宋体"/>
          <w:b w:val="0"/>
          <w:i w:val="0"/>
          <w:color w:val="1A1A1A"/>
          <w:sz w:val="24"/>
        </w:rPr>
        <w:t xml:space="preserve"> 分期真实年化（IRR）计算器与应急备用金计算器。前者的冲击力最强：很多人背着年化 13% 的债去买 4% 的理财，把这笔账算给他看，比任何说教都有效。</w:t>
      </w:r>
    </w:p>
    <w:p>
      <w:pPr>
        <w:keepNext w:val="0"/>
        <w:spacing w:before="160" w:after="40" w:line="240" w:lineRule="auto"/>
        <w:jc w:val="center"/>
      </w:pPr>
      <w:r>
        <w:drawing>
          <wp:inline xmlns:a="http://schemas.openxmlformats.org/drawingml/2006/main" xmlns:pic="http://schemas.openxmlformats.org/drawingml/2006/picture">
            <wp:extent cx="4680000" cy="3815217"/>
            <wp:docPr id="15" name="Picture 15"/>
            <wp:cNvGraphicFramePr>
              <a:graphicFrameLocks noChangeAspect="1"/>
            </wp:cNvGraphicFramePr>
            <a:graphic>
              <a:graphicData uri="http://schemas.openxmlformats.org/drawingml/2006/picture">
                <pic:pic>
                  <pic:nvPicPr>
                    <pic:cNvPr id="0" name="12-矛盾发现.png"/>
                    <pic:cNvPicPr/>
                  </pic:nvPicPr>
                  <pic:blipFill>
                    <a:blip r:embed="rId21"/>
                    <a:stretch>
                      <a:fillRect/>
                    </a:stretch>
                  </pic:blipFill>
                  <pic:spPr>
                    <a:xfrm>
                      <a:off x="0" y="0"/>
                      <a:ext cx="4680000" cy="3815217"/>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19　分期真实年化与应急备用金计算器（界面实拍）</w:t>
      </w:r>
    </w:p>
    <w:p>
      <w:pPr>
        <w:keepNext w:val="0"/>
        <w:spacing w:before="160" w:after="40" w:line="240" w:lineRule="auto"/>
        <w:jc w:val="center"/>
      </w:pPr>
      <w:r>
        <w:drawing>
          <wp:inline xmlns:a="http://schemas.openxmlformats.org/drawingml/2006/main" xmlns:pic="http://schemas.openxmlformats.org/drawingml/2006/picture">
            <wp:extent cx="5400000" cy="2700000"/>
            <wp:docPr id="16" name="Picture 16"/>
            <wp:cNvGraphicFramePr>
              <a:graphicFrameLocks noChangeAspect="1"/>
            </wp:cNvGraphicFramePr>
            <a:graphic>
              <a:graphicData uri="http://schemas.openxmlformats.org/drawingml/2006/picture">
                <pic:pic>
                  <pic:nvPicPr>
                    <pic:cNvPr id="0" name="fig7-真实年化.png"/>
                    <pic:cNvPicPr/>
                  </pic:nvPicPr>
                  <pic:blipFill>
                    <a:blip r:embed="rId23"/>
                    <a:stretch>
                      <a:fillRect/>
                    </a:stretch>
                  </pic:blipFill>
                  <pic:spPr>
                    <a:xfrm>
                      <a:off x="0" y="0"/>
                      <a:ext cx="5400000" cy="2700000"/>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7　分期负债真实年化与名义口径的差距（由本项目 lib/finance.ts 的 IRR 求解器实算）</w:t>
      </w:r>
    </w:p>
    <w:p>
      <w:pPr>
        <w:keepNext/>
        <w:spacing w:before="280" w:after="120" w:line="324" w:lineRule="auto"/>
        <w:jc w:val="left"/>
      </w:pPr>
      <w:r>
        <w:rPr>
          <w:rFonts w:ascii="黑体" w:hAnsi="黑体" w:eastAsia="黑体"/>
          <w:b/>
          <w:i w:val="0"/>
          <w:color w:val="000000"/>
          <w:sz w:val="27"/>
        </w:rPr>
        <w:t>2. 页面流程与交互逻辑</w:t>
      </w:r>
    </w:p>
    <w:p>
      <w:pPr>
        <w:keepNext w:val="0"/>
        <w:spacing w:before="0" w:after="60" w:line="360" w:lineRule="auto"/>
        <w:ind w:firstLine="480"/>
        <w:jc w:val="both"/>
      </w:pPr>
      <w:r>
        <w:rPr>
          <w:rFonts w:ascii="宋体" w:hAnsi="宋体" w:eastAsia="宋体"/>
          <w:b w:val="0"/>
          <w:i w:val="0"/>
          <w:color w:val="1A1A1A"/>
          <w:sz w:val="24"/>
        </w:rPr>
        <w:t>用户打开网页后，根据自己的需求选择对应标签页。四个入口的分工是明确的：</w:t>
      </w:r>
      <w:r>
        <w:rPr>
          <w:rFonts w:ascii="宋体" w:hAnsi="宋体" w:eastAsia="宋体"/>
          <w:b/>
          <w:i w:val="0"/>
          <w:color w:val="1A1A1A"/>
          <w:sz w:val="24"/>
        </w:rPr>
        <w:t>识别与翻译</w:t>
      </w:r>
      <w:r>
        <w:rPr>
          <w:rFonts w:ascii="宋体" w:hAnsi="宋体" w:eastAsia="宋体"/>
          <w:b w:val="0"/>
          <w:i w:val="0"/>
          <w:color w:val="1A1A1A"/>
          <w:sz w:val="24"/>
        </w:rPr>
        <w:t>（看到一条看不懂或不放心的内容）、</w:t>
      </w:r>
      <w:r>
        <w:rPr>
          <w:rFonts w:ascii="宋体" w:hAnsi="宋体" w:eastAsia="宋体"/>
          <w:b/>
          <w:i w:val="0"/>
          <w:color w:val="1A1A1A"/>
          <w:sz w:val="24"/>
        </w:rPr>
        <w:t>学习</w:t>
      </w:r>
      <w:r>
        <w:rPr>
          <w:rFonts w:ascii="宋体" w:hAnsi="宋体" w:eastAsia="宋体"/>
          <w:b w:val="0"/>
          <w:i w:val="0"/>
          <w:color w:val="1A1A1A"/>
          <w:sz w:val="24"/>
        </w:rPr>
        <w:t>（想系统补一补）、</w:t>
      </w:r>
      <w:r>
        <w:rPr>
          <w:rFonts w:ascii="宋体" w:hAnsi="宋体" w:eastAsia="宋体"/>
          <w:b/>
          <w:i w:val="0"/>
          <w:color w:val="1A1A1A"/>
          <w:sz w:val="24"/>
        </w:rPr>
        <w:t>规划师</w:t>
      </w:r>
      <w:r>
        <w:rPr>
          <w:rFonts w:ascii="宋体" w:hAnsi="宋体" w:eastAsia="宋体"/>
          <w:b w:val="0"/>
          <w:i w:val="0"/>
          <w:color w:val="1A1A1A"/>
          <w:sz w:val="24"/>
        </w:rPr>
        <w:t>（想给自己搭一个框架）、</w:t>
      </w:r>
      <w:r>
        <w:rPr>
          <w:rFonts w:ascii="宋体" w:hAnsi="宋体" w:eastAsia="宋体"/>
          <w:b/>
          <w:i w:val="0"/>
          <w:color w:val="1A1A1A"/>
          <w:sz w:val="24"/>
        </w:rPr>
        <w:t>我的档案</w:t>
      </w:r>
      <w:r>
        <w:rPr>
          <w:rFonts w:ascii="宋体" w:hAnsi="宋体" w:eastAsia="宋体"/>
          <w:b w:val="0"/>
          <w:i w:val="0"/>
          <w:color w:val="1A1A1A"/>
          <w:sz w:val="24"/>
        </w:rPr>
        <w:t>（查看和管理系统记住的关于自己的事）。</w:t>
      </w:r>
    </w:p>
    <w:tbl>
      <w:tblPr>
        <w:tblStyle w:val="TableGrid"/>
        <w:tblW w:type="auto" w:w="0"/>
        <w:jc w:val="center"/>
        <w:tblLayout w:type="fixed"/>
        <w:tblLook w:firstColumn="1" w:firstRow="1" w:lastColumn="0" w:lastRow="0" w:noHBand="0" w:noVBand="1" w:val="04A0"/>
      </w:tblPr>
      <w:tblGrid>
        <w:gridCol w:w="2126"/>
        <w:gridCol w:w="2126"/>
        <w:gridCol w:w="2126"/>
        <w:gridCol w:w="2126"/>
      </w:tblGrid>
      <w:tr>
        <w:tc>
          <w:tcPr>
            <w:tcW w:type="dxa" w:w="1053"/>
            <w:shd w:fill="F2F2F2"/>
          </w:tcPr>
          <w:p>
            <w:pPr>
              <w:spacing w:after="20" w:before="20" w:line="276" w:lineRule="auto"/>
              <w:jc w:val="center"/>
            </w:pPr>
            <w:r/>
            <w:r>
              <w:rPr>
                <w:rFonts w:ascii="黑体" w:hAnsi="黑体" w:eastAsia="黑体"/>
                <w:b/>
                <w:i w:val="0"/>
                <w:color w:val="000000"/>
                <w:sz w:val="19"/>
              </w:rPr>
              <w:t>标签页</w:t>
            </w:r>
          </w:p>
        </w:tc>
        <w:tc>
          <w:tcPr>
            <w:tcW w:type="dxa" w:w="1620"/>
            <w:shd w:fill="F2F2F2"/>
          </w:tcPr>
          <w:p>
            <w:pPr>
              <w:spacing w:after="20" w:before="20" w:line="276" w:lineRule="auto"/>
              <w:jc w:val="center"/>
            </w:pPr>
            <w:r/>
            <w:r>
              <w:rPr>
                <w:rFonts w:ascii="黑体" w:hAnsi="黑体" w:eastAsia="黑体"/>
                <w:b/>
                <w:i w:val="0"/>
                <w:color w:val="000000"/>
                <w:sz w:val="19"/>
              </w:rPr>
              <w:t>用户带着什么来</w:t>
            </w:r>
          </w:p>
        </w:tc>
        <w:tc>
          <w:tcPr>
            <w:tcW w:type="dxa" w:w="3726"/>
            <w:shd w:fill="F2F2F2"/>
          </w:tcPr>
          <w:p>
            <w:pPr>
              <w:spacing w:after="20" w:before="20" w:line="276" w:lineRule="auto"/>
              <w:jc w:val="center"/>
            </w:pPr>
            <w:r/>
            <w:r>
              <w:rPr>
                <w:rFonts w:ascii="黑体" w:hAnsi="黑体" w:eastAsia="黑体"/>
                <w:b/>
                <w:i w:val="0"/>
                <w:color w:val="000000"/>
                <w:sz w:val="19"/>
              </w:rPr>
              <w:t>怎么交互</w:t>
            </w:r>
          </w:p>
        </w:tc>
        <w:tc>
          <w:tcPr>
            <w:tcW w:type="dxa" w:w="2106"/>
            <w:shd w:fill="F2F2F2"/>
          </w:tcPr>
          <w:p>
            <w:pPr>
              <w:spacing w:after="20" w:before="20" w:line="276" w:lineRule="auto"/>
              <w:jc w:val="center"/>
            </w:pPr>
            <w:r/>
            <w:r>
              <w:rPr>
                <w:rFonts w:ascii="黑体" w:hAnsi="黑体" w:eastAsia="黑体"/>
                <w:b/>
                <w:i w:val="0"/>
                <w:color w:val="000000"/>
                <w:sz w:val="19"/>
              </w:rPr>
              <w:t>产出什么</w:t>
            </w:r>
          </w:p>
        </w:tc>
      </w:tr>
      <w:tr>
        <w:tc>
          <w:tcPr>
            <w:tcW w:type="dxa" w:w="1053"/>
          </w:tcPr>
          <w:p>
            <w:pPr>
              <w:spacing w:after="20" w:before="20" w:line="276" w:lineRule="auto"/>
            </w:pPr>
            <w:r/>
            <w:r>
              <w:rPr>
                <w:rFonts w:ascii="宋体" w:hAnsi="宋体" w:eastAsia="宋体"/>
                <w:b w:val="0"/>
                <w:i w:val="0"/>
                <w:color w:val="1A1A1A"/>
                <w:sz w:val="19"/>
              </w:rPr>
              <w:t>识别与翻译</w:t>
            </w:r>
          </w:p>
        </w:tc>
        <w:tc>
          <w:tcPr>
            <w:tcW w:type="dxa" w:w="1620"/>
          </w:tcPr>
          <w:p>
            <w:pPr>
              <w:spacing w:after="20" w:before="20" w:line="276" w:lineRule="auto"/>
            </w:pPr>
            <w:r/>
            <w:r>
              <w:rPr>
                <w:rFonts w:ascii="宋体" w:hAnsi="宋体" w:eastAsia="宋体"/>
                <w:b w:val="0"/>
                <w:i w:val="0"/>
                <w:color w:val="1A1A1A"/>
                <w:sz w:val="19"/>
              </w:rPr>
              <w:t>一张截图 / 一段话 / 一个词</w:t>
            </w:r>
          </w:p>
        </w:tc>
        <w:tc>
          <w:tcPr>
            <w:tcW w:type="dxa" w:w="3726"/>
          </w:tcPr>
          <w:p>
            <w:pPr>
              <w:spacing w:after="20" w:before="20" w:line="276" w:lineRule="auto"/>
            </w:pPr>
            <w:r/>
            <w:r>
              <w:rPr>
                <w:rFonts w:ascii="宋体" w:hAnsi="宋体" w:eastAsia="宋体"/>
                <w:b w:val="0"/>
                <w:i w:val="0"/>
                <w:color w:val="1A1A1A"/>
                <w:sz w:val="19"/>
              </w:rPr>
              <w:t>粘贴或上传 → 选择「只翻成人话」或「翻译 + 风险体检」→ 六阶段流水线逐步点亮 → 报告分板块流式展开 → 若信息不足，系统主动追问，回答后重新分析</w:t>
            </w:r>
          </w:p>
        </w:tc>
        <w:tc>
          <w:tcPr>
            <w:tcW w:type="dxa" w:w="2106"/>
          </w:tcPr>
          <w:p>
            <w:pPr>
              <w:spacing w:after="20" w:before="20" w:line="276" w:lineRule="auto"/>
            </w:pPr>
            <w:r/>
            <w:r>
              <w:rPr>
                <w:rFonts w:ascii="宋体" w:hAnsi="宋体" w:eastAsia="宋体"/>
                <w:b w:val="0"/>
                <w:i w:val="0"/>
                <w:color w:val="1A1A1A"/>
                <w:sz w:val="19"/>
              </w:rPr>
              <w:t>人话版、风险条目（附法规原文）、缺失要素、五维画像、骗局剧本、行动清单</w:t>
            </w:r>
          </w:p>
        </w:tc>
      </w:tr>
      <w:tr>
        <w:tc>
          <w:tcPr>
            <w:tcW w:type="dxa" w:w="1053"/>
          </w:tcPr>
          <w:p>
            <w:pPr>
              <w:spacing w:after="20" w:before="20" w:line="276" w:lineRule="auto"/>
            </w:pPr>
            <w:r/>
            <w:r>
              <w:rPr>
                <w:rFonts w:ascii="宋体" w:hAnsi="宋体" w:eastAsia="宋体"/>
                <w:b w:val="0"/>
                <w:i w:val="0"/>
                <w:color w:val="1A1A1A"/>
                <w:sz w:val="19"/>
              </w:rPr>
              <w:t>学习</w:t>
            </w:r>
          </w:p>
        </w:tc>
        <w:tc>
          <w:tcPr>
            <w:tcW w:type="dxa" w:w="1620"/>
          </w:tcPr>
          <w:p>
            <w:pPr>
              <w:spacing w:after="20" w:before="20" w:line="276" w:lineRule="auto"/>
            </w:pPr>
            <w:r/>
            <w:r>
              <w:rPr>
                <w:rFonts w:ascii="宋体" w:hAnsi="宋体" w:eastAsia="宋体"/>
                <w:b w:val="0"/>
                <w:i w:val="0"/>
                <w:color w:val="1A1A1A"/>
                <w:sz w:val="19"/>
              </w:rPr>
              <w:t>想补知识 / 想测测自己</w:t>
            </w:r>
          </w:p>
        </w:tc>
        <w:tc>
          <w:tcPr>
            <w:tcW w:type="dxa" w:w="3726"/>
          </w:tcPr>
          <w:p>
            <w:pPr>
              <w:spacing w:after="20" w:before="20" w:line="276" w:lineRule="auto"/>
            </w:pPr>
            <w:r/>
            <w:r>
              <w:rPr>
                <w:rFonts w:ascii="宋体" w:hAnsi="宋体" w:eastAsia="宋体"/>
                <w:b w:val="0"/>
                <w:i w:val="0"/>
                <w:color w:val="1A1A1A"/>
                <w:sz w:val="19"/>
              </w:rPr>
              <w:t>选关卡 → 答题 → 答错弹出定向微课 → 错题与薄弱术语入档案；或进入「你 vs 财智通」识别测试，先自己判再看引擎判定；或直接查术语词典（本地返回，不调模型）</w:t>
            </w:r>
          </w:p>
        </w:tc>
        <w:tc>
          <w:tcPr>
            <w:tcW w:type="dxa" w:w="2106"/>
          </w:tcPr>
          <w:p>
            <w:pPr>
              <w:spacing w:after="20" w:before="20" w:line="276" w:lineRule="auto"/>
            </w:pPr>
            <w:r/>
            <w:r>
              <w:rPr>
                <w:rFonts w:ascii="宋体" w:hAnsi="宋体" w:eastAsia="宋体"/>
                <w:b w:val="0"/>
                <w:i w:val="0"/>
                <w:color w:val="1A1A1A"/>
                <w:sz w:val="19"/>
              </w:rPr>
              <w:t>关卡进度与得分、错题本、薄弱术语清单、识别测试对比结果</w:t>
            </w:r>
          </w:p>
        </w:tc>
      </w:tr>
      <w:tr>
        <w:tc>
          <w:tcPr>
            <w:tcW w:type="dxa" w:w="1053"/>
          </w:tcPr>
          <w:p>
            <w:pPr>
              <w:spacing w:after="20" w:before="20" w:line="276" w:lineRule="auto"/>
            </w:pPr>
            <w:r/>
            <w:r>
              <w:rPr>
                <w:rFonts w:ascii="宋体" w:hAnsi="宋体" w:eastAsia="宋体"/>
                <w:b w:val="0"/>
                <w:i w:val="0"/>
                <w:color w:val="1A1A1A"/>
                <w:sz w:val="19"/>
              </w:rPr>
              <w:t>规划师</w:t>
            </w:r>
          </w:p>
        </w:tc>
        <w:tc>
          <w:tcPr>
            <w:tcW w:type="dxa" w:w="1620"/>
          </w:tcPr>
          <w:p>
            <w:pPr>
              <w:spacing w:after="20" w:before="20" w:line="276" w:lineRule="auto"/>
            </w:pPr>
            <w:r/>
            <w:r>
              <w:rPr>
                <w:rFonts w:ascii="宋体" w:hAnsi="宋体" w:eastAsia="宋体"/>
                <w:b w:val="0"/>
                <w:i w:val="0"/>
                <w:color w:val="1A1A1A"/>
                <w:sz w:val="19"/>
              </w:rPr>
              <w:t>想知道自己该怎么开始</w:t>
            </w:r>
          </w:p>
        </w:tc>
        <w:tc>
          <w:tcPr>
            <w:tcW w:type="dxa" w:w="3726"/>
          </w:tcPr>
          <w:p>
            <w:pPr>
              <w:spacing w:after="20" w:before="20" w:line="276" w:lineRule="auto"/>
            </w:pPr>
            <w:r/>
            <w:r>
              <w:rPr>
                <w:rFonts w:ascii="宋体" w:hAnsi="宋体" w:eastAsia="宋体"/>
                <w:b w:val="0"/>
                <w:i w:val="0"/>
                <w:color w:val="1A1A1A"/>
                <w:sz w:val="19"/>
              </w:rPr>
              <w:t>自适应问卷（按已答动态出题）→ 风险画像与矛盾发现 → 大类配置思路 → 输入目标做可行性推演 → 使用两个计算器</w:t>
            </w:r>
          </w:p>
        </w:tc>
        <w:tc>
          <w:tcPr>
            <w:tcW w:type="dxa" w:w="2106"/>
          </w:tcPr>
          <w:p>
            <w:pPr>
              <w:spacing w:after="20" w:before="20" w:line="276" w:lineRule="auto"/>
            </w:pPr>
            <w:r/>
            <w:r>
              <w:rPr>
                <w:rFonts w:ascii="宋体" w:hAnsi="宋体" w:eastAsia="宋体"/>
                <w:b w:val="0"/>
                <w:i w:val="0"/>
                <w:color w:val="1A1A1A"/>
                <w:sz w:val="19"/>
              </w:rPr>
              <w:t>风险类型与得分、矛盾清单、大类比例参考、所需年化与三个可调杠杆、IRR 与应急金测算</w:t>
            </w:r>
          </w:p>
        </w:tc>
      </w:tr>
      <w:tr>
        <w:tc>
          <w:tcPr>
            <w:tcW w:type="dxa" w:w="1053"/>
          </w:tcPr>
          <w:p>
            <w:pPr>
              <w:spacing w:after="20" w:before="20" w:line="276" w:lineRule="auto"/>
            </w:pPr>
            <w:r/>
            <w:r>
              <w:rPr>
                <w:rFonts w:ascii="宋体" w:hAnsi="宋体" w:eastAsia="宋体"/>
                <w:b w:val="0"/>
                <w:i w:val="0"/>
                <w:color w:val="1A1A1A"/>
                <w:sz w:val="19"/>
              </w:rPr>
              <w:t>我的档案</w:t>
            </w:r>
          </w:p>
        </w:tc>
        <w:tc>
          <w:tcPr>
            <w:tcW w:type="dxa" w:w="1620"/>
          </w:tcPr>
          <w:p>
            <w:pPr>
              <w:spacing w:after="20" w:before="20" w:line="276" w:lineRule="auto"/>
            </w:pPr>
            <w:r/>
            <w:r>
              <w:rPr>
                <w:rFonts w:ascii="宋体" w:hAnsi="宋体" w:eastAsia="宋体"/>
                <w:b w:val="0"/>
                <w:i w:val="0"/>
                <w:color w:val="1A1A1A"/>
                <w:sz w:val="19"/>
              </w:rPr>
              <w:t>想看看系统记住了什么</w:t>
            </w:r>
          </w:p>
        </w:tc>
        <w:tc>
          <w:tcPr>
            <w:tcW w:type="dxa" w:w="3726"/>
          </w:tcPr>
          <w:p>
            <w:pPr>
              <w:spacing w:after="20" w:before="20" w:line="276" w:lineRule="auto"/>
            </w:pPr>
            <w:r/>
            <w:r>
              <w:rPr>
                <w:rFonts w:ascii="宋体" w:hAnsi="宋体" w:eastAsia="宋体"/>
                <w:b w:val="0"/>
                <w:i w:val="0"/>
                <w:color w:val="1A1A1A"/>
                <w:sz w:val="19"/>
              </w:rPr>
              <w:t>查看档案各字段来源 → 可清空、可一键载入示例档案（演示用）</w:t>
            </w:r>
          </w:p>
        </w:tc>
        <w:tc>
          <w:tcPr>
            <w:tcW w:type="dxa" w:w="2106"/>
          </w:tcPr>
          <w:p>
            <w:pPr>
              <w:spacing w:after="20" w:before="20" w:line="276" w:lineRule="auto"/>
            </w:pPr>
            <w:r/>
            <w:r>
              <w:rPr>
                <w:rFonts w:ascii="宋体" w:hAnsi="宋体" w:eastAsia="宋体"/>
                <w:b w:val="0"/>
                <w:i w:val="0"/>
                <w:color w:val="1A1A1A"/>
                <w:sz w:val="19"/>
              </w:rPr>
              <w:t>画像可视化、各模块联动提示的依据来源</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2　四个标签页的交互逻辑与产出</w:t>
      </w:r>
    </w:p>
    <w:p>
      <w:pPr>
        <w:keepNext w:val="0"/>
        <w:spacing w:before="0" w:after="60" w:line="360" w:lineRule="auto"/>
        <w:ind w:firstLine="480"/>
        <w:jc w:val="both"/>
      </w:pPr>
      <w:r>
        <w:rPr>
          <w:rFonts w:ascii="宋体" w:hAnsi="宋体" w:eastAsia="宋体"/>
          <w:b/>
          <w:i w:val="0"/>
          <w:color w:val="1A1A1A"/>
          <w:sz w:val="24"/>
        </w:rPr>
        <w:t>三个板块的使用过程全部沉淀为 AI 记忆与用户画像，用于定向推荐，使产品成为更私人化的理财助手。</w:t>
      </w:r>
      <w:r>
        <w:rPr>
          <w:rFonts w:ascii="宋体" w:hAnsi="宋体" w:eastAsia="宋体"/>
          <w:b w:val="0"/>
          <w:i w:val="0"/>
          <w:color w:val="1A1A1A"/>
          <w:sz w:val="24"/>
        </w:rPr>
        <w:t xml:space="preserve"> 共享用户档案是三个功能模块的公共读写区，字段包括：风险类型与得分、发现的矛盾、知识水平与薄弱术语、已遭遇的骗局类型、负债年化、应急金月数、理财目标。它带来的是真实联动，而非界面上的装饰：</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2430"/>
            <w:shd w:fill="F2F2F2"/>
          </w:tcPr>
          <w:p>
            <w:pPr>
              <w:spacing w:after="20" w:before="20" w:line="276" w:lineRule="auto"/>
              <w:jc w:val="center"/>
            </w:pPr>
            <w:r/>
            <w:r>
              <w:rPr>
                <w:rFonts w:ascii="黑体" w:hAnsi="黑体" w:eastAsia="黑体"/>
                <w:b/>
                <w:i w:val="0"/>
                <w:color w:val="000000"/>
                <w:sz w:val="19"/>
              </w:rPr>
              <w:t>档案里的事实</w:t>
            </w:r>
          </w:p>
        </w:tc>
        <w:tc>
          <w:tcPr>
            <w:tcW w:type="dxa" w:w="4211"/>
            <w:shd w:fill="F2F2F2"/>
          </w:tcPr>
          <w:p>
            <w:pPr>
              <w:spacing w:after="20" w:before="20" w:line="276" w:lineRule="auto"/>
              <w:jc w:val="center"/>
            </w:pPr>
            <w:r/>
            <w:r>
              <w:rPr>
                <w:rFonts w:ascii="黑体" w:hAnsi="黑体" w:eastAsia="黑体"/>
                <w:b/>
                <w:i w:val="0"/>
                <w:color w:val="000000"/>
                <w:sz w:val="19"/>
              </w:rPr>
              <w:t>联动效果</w:t>
            </w:r>
          </w:p>
        </w:tc>
        <w:tc>
          <w:tcPr>
            <w:tcW w:type="dxa" w:w="1863"/>
            <w:shd w:fill="F2F2F2"/>
          </w:tcPr>
          <w:p>
            <w:pPr>
              <w:spacing w:after="20" w:before="20" w:line="276" w:lineRule="auto"/>
              <w:jc w:val="center"/>
            </w:pPr>
            <w:r/>
            <w:r>
              <w:rPr>
                <w:rFonts w:ascii="黑体" w:hAnsi="黑体" w:eastAsia="黑体"/>
                <w:b/>
                <w:i w:val="0"/>
                <w:color w:val="000000"/>
                <w:sz w:val="19"/>
              </w:rPr>
              <w:t>在哪里可见</w:t>
            </w:r>
          </w:p>
        </w:tc>
      </w:tr>
      <w:tr>
        <w:tc>
          <w:tcPr>
            <w:tcW w:type="dxa" w:w="2430"/>
          </w:tcPr>
          <w:p>
            <w:pPr>
              <w:spacing w:after="20" w:before="20" w:line="276" w:lineRule="auto"/>
            </w:pPr>
            <w:r/>
            <w:r>
              <w:rPr>
                <w:rFonts w:ascii="宋体" w:hAnsi="宋体" w:eastAsia="宋体"/>
                <w:b w:val="0"/>
                <w:i w:val="0"/>
                <w:color w:val="1A1A1A"/>
                <w:sz w:val="19"/>
              </w:rPr>
              <w:t>规划师测出风险偏好偏进取</w:t>
            </w:r>
          </w:p>
        </w:tc>
        <w:tc>
          <w:tcPr>
            <w:tcW w:type="dxa" w:w="4211"/>
          </w:tcPr>
          <w:p>
            <w:pPr>
              <w:spacing w:after="20" w:before="20" w:line="276" w:lineRule="auto"/>
            </w:pPr>
            <w:r/>
            <w:r>
              <w:rPr>
                <w:rFonts w:ascii="宋体" w:hAnsi="宋体" w:eastAsia="宋体"/>
                <w:b w:val="0"/>
                <w:i w:val="0"/>
                <w:color w:val="1A1A1A"/>
                <w:sz w:val="19"/>
              </w:rPr>
              <w:t>识别模块重点提示「高收益」类话术——这类人最容易被钓走</w:t>
            </w:r>
          </w:p>
        </w:tc>
        <w:tc>
          <w:tcPr>
            <w:tcW w:type="dxa" w:w="1863"/>
          </w:tcPr>
          <w:p>
            <w:pPr>
              <w:spacing w:after="20" w:before="20" w:line="276" w:lineRule="auto"/>
            </w:pPr>
            <w:r/>
            <w:r>
              <w:rPr>
                <w:rFonts w:ascii="宋体" w:hAnsi="宋体" w:eastAsia="宋体"/>
                <w:b w:val="0"/>
                <w:i w:val="0"/>
                <w:color w:val="1A1A1A"/>
                <w:sz w:val="19"/>
              </w:rPr>
              <w:t>报告页「针对你的提示」</w:t>
            </w:r>
          </w:p>
        </w:tc>
      </w:tr>
      <w:tr>
        <w:tc>
          <w:tcPr>
            <w:tcW w:type="dxa" w:w="2430"/>
          </w:tcPr>
          <w:p>
            <w:pPr>
              <w:spacing w:after="20" w:before="20" w:line="276" w:lineRule="auto"/>
            </w:pPr>
            <w:r/>
            <w:r>
              <w:rPr>
                <w:rFonts w:ascii="宋体" w:hAnsi="宋体" w:eastAsia="宋体"/>
                <w:b w:val="0"/>
                <w:i w:val="0"/>
                <w:color w:val="1A1A1A"/>
                <w:sz w:val="19"/>
              </w:rPr>
              <w:t>规划师测出偏保守</w:t>
            </w:r>
          </w:p>
        </w:tc>
        <w:tc>
          <w:tcPr>
            <w:tcW w:type="dxa" w:w="4211"/>
          </w:tcPr>
          <w:p>
            <w:pPr>
              <w:spacing w:after="20" w:before="20" w:line="276" w:lineRule="auto"/>
            </w:pPr>
            <w:r/>
            <w:r>
              <w:rPr>
                <w:rFonts w:ascii="宋体" w:hAnsi="宋体" w:eastAsia="宋体"/>
                <w:b w:val="0"/>
                <w:i w:val="0"/>
                <w:color w:val="1A1A1A"/>
                <w:sz w:val="19"/>
              </w:rPr>
              <w:t>识别模块重点提示「跟存款差不多」这类混淆存款与理财的说法</w:t>
            </w:r>
          </w:p>
        </w:tc>
        <w:tc>
          <w:tcPr>
            <w:tcW w:type="dxa" w:w="1863"/>
          </w:tcPr>
          <w:p>
            <w:pPr>
              <w:spacing w:after="20" w:before="20" w:line="276" w:lineRule="auto"/>
            </w:pPr>
            <w:r/>
            <w:r>
              <w:rPr>
                <w:rFonts w:ascii="宋体" w:hAnsi="宋体" w:eastAsia="宋体"/>
                <w:b w:val="0"/>
                <w:i w:val="0"/>
                <w:color w:val="1A1A1A"/>
                <w:sz w:val="19"/>
              </w:rPr>
              <w:t>报告页「针对你的提示」</w:t>
            </w:r>
          </w:p>
        </w:tc>
      </w:tr>
      <w:tr>
        <w:tc>
          <w:tcPr>
            <w:tcW w:type="dxa" w:w="2430"/>
          </w:tcPr>
          <w:p>
            <w:pPr>
              <w:spacing w:after="20" w:before="20" w:line="276" w:lineRule="auto"/>
            </w:pPr>
            <w:r/>
            <w:r>
              <w:rPr>
                <w:rFonts w:ascii="宋体" w:hAnsi="宋体" w:eastAsia="宋体"/>
                <w:b w:val="0"/>
                <w:i w:val="0"/>
                <w:color w:val="1A1A1A"/>
                <w:sz w:val="19"/>
              </w:rPr>
              <w:t>学习模块记录了答错的术语</w:t>
            </w:r>
          </w:p>
        </w:tc>
        <w:tc>
          <w:tcPr>
            <w:tcW w:type="dxa" w:w="4211"/>
          </w:tcPr>
          <w:p>
            <w:pPr>
              <w:spacing w:after="20" w:before="20" w:line="276" w:lineRule="auto"/>
            </w:pPr>
            <w:r/>
            <w:r>
              <w:rPr>
                <w:rFonts w:ascii="宋体" w:hAnsi="宋体" w:eastAsia="宋体"/>
                <w:b w:val="0"/>
                <w:i w:val="0"/>
                <w:color w:val="1A1A1A"/>
                <w:sz w:val="19"/>
              </w:rPr>
              <w:t>该术语出现在广告原文里时，就地提示回去复习</w:t>
            </w:r>
          </w:p>
        </w:tc>
        <w:tc>
          <w:tcPr>
            <w:tcW w:type="dxa" w:w="1863"/>
          </w:tcPr>
          <w:p>
            <w:pPr>
              <w:spacing w:after="20" w:before="20" w:line="276" w:lineRule="auto"/>
            </w:pPr>
            <w:r/>
            <w:r>
              <w:rPr>
                <w:rFonts w:ascii="宋体" w:hAnsi="宋体" w:eastAsia="宋体"/>
                <w:b w:val="0"/>
                <w:i w:val="0"/>
                <w:color w:val="1A1A1A"/>
                <w:sz w:val="19"/>
              </w:rPr>
              <w:t>报告页术语交互区</w:t>
            </w:r>
          </w:p>
        </w:tc>
      </w:tr>
      <w:tr>
        <w:tc>
          <w:tcPr>
            <w:tcW w:type="dxa" w:w="2430"/>
          </w:tcPr>
          <w:p>
            <w:pPr>
              <w:spacing w:after="20" w:before="20" w:line="276" w:lineRule="auto"/>
            </w:pPr>
            <w:r/>
            <w:r>
              <w:rPr>
                <w:rFonts w:ascii="宋体" w:hAnsi="宋体" w:eastAsia="宋体"/>
                <w:b w:val="0"/>
                <w:i w:val="0"/>
                <w:color w:val="1A1A1A"/>
                <w:sz w:val="19"/>
              </w:rPr>
              <w:t>识别模块里遇到过荐股群</w:t>
            </w:r>
          </w:p>
        </w:tc>
        <w:tc>
          <w:tcPr>
            <w:tcW w:type="dxa" w:w="4211"/>
          </w:tcPr>
          <w:p>
            <w:pPr>
              <w:spacing w:after="20" w:before="20" w:line="276" w:lineRule="auto"/>
            </w:pPr>
            <w:r/>
            <w:r>
              <w:rPr>
                <w:rFonts w:ascii="宋体" w:hAnsi="宋体" w:eastAsia="宋体"/>
                <w:b w:val="0"/>
                <w:i w:val="0"/>
                <w:color w:val="1A1A1A"/>
                <w:sz w:val="19"/>
              </w:rPr>
              <w:t>学习模块推送对应微课；骗局图鉴按此重排</w:t>
            </w:r>
          </w:p>
        </w:tc>
        <w:tc>
          <w:tcPr>
            <w:tcW w:type="dxa" w:w="1863"/>
          </w:tcPr>
          <w:p>
            <w:pPr>
              <w:spacing w:after="20" w:before="20" w:line="276" w:lineRule="auto"/>
            </w:pPr>
            <w:r/>
            <w:r>
              <w:rPr>
                <w:rFonts w:ascii="宋体" w:hAnsi="宋体" w:eastAsia="宋体"/>
                <w:b w:val="0"/>
                <w:i w:val="0"/>
                <w:color w:val="1A1A1A"/>
                <w:sz w:val="19"/>
              </w:rPr>
              <w:t>学习首屏、骗局图鉴排序</w:t>
            </w:r>
          </w:p>
        </w:tc>
      </w:tr>
      <w:tr>
        <w:tc>
          <w:tcPr>
            <w:tcW w:type="dxa" w:w="2430"/>
          </w:tcPr>
          <w:p>
            <w:pPr>
              <w:spacing w:after="20" w:before="20" w:line="276" w:lineRule="auto"/>
            </w:pPr>
            <w:r/>
            <w:r>
              <w:rPr>
                <w:rFonts w:ascii="宋体" w:hAnsi="宋体" w:eastAsia="宋体"/>
                <w:b w:val="0"/>
                <w:i w:val="0"/>
                <w:color w:val="1A1A1A"/>
                <w:sz w:val="19"/>
              </w:rPr>
              <w:t>计算器算出负债年化 13%</w:t>
            </w:r>
          </w:p>
        </w:tc>
        <w:tc>
          <w:tcPr>
            <w:tcW w:type="dxa" w:w="4211"/>
          </w:tcPr>
          <w:p>
            <w:pPr>
              <w:spacing w:after="20" w:before="20" w:line="276" w:lineRule="auto"/>
            </w:pPr>
            <w:r/>
            <w:r>
              <w:rPr>
                <w:rFonts w:ascii="宋体" w:hAnsi="宋体" w:eastAsia="宋体"/>
                <w:b w:val="0"/>
                <w:i w:val="0"/>
                <w:color w:val="1A1A1A"/>
                <w:sz w:val="19"/>
              </w:rPr>
              <w:t>全站提示「先还掉确定的 13%，再谈不确定的收益」</w:t>
            </w:r>
          </w:p>
        </w:tc>
        <w:tc>
          <w:tcPr>
            <w:tcW w:type="dxa" w:w="1863"/>
          </w:tcPr>
          <w:p>
            <w:pPr>
              <w:spacing w:after="20" w:before="20" w:line="276" w:lineRule="auto"/>
            </w:pPr>
            <w:r/>
            <w:r>
              <w:rPr>
                <w:rFonts w:ascii="宋体" w:hAnsi="宋体" w:eastAsia="宋体"/>
                <w:b w:val="0"/>
                <w:i w:val="0"/>
                <w:color w:val="1A1A1A"/>
                <w:sz w:val="19"/>
              </w:rPr>
              <w:t>规划师优先级、报告页</w:t>
            </w:r>
          </w:p>
        </w:tc>
      </w:tr>
      <w:tr>
        <w:tc>
          <w:tcPr>
            <w:tcW w:type="dxa" w:w="2430"/>
          </w:tcPr>
          <w:p>
            <w:pPr>
              <w:spacing w:after="20" w:before="20" w:line="276" w:lineRule="auto"/>
            </w:pPr>
            <w:r/>
            <w:r>
              <w:rPr>
                <w:rFonts w:ascii="宋体" w:hAnsi="宋体" w:eastAsia="宋体"/>
                <w:b w:val="0"/>
                <w:i w:val="0"/>
                <w:color w:val="1A1A1A"/>
                <w:sz w:val="19"/>
              </w:rPr>
              <w:t>档案年龄段为 60 岁以上</w:t>
            </w:r>
          </w:p>
        </w:tc>
        <w:tc>
          <w:tcPr>
            <w:tcW w:type="dxa" w:w="4211"/>
          </w:tcPr>
          <w:p>
            <w:pPr>
              <w:spacing w:after="20" w:before="20" w:line="276" w:lineRule="auto"/>
            </w:pPr>
            <w:r/>
            <w:r>
              <w:rPr>
                <w:rFonts w:ascii="宋体" w:hAnsi="宋体" w:eastAsia="宋体"/>
                <w:b w:val="0"/>
                <w:i w:val="0"/>
                <w:color w:val="1A1A1A"/>
                <w:sz w:val="19"/>
              </w:rPr>
              <w:t>全站字号放大，骗局图鉴优先展示针对中老年的类型</w:t>
            </w:r>
          </w:p>
        </w:tc>
        <w:tc>
          <w:tcPr>
            <w:tcW w:type="dxa" w:w="1863"/>
          </w:tcPr>
          <w:p>
            <w:pPr>
              <w:spacing w:after="20" w:before="20" w:line="276" w:lineRule="auto"/>
            </w:pPr>
            <w:r/>
            <w:r>
              <w:rPr>
                <w:rFonts w:ascii="宋体" w:hAnsi="宋体" w:eastAsia="宋体"/>
                <w:b w:val="0"/>
                <w:i w:val="0"/>
                <w:color w:val="1A1A1A"/>
                <w:sz w:val="19"/>
              </w:rPr>
              <w:t>字号开关、图鉴排序</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3　共享用户档案驱动的六条联动规则</w:t>
      </w:r>
    </w:p>
    <w:p>
      <w:pPr>
        <w:keepNext w:val="0"/>
        <w:spacing w:before="0" w:after="60" w:line="360" w:lineRule="auto"/>
        <w:ind w:firstLine="480"/>
        <w:jc w:val="both"/>
      </w:pPr>
      <w:r>
        <w:rPr>
          <w:rFonts w:ascii="宋体" w:hAnsi="宋体" w:eastAsia="宋体"/>
          <w:b/>
          <w:i w:val="0"/>
          <w:color w:val="1A1A1A"/>
          <w:sz w:val="24"/>
        </w:rPr>
        <w:t>每条定向提示都显示「依据：规划师测出你的风险偏好偏进取」这样的来源行，让联动可以被用户当场验证；档案为空时一条都不出——我们不虚报联动。</w:t>
      </w:r>
      <w:r>
        <w:rPr>
          <w:rFonts w:ascii="宋体" w:hAnsi="宋体" w:eastAsia="宋体"/>
          <w:b w:val="0"/>
          <w:i w:val="0"/>
          <w:color w:val="1A1A1A"/>
          <w:sz w:val="24"/>
        </w:rPr>
        <w:t xml:space="preserve"> 档案只存在用户自己的浏览器本地存储中，不上传、不建集中式用户库。在金融场景下，这是刻意的隐私选择。</w:t>
      </w:r>
    </w:p>
    <w:p>
      <w:pPr>
        <w:keepNext w:val="0"/>
        <w:spacing w:before="160" w:after="40" w:line="240" w:lineRule="auto"/>
        <w:jc w:val="center"/>
      </w:pPr>
      <w:r>
        <w:drawing>
          <wp:inline xmlns:a="http://schemas.openxmlformats.org/drawingml/2006/main" xmlns:pic="http://schemas.openxmlformats.org/drawingml/2006/picture">
            <wp:extent cx="5400000" cy="3164062"/>
            <wp:docPr id="17" name="Picture 17"/>
            <wp:cNvGraphicFramePr>
              <a:graphicFrameLocks noChangeAspect="1"/>
            </wp:cNvGraphicFramePr>
            <a:graphic>
              <a:graphicData uri="http://schemas.openxmlformats.org/drawingml/2006/picture">
                <pic:pic>
                  <pic:nvPicPr>
                    <pic:cNvPr id="0" name="x-共享档案.png"/>
                    <pic:cNvPicPr/>
                  </pic:nvPicPr>
                  <pic:blipFill>
                    <a:blip r:embed="rId24"/>
                    <a:stretch>
                      <a:fillRect/>
                    </a:stretch>
                  </pic:blipFill>
                  <pic:spPr>
                    <a:xfrm>
                      <a:off x="0" y="0"/>
                      <a:ext cx="5400000" cy="3164062"/>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20　我的档案：共享记忆层的可视化，每条联动都标注依据来源</w:t>
      </w:r>
    </w:p>
    <w:p>
      <w:pPr>
        <w:keepNext w:val="0"/>
        <w:spacing w:before="160" w:after="40" w:line="240" w:lineRule="auto"/>
        <w:jc w:val="center"/>
      </w:pPr>
      <w:r>
        <w:drawing>
          <wp:inline xmlns:a="http://schemas.openxmlformats.org/drawingml/2006/main" xmlns:pic="http://schemas.openxmlformats.org/drawingml/2006/picture">
            <wp:extent cx="4680000" cy="2225543"/>
            <wp:docPr id="18" name="Picture 18"/>
            <wp:cNvGraphicFramePr>
              <a:graphicFrameLocks noChangeAspect="1"/>
            </wp:cNvGraphicFramePr>
            <a:graphic>
              <a:graphicData uri="http://schemas.openxmlformats.org/drawingml/2006/picture">
                <pic:pic>
                  <pic:nvPicPr>
                    <pic:cNvPr id="0" name="16-定向陷阱.png"/>
                    <pic:cNvPicPr/>
                  </pic:nvPicPr>
                  <pic:blipFill>
                    <a:blip r:embed="rId25"/>
                    <a:stretch>
                      <a:fillRect/>
                    </a:stretch>
                  </pic:blipFill>
                  <pic:spPr>
                    <a:xfrm>
                      <a:off x="0" y="0"/>
                      <a:ext cx="4680000" cy="2225543"/>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21　按用户画像定向推送的陷阱提醒（界面实拍）</w:t>
      </w:r>
    </w:p>
    <w:p>
      <w:pPr>
        <w:keepNext/>
        <w:spacing w:before="280" w:after="120" w:line="324" w:lineRule="auto"/>
        <w:jc w:val="left"/>
      </w:pPr>
      <w:r>
        <w:rPr>
          <w:rFonts w:ascii="黑体" w:hAnsi="黑体" w:eastAsia="黑体"/>
          <w:b/>
          <w:i w:val="0"/>
          <w:color w:val="000000"/>
          <w:sz w:val="27"/>
        </w:rPr>
        <w:t>3. 智能体自动化工作流程</w:t>
      </w:r>
    </w:p>
    <w:p>
      <w:pPr>
        <w:keepNext w:val="0"/>
        <w:spacing w:before="0" w:after="60" w:line="360" w:lineRule="auto"/>
        <w:ind w:firstLine="480"/>
        <w:jc w:val="both"/>
      </w:pPr>
      <w:r>
        <w:rPr>
          <w:rFonts w:ascii="宋体" w:hAnsi="宋体" w:eastAsia="宋体"/>
          <w:b w:val="0"/>
          <w:i w:val="0"/>
          <w:color w:val="1A1A1A"/>
          <w:sz w:val="24"/>
        </w:rPr>
        <w:t>识别与翻译模块背后是一条六阶段的智能体流水线，通过 Server-Sent Events 流式推送执行进度，界面上逐步点亮。</w:t>
      </w:r>
      <w:r>
        <w:rPr>
          <w:rFonts w:ascii="宋体" w:hAnsi="宋体" w:eastAsia="宋体"/>
          <w:b/>
          <w:i w:val="0"/>
          <w:color w:val="1A1A1A"/>
          <w:sz w:val="24"/>
        </w:rPr>
        <w:t>这不是「假思考动画」</w:t>
      </w:r>
      <w:r>
        <w:rPr>
          <w:rFonts w:ascii="宋体" w:hAnsi="宋体" w:eastAsia="宋体"/>
          <w:b w:val="0"/>
          <w:i w:val="0"/>
          <w:color w:val="1A1A1A"/>
          <w:sz w:val="24"/>
        </w:rPr>
        <w:t>：每一阶段展示的都是真实发生的事——命中项一条条弹出、法条卡片一张张翻出、被排除的疑似命中也照实列出。</w:t>
      </w:r>
    </w:p>
    <w:p>
      <w:pPr>
        <w:keepNext w:val="0"/>
        <w:spacing w:before="160" w:after="40" w:line="240" w:lineRule="auto"/>
        <w:jc w:val="center"/>
      </w:pPr>
      <w:r>
        <w:drawing>
          <wp:inline xmlns:a="http://schemas.openxmlformats.org/drawingml/2006/main" xmlns:pic="http://schemas.openxmlformats.org/drawingml/2006/picture">
            <wp:extent cx="5400000" cy="2907692"/>
            <wp:docPr id="19" name="Picture 19"/>
            <wp:cNvGraphicFramePr>
              <a:graphicFrameLocks noChangeAspect="1"/>
            </wp:cNvGraphicFramePr>
            <a:graphic>
              <a:graphicData uri="http://schemas.openxmlformats.org/drawingml/2006/picture">
                <pic:pic>
                  <pic:nvPicPr>
                    <pic:cNvPr id="0" name="fig5-流水线.png"/>
                    <pic:cNvPicPr/>
                  </pic:nvPicPr>
                  <pic:blipFill>
                    <a:blip r:embed="rId26"/>
                    <a:stretch>
                      <a:fillRect/>
                    </a:stretch>
                  </pic:blipFill>
                  <pic:spPr>
                    <a:xfrm>
                      <a:off x="0" y="0"/>
                      <a:ext cx="5400000" cy="2907692"/>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5　六阶段智能体流水线与「判定归规则，转述归模型」原则</w:t>
      </w:r>
    </w:p>
    <w:p>
      <w:pPr>
        <w:keepNext w:val="0"/>
        <w:spacing w:before="160" w:after="40" w:line="240" w:lineRule="auto"/>
        <w:jc w:val="center"/>
      </w:pPr>
      <w:r>
        <w:drawing>
          <wp:inline xmlns:a="http://schemas.openxmlformats.org/drawingml/2006/main" xmlns:pic="http://schemas.openxmlformats.org/drawingml/2006/picture">
            <wp:extent cx="4860000" cy="607500"/>
            <wp:docPr id="20" name="Picture 20"/>
            <wp:cNvGraphicFramePr>
              <a:graphicFrameLocks noChangeAspect="1"/>
            </wp:cNvGraphicFramePr>
            <a:graphic>
              <a:graphicData uri="http://schemas.openxmlformats.org/drawingml/2006/picture">
                <pic:pic>
                  <pic:nvPicPr>
                    <pic:cNvPr id="0" name="x-流水线-b.png"/>
                    <pic:cNvPicPr/>
                  </pic:nvPicPr>
                  <pic:blipFill>
                    <a:blip r:embed="rId27"/>
                    <a:stretch>
                      <a:fillRect/>
                    </a:stretch>
                  </pic:blipFill>
                  <pic:spPr>
                    <a:xfrm>
                      <a:off x="0" y="0"/>
                      <a:ext cx="4860000" cy="607500"/>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22　流水线执行中的真实界面：每一阶段标注它由「模型」还是「规则」驱动</w:t>
      </w:r>
    </w:p>
    <w:p>
      <w:pPr>
        <w:keepNext w:val="0"/>
        <w:spacing w:before="0" w:after="60" w:line="360" w:lineRule="auto"/>
        <w:ind w:firstLine="480"/>
        <w:jc w:val="both"/>
      </w:pPr>
      <w:r>
        <w:rPr>
          <w:rFonts w:ascii="宋体" w:hAnsi="宋体" w:eastAsia="宋体"/>
          <w:b/>
          <w:i w:val="0"/>
          <w:color w:val="1A1A1A"/>
          <w:sz w:val="24"/>
        </w:rPr>
        <w:t>界面上明确标注每个阶段由「模型」还是「规则」驱动，这本身就是产品的诚实性设计。</w:t>
      </w:r>
      <w:r>
        <w:rPr>
          <w:rFonts w:ascii="宋体" w:hAnsi="宋体" w:eastAsia="宋体"/>
          <w:b w:val="0"/>
          <w:i w:val="0"/>
          <w:color w:val="1A1A1A"/>
          <w:sz w:val="24"/>
        </w:rPr>
        <w:t xml:space="preserve"> 六个阶段中只有三个调用大模型（视觉识别、语义识别、汇总转述），另外三个是本地规则库与法规库的确定性比对。我们刻意把「判断」放在规则层、把「提取和转述」放在模型层，正是因为金融场景不能接受模型自由裁量。</w:t>
      </w:r>
      <w:r>
        <w:rPr>
          <w:rFonts w:ascii="宋体" w:hAnsi="宋体" w:eastAsia="宋体"/>
          <w:b/>
          <w:i w:val="0"/>
          <w:color w:val="1A1A1A"/>
          <w:sz w:val="24"/>
        </w:rPr>
        <w:t>判定越少依赖模型，结论越可信。</w:t>
      </w:r>
    </w:p>
    <w:p>
      <w:pPr>
        <w:keepNext/>
        <w:spacing w:before="280" w:after="120" w:line="324" w:lineRule="auto"/>
        <w:jc w:val="left"/>
      </w:pPr>
      <w:r>
        <w:rPr>
          <w:rFonts w:ascii="黑体" w:hAnsi="黑体" w:eastAsia="黑体"/>
          <w:b/>
          <w:i w:val="0"/>
          <w:color w:val="000000"/>
          <w:sz w:val="27"/>
        </w:rPr>
        <w:t>4. 项目运行效果说明</w:t>
      </w:r>
    </w:p>
    <w:p>
      <w:pPr>
        <w:keepNext w:val="0"/>
        <w:spacing w:before="0" w:after="60" w:line="360" w:lineRule="auto"/>
        <w:ind w:firstLine="480"/>
        <w:jc w:val="both"/>
      </w:pPr>
      <w:r>
        <w:rPr>
          <w:rFonts w:ascii="宋体" w:hAnsi="宋体" w:eastAsia="宋体"/>
          <w:b/>
          <w:i w:val="0"/>
          <w:color w:val="1A1A1A"/>
          <w:sz w:val="24"/>
        </w:rPr>
        <w:t>（1）功能完成度。</w:t>
      </w:r>
      <w:r>
        <w:rPr>
          <w:rFonts w:ascii="宋体" w:hAnsi="宋体" w:eastAsia="宋体"/>
          <w:b w:val="0"/>
          <w:i w:val="0"/>
          <w:color w:val="1A1A1A"/>
          <w:sz w:val="24"/>
        </w:rPr>
        <w:t xml:space="preserve"> 四个标签页全部可用并已完成生产构建。识别与翻译、学习、规划师、我的档案四条链路均可端到端跑通，含真实的多模态 OCR、真实的规则判定与真实的模型转述。</w:t>
      </w:r>
    </w:p>
    <w:p>
      <w:pPr>
        <w:keepNext w:val="0"/>
        <w:spacing w:before="0" w:after="60" w:line="360" w:lineRule="auto"/>
        <w:ind w:firstLine="480"/>
        <w:jc w:val="both"/>
      </w:pPr>
      <w:r>
        <w:rPr>
          <w:rFonts w:ascii="宋体" w:hAnsi="宋体" w:eastAsia="宋体"/>
          <w:b/>
          <w:i w:val="0"/>
          <w:color w:val="1A1A1A"/>
          <w:sz w:val="24"/>
        </w:rPr>
        <w:t>（2）响应速度（实测）。</w:t>
      </w:r>
      <w:r>
        <w:rPr>
          <w:rFonts w:ascii="宋体" w:hAnsi="宋体" w:eastAsia="宋体"/>
          <w:b w:val="0"/>
          <w:i w:val="0"/>
          <w:color w:val="1A1A1A"/>
          <w:sz w:val="24"/>
        </w:rPr>
        <w:t xml:space="preserve"> 图片输入的端到端耗时 3–7 秒，纯文字输入 0.9–3.9 秒。语义识别通道设 7 秒硬超时，超时即降级为纯规则通道，不影响出结论；模型转述设 8 秒硬超时，超时即改用模板总结。</w:t>
      </w:r>
      <w:r>
        <w:rPr>
          <w:rFonts w:ascii="宋体" w:hAnsi="宋体" w:eastAsia="宋体"/>
          <w:b/>
          <w:i w:val="0"/>
          <w:color w:val="1A1A1A"/>
          <w:sz w:val="24"/>
        </w:rPr>
        <w:t>现场演示不会因为一次 API 抖动而卡住。</w:t>
      </w:r>
    </w:p>
    <w:p>
      <w:pPr>
        <w:keepNext w:val="0"/>
        <w:spacing w:before="0" w:after="60" w:line="360" w:lineRule="auto"/>
        <w:ind w:firstLine="480"/>
        <w:jc w:val="both"/>
      </w:pPr>
      <w:r>
        <w:rPr>
          <w:rFonts w:ascii="宋体" w:hAnsi="宋体" w:eastAsia="宋体"/>
          <w:b/>
          <w:i w:val="0"/>
          <w:color w:val="1A1A1A"/>
          <w:sz w:val="24"/>
        </w:rPr>
        <w:t>（3）判定质量。</w:t>
      </w:r>
      <w:r>
        <w:rPr>
          <w:rFonts w:ascii="宋体" w:hAnsi="宋体" w:eastAsia="宋体"/>
          <w:b w:val="0"/>
          <w:i w:val="0"/>
          <w:color w:val="1A1A1A"/>
          <w:sz w:val="24"/>
        </w:rPr>
        <w:t xml:space="preserve"> 自动化回归测试共 843 项断言，全部通过：违规话术库回归 35 例、语义通道校验层 11 例、输出审查层 13 例、财务计算 10 项、规划推演 27 项、题库 611 项、规划师问答闸门 136 项。其中违规话术库回归同时包含正例（应判红）与反例（应判绿），后者专门用于防止误判。</w:t>
      </w:r>
    </w:p>
    <w:p>
      <w:pPr>
        <w:keepNext w:val="0"/>
        <w:spacing w:before="0" w:after="60" w:line="360" w:lineRule="auto"/>
        <w:ind w:firstLine="480"/>
        <w:jc w:val="both"/>
      </w:pPr>
      <w:r>
        <w:rPr>
          <w:rFonts w:ascii="宋体" w:hAnsi="宋体" w:eastAsia="宋体"/>
          <w:b/>
          <w:i w:val="0"/>
          <w:color w:val="1A1A1A"/>
          <w:sz w:val="24"/>
        </w:rPr>
        <w:t>（4）无模型时的降级能力。</w:t>
      </w:r>
      <w:r>
        <w:rPr>
          <w:rFonts w:ascii="宋体" w:hAnsi="宋体" w:eastAsia="宋体"/>
          <w:b w:val="0"/>
          <w:i w:val="0"/>
          <w:color w:val="1A1A1A"/>
          <w:sz w:val="24"/>
        </w:rPr>
        <w:t xml:space="preserve"> 未配置模型 API Key 时，系统自动切换到内置的 mock provider，产品仍能完整演示一遍；术语词典、关键点提示、两个计算器、规划师全流程、学习模块全部</w:t>
      </w:r>
      <w:r>
        <w:rPr>
          <w:rFonts w:ascii="宋体" w:hAnsi="宋体" w:eastAsia="宋体"/>
          <w:b/>
          <w:i w:val="0"/>
          <w:color w:val="1A1A1A"/>
          <w:sz w:val="24"/>
        </w:rPr>
        <w:t>完全不依赖模型</w:t>
      </w:r>
      <w:r>
        <w:rPr>
          <w:rFonts w:ascii="宋体" w:hAnsi="宋体" w:eastAsia="宋体"/>
          <w:b w:val="0"/>
          <w:i w:val="0"/>
          <w:color w:val="1A1A1A"/>
          <w:sz w:val="24"/>
        </w:rPr>
        <w:t>。这既是演示的保险绳，也是产品在弱网环境下仍然可用的保证。</w:t>
      </w:r>
    </w:p>
    <w:p>
      <w:pPr>
        <w:keepNext w:val="0"/>
        <w:spacing w:before="0" w:after="60" w:line="360" w:lineRule="auto"/>
        <w:ind w:firstLine="480"/>
        <w:jc w:val="both"/>
      </w:pPr>
      <w:r>
        <w:rPr>
          <w:rFonts w:ascii="宋体" w:hAnsi="宋体" w:eastAsia="宋体"/>
          <w:b/>
          <w:i w:val="0"/>
          <w:color w:val="1A1A1A"/>
          <w:sz w:val="24"/>
        </w:rPr>
        <w:t>（5）演示素材的合规性。</w:t>
      </w:r>
      <w:r>
        <w:rPr>
          <w:rFonts w:ascii="宋体" w:hAnsi="宋体" w:eastAsia="宋体"/>
          <w:b w:val="0"/>
          <w:i w:val="0"/>
          <w:color w:val="1A1A1A"/>
          <w:sz w:val="24"/>
        </w:rPr>
        <w:t xml:space="preserve"> 公开演示仅使用团队自制的仿真样本（机构名一律虚构，如「示例理财有限责任公司」），</w:t>
      </w:r>
      <w:r>
        <w:rPr>
          <w:rFonts w:ascii="宋体" w:hAnsi="宋体" w:eastAsia="宋体"/>
          <w:b/>
          <w:i w:val="0"/>
          <w:color w:val="1A1A1A"/>
          <w:sz w:val="24"/>
        </w:rPr>
        <w:t>不使用可识别到真实公司的截图</w:t>
      </w:r>
      <w:r>
        <w:rPr>
          <w:rFonts w:ascii="宋体" w:hAnsi="宋体" w:eastAsia="宋体"/>
          <w:b w:val="0"/>
          <w:i w:val="0"/>
          <w:color w:val="1A1A1A"/>
          <w:sz w:val="24"/>
        </w:rPr>
        <w:t>——在公开场合指认一家真实企业「涉嫌违法」存在名誉风险，且与我们「不作法律定性」的产品定位相冲突。</w:t>
      </w:r>
    </w:p>
    <w:p>
      <w:r>
        <w:br w:type="page"/>
      </w:r>
    </w:p>
    <w:p>
      <w:pPr>
        <w:keepNext/>
        <w:spacing w:before="400" w:after="200" w:line="324" w:lineRule="auto"/>
        <w:jc w:val="left"/>
      </w:pPr>
      <w:r>
        <w:rPr>
          <w:rFonts w:ascii="黑体" w:hAnsi="黑体" w:eastAsia="黑体"/>
          <w:b/>
          <w:i w:val="0"/>
          <w:color w:val="000000"/>
          <w:sz w:val="32"/>
        </w:rPr>
        <w:t>六、技术方案</w:t>
      </w:r>
    </w:p>
    <w:p>
      <w:pPr>
        <w:keepNext/>
        <w:spacing w:before="280" w:after="120" w:line="324" w:lineRule="auto"/>
        <w:jc w:val="left"/>
      </w:pPr>
      <w:r>
        <w:rPr>
          <w:rFonts w:ascii="黑体" w:hAnsi="黑体" w:eastAsia="黑体"/>
          <w:b/>
          <w:i w:val="0"/>
          <w:color w:val="000000"/>
          <w:sz w:val="27"/>
        </w:rPr>
        <w:t>1. 整体技术架构（AI 智能体架构 + 网页架构）</w:t>
      </w:r>
    </w:p>
    <w:p>
      <w:pPr>
        <w:keepNext w:val="0"/>
        <w:spacing w:before="0" w:after="60" w:line="360" w:lineRule="auto"/>
        <w:ind w:firstLine="480"/>
        <w:jc w:val="both"/>
      </w:pPr>
      <w:r>
        <w:rPr>
          <w:rFonts w:ascii="宋体" w:hAnsi="宋体" w:eastAsia="宋体"/>
          <w:b w:val="0"/>
          <w:i w:val="0"/>
          <w:color w:val="1A1A1A"/>
          <w:sz w:val="24"/>
        </w:rPr>
        <w:t>系统采用</w:t>
      </w:r>
      <w:r>
        <w:rPr>
          <w:rFonts w:ascii="宋体" w:hAnsi="宋体" w:eastAsia="宋体"/>
          <w:b/>
          <w:i w:val="0"/>
          <w:color w:val="1A1A1A"/>
          <w:sz w:val="24"/>
        </w:rPr>
        <w:t>「三个智能体 + 一层共享记忆 + 一个模型适配层 + 一套本地知识与规则库」</w:t>
      </w:r>
      <w:r>
        <w:rPr>
          <w:rFonts w:ascii="宋体" w:hAnsi="宋体" w:eastAsia="宋体"/>
          <w:b w:val="0"/>
          <w:i w:val="0"/>
          <w:color w:val="1A1A1A"/>
          <w:sz w:val="24"/>
        </w:rPr>
        <w:t>的架构。前后端一体（Next.js App Router），API Route 直接承担智能体编排，避免独立后端服务带来的部署与运维成本。</w:t>
      </w:r>
    </w:p>
    <w:p>
      <w:pPr>
        <w:keepNext w:val="0"/>
        <w:spacing w:before="0" w:after="60" w:line="360" w:lineRule="auto"/>
        <w:ind w:firstLine="480"/>
        <w:jc w:val="both"/>
      </w:pPr>
      <w:r>
        <w:rPr>
          <w:rFonts w:ascii="宋体" w:hAnsi="宋体" w:eastAsia="宋体"/>
          <w:b/>
          <w:i w:val="0"/>
          <w:color w:val="1A1A1A"/>
          <w:sz w:val="24"/>
        </w:rPr>
        <w:t>智能体层</w:t>
      </w:r>
      <w:r>
        <w:rPr>
          <w:rFonts w:ascii="宋体" w:hAnsi="宋体" w:eastAsia="宋体"/>
          <w:b w:val="0"/>
          <w:i w:val="0"/>
          <w:color w:val="1A1A1A"/>
          <w:sz w:val="24"/>
        </w:rPr>
        <w:t>：安全识别智能体（含内部六阶段流水线）、金融知识智能体、理财规划智能体。三者共读共写同一份用户档案，形成互相增强而非彼此独立的关系。</w:t>
      </w:r>
    </w:p>
    <w:p>
      <w:pPr>
        <w:keepNext w:val="0"/>
        <w:spacing w:before="0" w:after="60" w:line="360" w:lineRule="auto"/>
        <w:ind w:firstLine="480"/>
        <w:jc w:val="both"/>
      </w:pPr>
      <w:r>
        <w:rPr>
          <w:rFonts w:ascii="宋体" w:hAnsi="宋体" w:eastAsia="宋体"/>
          <w:b/>
          <w:i w:val="0"/>
          <w:color w:val="1A1A1A"/>
          <w:sz w:val="24"/>
        </w:rPr>
        <w:t>记忆层</w:t>
      </w:r>
      <w:r>
        <w:rPr>
          <w:rFonts w:ascii="宋体" w:hAnsi="宋体" w:eastAsia="宋体"/>
          <w:b w:val="0"/>
          <w:i w:val="0"/>
          <w:color w:val="1A1A1A"/>
          <w:sz w:val="24"/>
        </w:rPr>
        <w:t>：共享用户档案，存于浏览器本地存储（localStorage），不建集中式用户数据库。读写全部包裹异常处理，任何存储不可用的情形下产品仍正常工作。</w:t>
      </w:r>
    </w:p>
    <w:p>
      <w:pPr>
        <w:keepNext w:val="0"/>
        <w:spacing w:before="0" w:after="60" w:line="360" w:lineRule="auto"/>
        <w:ind w:firstLine="480"/>
        <w:jc w:val="both"/>
      </w:pPr>
      <w:r>
        <w:rPr>
          <w:rFonts w:ascii="宋体" w:hAnsi="宋体" w:eastAsia="宋体"/>
          <w:b/>
          <w:i w:val="0"/>
          <w:color w:val="1A1A1A"/>
          <w:sz w:val="24"/>
        </w:rPr>
        <w:t>知识与规则层</w:t>
      </w:r>
      <w:r>
        <w:rPr>
          <w:rFonts w:ascii="宋体" w:hAnsi="宋体" w:eastAsia="宋体"/>
          <w:b w:val="0"/>
          <w:i w:val="0"/>
          <w:color w:val="1A1A1A"/>
          <w:sz w:val="24"/>
        </w:rPr>
        <w:t>：全部为仓库内的 JSON，可版本控制、可逐条溯源、可离线运行。包括违规话术特征库、法规条文库、骗局图鉴与剧本、术语表、投资方向科普、定向陷阱库、题库、市场基准快照、仿真演示样本。</w:t>
      </w:r>
    </w:p>
    <w:p>
      <w:pPr>
        <w:keepNext w:val="0"/>
        <w:spacing w:before="0" w:after="60" w:line="360" w:lineRule="auto"/>
        <w:ind w:firstLine="480"/>
        <w:jc w:val="both"/>
      </w:pPr>
      <w:r>
        <w:rPr>
          <w:rFonts w:ascii="宋体" w:hAnsi="宋体" w:eastAsia="宋体"/>
          <w:b/>
          <w:i w:val="0"/>
          <w:color w:val="1A1A1A"/>
          <w:sz w:val="24"/>
        </w:rPr>
        <w:t>模型适配层</w:t>
      </w:r>
      <w:r>
        <w:rPr>
          <w:rFonts w:ascii="宋体" w:hAnsi="宋体" w:eastAsia="宋体"/>
          <w:b w:val="0"/>
          <w:i w:val="0"/>
          <w:color w:val="1A1A1A"/>
          <w:sz w:val="24"/>
        </w:rPr>
        <w:t>：统一接口（`extractFromImage` / `summarize` / 分类任务），按环境变量选择 provider。默认通义千问，可扩展至其他国产模型；无 Key 时自动回落到 mock。</w:t>
      </w:r>
      <w:r>
        <w:rPr>
          <w:rFonts w:ascii="宋体" w:hAnsi="宋体" w:eastAsia="宋体"/>
          <w:b/>
          <w:i w:val="0"/>
          <w:color w:val="1A1A1A"/>
          <w:sz w:val="24"/>
        </w:rPr>
        <w:t>业务层不感知模型差异，一行环境变量即可换模型。</w:t>
      </w:r>
    </w:p>
    <w:p>
      <w:pPr>
        <w:keepNext/>
        <w:spacing w:before="280" w:after="120" w:line="324" w:lineRule="auto"/>
        <w:jc w:val="left"/>
      </w:pPr>
      <w:r>
        <w:rPr>
          <w:rFonts w:ascii="黑体" w:hAnsi="黑体" w:eastAsia="黑体"/>
          <w:b/>
          <w:i w:val="0"/>
          <w:color w:val="000000"/>
          <w:sz w:val="27"/>
        </w:rPr>
        <w:t>2. 核心技术栈明细</w:t>
      </w:r>
    </w:p>
    <w:tbl>
      <w:tblPr>
        <w:tblStyle w:val="TableGrid"/>
        <w:tblW w:type="auto" w:w="0"/>
        <w:jc w:val="center"/>
        <w:tblLayout w:type="fixed"/>
        <w:tblLook w:firstColumn="1" w:firstRow="1" w:lastColumn="0" w:lastRow="0" w:noHBand="0" w:noVBand="1" w:val="04A0"/>
      </w:tblPr>
      <w:tblGrid>
        <w:gridCol w:w="2126"/>
        <w:gridCol w:w="2126"/>
        <w:gridCol w:w="2126"/>
        <w:gridCol w:w="2126"/>
      </w:tblGrid>
      <w:tr>
        <w:tc>
          <w:tcPr>
            <w:tcW w:type="dxa" w:w="1053"/>
            <w:shd w:fill="F2F2F2"/>
          </w:tcPr>
          <w:p>
            <w:pPr>
              <w:spacing w:after="20" w:before="20" w:line="276" w:lineRule="auto"/>
              <w:jc w:val="center"/>
            </w:pPr>
            <w:r/>
            <w:r>
              <w:rPr>
                <w:rFonts w:ascii="黑体" w:hAnsi="黑体" w:eastAsia="黑体"/>
                <w:b/>
                <w:i w:val="0"/>
                <w:color w:val="000000"/>
                <w:sz w:val="19"/>
              </w:rPr>
              <w:t>层次</w:t>
            </w:r>
          </w:p>
        </w:tc>
        <w:tc>
          <w:tcPr>
            <w:tcW w:type="dxa" w:w="1782"/>
            <w:shd w:fill="F2F2F2"/>
          </w:tcPr>
          <w:p>
            <w:pPr>
              <w:spacing w:after="20" w:before="20" w:line="276" w:lineRule="auto"/>
              <w:jc w:val="center"/>
            </w:pPr>
            <w:r/>
            <w:r>
              <w:rPr>
                <w:rFonts w:ascii="黑体" w:hAnsi="黑体" w:eastAsia="黑体"/>
                <w:b/>
                <w:i w:val="0"/>
                <w:color w:val="000000"/>
                <w:sz w:val="19"/>
              </w:rPr>
              <w:t>选型</w:t>
            </w:r>
          </w:p>
        </w:tc>
        <w:tc>
          <w:tcPr>
            <w:tcW w:type="dxa" w:w="2106"/>
            <w:shd w:fill="F2F2F2"/>
          </w:tcPr>
          <w:p>
            <w:pPr>
              <w:spacing w:after="20" w:before="20" w:line="276" w:lineRule="auto"/>
              <w:jc w:val="center"/>
            </w:pPr>
            <w:r/>
            <w:r>
              <w:rPr>
                <w:rFonts w:ascii="黑体" w:hAnsi="黑体" w:eastAsia="黑体"/>
                <w:b/>
                <w:i w:val="0"/>
                <w:color w:val="000000"/>
                <w:sz w:val="19"/>
              </w:rPr>
              <w:t>版本 / 说明</w:t>
            </w:r>
          </w:p>
        </w:tc>
        <w:tc>
          <w:tcPr>
            <w:tcW w:type="dxa" w:w="3564"/>
            <w:shd w:fill="F2F2F2"/>
          </w:tcPr>
          <w:p>
            <w:pPr>
              <w:spacing w:after="20" w:before="20" w:line="276" w:lineRule="auto"/>
              <w:jc w:val="center"/>
            </w:pPr>
            <w:r/>
            <w:r>
              <w:rPr>
                <w:rFonts w:ascii="黑体" w:hAnsi="黑体" w:eastAsia="黑体"/>
                <w:b/>
                <w:i w:val="0"/>
                <w:color w:val="000000"/>
                <w:sz w:val="19"/>
              </w:rPr>
              <w:t>选择理由</w:t>
            </w:r>
          </w:p>
        </w:tc>
      </w:tr>
      <w:tr>
        <w:tc>
          <w:tcPr>
            <w:tcW w:type="dxa" w:w="1053"/>
          </w:tcPr>
          <w:p>
            <w:pPr>
              <w:spacing w:after="20" w:before="20" w:line="276" w:lineRule="auto"/>
            </w:pPr>
            <w:r/>
            <w:r>
              <w:rPr>
                <w:rFonts w:ascii="宋体" w:hAnsi="宋体" w:eastAsia="宋体"/>
                <w:b w:val="0"/>
                <w:i w:val="0"/>
                <w:color w:val="1A1A1A"/>
                <w:sz w:val="19"/>
              </w:rPr>
              <w:t>前端框架</w:t>
            </w:r>
          </w:p>
        </w:tc>
        <w:tc>
          <w:tcPr>
            <w:tcW w:type="dxa" w:w="1782"/>
          </w:tcPr>
          <w:p>
            <w:pPr>
              <w:spacing w:after="20" w:before="20" w:line="276" w:lineRule="auto"/>
            </w:pPr>
            <w:r/>
            <w:r>
              <w:rPr>
                <w:rFonts w:ascii="宋体" w:hAnsi="宋体" w:eastAsia="宋体"/>
                <w:b w:val="0"/>
                <w:i w:val="0"/>
                <w:color w:val="1A1A1A"/>
                <w:sz w:val="19"/>
              </w:rPr>
              <w:t>Next.js（App Router）+ React</w:t>
            </w:r>
          </w:p>
        </w:tc>
        <w:tc>
          <w:tcPr>
            <w:tcW w:type="dxa" w:w="2106"/>
          </w:tcPr>
          <w:p>
            <w:pPr>
              <w:spacing w:after="20" w:before="20" w:line="276" w:lineRule="auto"/>
            </w:pPr>
            <w:r/>
            <w:r>
              <w:rPr>
                <w:rFonts w:ascii="宋体" w:hAnsi="宋体" w:eastAsia="宋体"/>
                <w:b w:val="0"/>
                <w:i w:val="0"/>
                <w:color w:val="1A1A1A"/>
                <w:sz w:val="19"/>
              </w:rPr>
              <w:t>Next 16.3.4 / React 19.2.8</w:t>
            </w:r>
          </w:p>
        </w:tc>
        <w:tc>
          <w:tcPr>
            <w:tcW w:type="dxa" w:w="3564"/>
          </w:tcPr>
          <w:p>
            <w:pPr>
              <w:spacing w:after="20" w:before="20" w:line="276" w:lineRule="auto"/>
            </w:pPr>
            <w:r/>
            <w:r>
              <w:rPr>
                <w:rFonts w:ascii="宋体" w:hAnsi="宋体" w:eastAsia="宋体"/>
                <w:b w:val="0"/>
                <w:i w:val="0"/>
                <w:color w:val="1A1A1A"/>
                <w:sz w:val="19"/>
              </w:rPr>
              <w:t>前后端一体，API Route 直接做智能体编排；一条命令部署即得公网链接</w:t>
            </w:r>
          </w:p>
        </w:tc>
      </w:tr>
      <w:tr>
        <w:tc>
          <w:tcPr>
            <w:tcW w:type="dxa" w:w="1053"/>
          </w:tcPr>
          <w:p>
            <w:pPr>
              <w:spacing w:after="20" w:before="20" w:line="276" w:lineRule="auto"/>
            </w:pPr>
            <w:r/>
            <w:r>
              <w:rPr>
                <w:rFonts w:ascii="宋体" w:hAnsi="宋体" w:eastAsia="宋体"/>
                <w:b w:val="0"/>
                <w:i w:val="0"/>
                <w:color w:val="1A1A1A"/>
                <w:sz w:val="19"/>
              </w:rPr>
              <w:t>语言</w:t>
            </w:r>
          </w:p>
        </w:tc>
        <w:tc>
          <w:tcPr>
            <w:tcW w:type="dxa" w:w="1782"/>
          </w:tcPr>
          <w:p>
            <w:pPr>
              <w:spacing w:after="20" w:before="20" w:line="276" w:lineRule="auto"/>
            </w:pPr>
            <w:r/>
            <w:r>
              <w:rPr>
                <w:rFonts w:ascii="宋体" w:hAnsi="宋体" w:eastAsia="宋体"/>
                <w:b w:val="0"/>
                <w:i w:val="0"/>
                <w:color w:val="1A1A1A"/>
                <w:sz w:val="19"/>
              </w:rPr>
              <w:t>TypeScript</w:t>
            </w:r>
          </w:p>
        </w:tc>
        <w:tc>
          <w:tcPr>
            <w:tcW w:type="dxa" w:w="2106"/>
          </w:tcPr>
          <w:p>
            <w:pPr>
              <w:spacing w:after="20" w:before="20" w:line="276" w:lineRule="auto"/>
            </w:pPr>
            <w:r/>
            <w:r>
              <w:rPr>
                <w:rFonts w:ascii="宋体" w:hAnsi="宋体" w:eastAsia="宋体"/>
                <w:b w:val="0"/>
                <w:i w:val="0"/>
                <w:color w:val="1A1A1A"/>
                <w:sz w:val="19"/>
              </w:rPr>
              <w:t>5.x，严格模式</w:t>
            </w:r>
          </w:p>
        </w:tc>
        <w:tc>
          <w:tcPr>
            <w:tcW w:type="dxa" w:w="3564"/>
          </w:tcPr>
          <w:p>
            <w:pPr>
              <w:spacing w:after="20" w:before="20" w:line="276" w:lineRule="auto"/>
            </w:pPr>
            <w:r/>
            <w:r>
              <w:rPr>
                <w:rFonts w:ascii="宋体" w:hAnsi="宋体" w:eastAsia="宋体"/>
                <w:b w:val="0"/>
                <w:i w:val="0"/>
                <w:color w:val="1A1A1A"/>
                <w:sz w:val="19"/>
              </w:rPr>
              <w:t>规则引擎与报告结构复杂，类型系统是正确性的第一道保障</w:t>
            </w:r>
          </w:p>
        </w:tc>
      </w:tr>
      <w:tr>
        <w:tc>
          <w:tcPr>
            <w:tcW w:type="dxa" w:w="1053"/>
          </w:tcPr>
          <w:p>
            <w:pPr>
              <w:spacing w:after="20" w:before="20" w:line="276" w:lineRule="auto"/>
            </w:pPr>
            <w:r/>
            <w:r>
              <w:rPr>
                <w:rFonts w:ascii="宋体" w:hAnsi="宋体" w:eastAsia="宋体"/>
                <w:b w:val="0"/>
                <w:i w:val="0"/>
                <w:color w:val="1A1A1A"/>
                <w:sz w:val="19"/>
              </w:rPr>
              <w:t>样式</w:t>
            </w:r>
          </w:p>
        </w:tc>
        <w:tc>
          <w:tcPr>
            <w:tcW w:type="dxa" w:w="1782"/>
          </w:tcPr>
          <w:p>
            <w:pPr>
              <w:spacing w:after="20" w:before="20" w:line="276" w:lineRule="auto"/>
            </w:pPr>
            <w:r/>
            <w:r>
              <w:rPr>
                <w:rFonts w:ascii="宋体" w:hAnsi="宋体" w:eastAsia="宋体"/>
                <w:b w:val="0"/>
                <w:i w:val="0"/>
                <w:color w:val="1A1A1A"/>
                <w:sz w:val="19"/>
              </w:rPr>
              <w:t>Tailwind CSS</w:t>
            </w:r>
          </w:p>
        </w:tc>
        <w:tc>
          <w:tcPr>
            <w:tcW w:type="dxa" w:w="2106"/>
          </w:tcPr>
          <w:p>
            <w:pPr>
              <w:spacing w:after="20" w:before="20" w:line="276" w:lineRule="auto"/>
            </w:pPr>
            <w:r/>
            <w:r>
              <w:rPr>
                <w:rFonts w:ascii="宋体" w:hAnsi="宋体" w:eastAsia="宋体"/>
                <w:b w:val="0"/>
                <w:i w:val="0"/>
                <w:color w:val="1A1A1A"/>
                <w:sz w:val="19"/>
              </w:rPr>
              <w:t>v4，全部颜色走 CSS 变量</w:t>
            </w:r>
          </w:p>
        </w:tc>
        <w:tc>
          <w:tcPr>
            <w:tcW w:type="dxa" w:w="3564"/>
          </w:tcPr>
          <w:p>
            <w:pPr>
              <w:spacing w:after="20" w:before="20" w:line="276" w:lineRule="auto"/>
            </w:pPr>
            <w:r/>
            <w:r>
              <w:rPr>
                <w:rFonts w:ascii="宋体" w:hAnsi="宋体" w:eastAsia="宋体"/>
                <w:b w:val="0"/>
                <w:i w:val="0"/>
                <w:color w:val="1A1A1A"/>
                <w:sz w:val="19"/>
              </w:rPr>
              <w:t>移动端适配快；配色 token 化，便于统一风险语义色与适老化字号</w:t>
            </w:r>
          </w:p>
        </w:tc>
      </w:tr>
      <w:tr>
        <w:tc>
          <w:tcPr>
            <w:tcW w:type="dxa" w:w="1053"/>
          </w:tcPr>
          <w:p>
            <w:pPr>
              <w:spacing w:after="20" w:before="20" w:line="276" w:lineRule="auto"/>
            </w:pPr>
            <w:r/>
            <w:r>
              <w:rPr>
                <w:rFonts w:ascii="宋体" w:hAnsi="宋体" w:eastAsia="宋体"/>
                <w:b w:val="0"/>
                <w:i w:val="0"/>
                <w:color w:val="1A1A1A"/>
                <w:sz w:val="19"/>
              </w:rPr>
              <w:t>流式传输</w:t>
            </w:r>
          </w:p>
        </w:tc>
        <w:tc>
          <w:tcPr>
            <w:tcW w:type="dxa" w:w="1782"/>
          </w:tcPr>
          <w:p>
            <w:pPr>
              <w:spacing w:after="20" w:before="20" w:line="276" w:lineRule="auto"/>
            </w:pPr>
            <w:r/>
            <w:r>
              <w:rPr>
                <w:rFonts w:ascii="宋体" w:hAnsi="宋体" w:eastAsia="宋体"/>
                <w:b w:val="0"/>
                <w:i w:val="0"/>
                <w:color w:val="1A1A1A"/>
                <w:sz w:val="19"/>
              </w:rPr>
              <w:t>Server-Sent Events</w:t>
            </w:r>
          </w:p>
        </w:tc>
        <w:tc>
          <w:tcPr>
            <w:tcW w:type="dxa" w:w="2106"/>
          </w:tcPr>
          <w:p>
            <w:pPr>
              <w:spacing w:after="20" w:before="20" w:line="276" w:lineRule="auto"/>
            </w:pPr>
            <w:r/>
            <w:r>
              <w:rPr>
                <w:rFonts w:ascii="宋体" w:hAnsi="宋体" w:eastAsia="宋体"/>
                <w:b w:val="0"/>
                <w:i w:val="0"/>
                <w:color w:val="1A1A1A"/>
                <w:sz w:val="19"/>
              </w:rPr>
              <w:t>原生实现，无额外依赖</w:t>
            </w:r>
          </w:p>
        </w:tc>
        <w:tc>
          <w:tcPr>
            <w:tcW w:type="dxa" w:w="3564"/>
          </w:tcPr>
          <w:p>
            <w:pPr>
              <w:spacing w:after="20" w:before="20" w:line="276" w:lineRule="auto"/>
            </w:pPr>
            <w:r/>
            <w:r>
              <w:rPr>
                <w:rFonts w:ascii="宋体" w:hAnsi="宋体" w:eastAsia="宋体"/>
                <w:b w:val="0"/>
                <w:i w:val="0"/>
                <w:color w:val="1A1A1A"/>
                <w:sz w:val="19"/>
              </w:rPr>
              <w:t>六阶段执行过程逐步点亮，是核心体验；比 WebSocket 更轻、更适合单向推送</w:t>
            </w:r>
          </w:p>
        </w:tc>
      </w:tr>
      <w:tr>
        <w:tc>
          <w:tcPr>
            <w:tcW w:type="dxa" w:w="1053"/>
          </w:tcPr>
          <w:p>
            <w:pPr>
              <w:spacing w:after="20" w:before="20" w:line="276" w:lineRule="auto"/>
            </w:pPr>
            <w:r/>
            <w:r>
              <w:rPr>
                <w:rFonts w:ascii="宋体" w:hAnsi="宋体" w:eastAsia="宋体"/>
                <w:b w:val="0"/>
                <w:i w:val="0"/>
                <w:color w:val="1A1A1A"/>
                <w:sz w:val="19"/>
              </w:rPr>
              <w:t>存储</w:t>
            </w:r>
          </w:p>
        </w:tc>
        <w:tc>
          <w:tcPr>
            <w:tcW w:type="dxa" w:w="1782"/>
          </w:tcPr>
          <w:p>
            <w:pPr>
              <w:spacing w:after="20" w:before="20" w:line="276" w:lineRule="auto"/>
            </w:pPr>
            <w:r/>
            <w:r>
              <w:rPr>
                <w:rFonts w:ascii="宋体" w:hAnsi="宋体" w:eastAsia="宋体"/>
                <w:b w:val="0"/>
                <w:i w:val="0"/>
                <w:color w:val="1A1A1A"/>
                <w:sz w:val="19"/>
              </w:rPr>
              <w:t>localStorage + 仓库内 JSON</w:t>
            </w:r>
          </w:p>
        </w:tc>
        <w:tc>
          <w:tcPr>
            <w:tcW w:type="dxa" w:w="2106"/>
          </w:tcPr>
          <w:p>
            <w:pPr>
              <w:spacing w:after="20" w:before="20" w:line="276" w:lineRule="auto"/>
            </w:pPr>
            <w:r/>
            <w:r>
              <w:rPr>
                <w:rFonts w:ascii="宋体" w:hAnsi="宋体" w:eastAsia="宋体"/>
                <w:b w:val="0"/>
                <w:i w:val="0"/>
                <w:color w:val="1A1A1A"/>
                <w:sz w:val="19"/>
              </w:rPr>
              <w:t>无数据库</w:t>
            </w:r>
          </w:p>
        </w:tc>
        <w:tc>
          <w:tcPr>
            <w:tcW w:type="dxa" w:w="3564"/>
          </w:tcPr>
          <w:p>
            <w:pPr>
              <w:spacing w:after="20" w:before="20" w:line="276" w:lineRule="auto"/>
            </w:pPr>
            <w:r/>
            <w:r>
              <w:rPr>
                <w:rFonts w:ascii="宋体" w:hAnsi="宋体" w:eastAsia="宋体"/>
                <w:b w:val="0"/>
                <w:i w:val="0"/>
                <w:color w:val="1A1A1A"/>
                <w:sz w:val="19"/>
              </w:rPr>
              <w:t>用户档案不出浏览器；知识库可版本控制、可溯源；零运维</w:t>
            </w:r>
          </w:p>
        </w:tc>
      </w:tr>
      <w:tr>
        <w:tc>
          <w:tcPr>
            <w:tcW w:type="dxa" w:w="1053"/>
          </w:tcPr>
          <w:p>
            <w:pPr>
              <w:spacing w:after="20" w:before="20" w:line="276" w:lineRule="auto"/>
            </w:pPr>
            <w:r/>
            <w:r>
              <w:rPr>
                <w:rFonts w:ascii="宋体" w:hAnsi="宋体" w:eastAsia="宋体"/>
                <w:b w:val="0"/>
                <w:i w:val="0"/>
                <w:color w:val="1A1A1A"/>
                <w:sz w:val="19"/>
              </w:rPr>
              <w:t>视觉模型</w:t>
            </w:r>
          </w:p>
        </w:tc>
        <w:tc>
          <w:tcPr>
            <w:tcW w:type="dxa" w:w="1782"/>
          </w:tcPr>
          <w:p>
            <w:pPr>
              <w:spacing w:after="20" w:before="20" w:line="276" w:lineRule="auto"/>
            </w:pPr>
            <w:r/>
            <w:r>
              <w:rPr>
                <w:rFonts w:ascii="宋体" w:hAnsi="宋体" w:eastAsia="宋体"/>
                <w:b w:val="0"/>
                <w:i w:val="0"/>
                <w:color w:val="1A1A1A"/>
                <w:sz w:val="19"/>
              </w:rPr>
              <w:t>通义千问 qwen-vl-plus</w:t>
            </w:r>
          </w:p>
        </w:tc>
        <w:tc>
          <w:tcPr>
            <w:tcW w:type="dxa" w:w="2106"/>
          </w:tcPr>
          <w:p>
            <w:pPr>
              <w:spacing w:after="20" w:before="20" w:line="276" w:lineRule="auto"/>
            </w:pPr>
            <w:r/>
            <w:r>
              <w:rPr>
                <w:rFonts w:ascii="宋体" w:hAnsi="宋体" w:eastAsia="宋体"/>
                <w:b w:val="0"/>
                <w:i w:val="0"/>
                <w:color w:val="1A1A1A"/>
                <w:sz w:val="19"/>
              </w:rPr>
              <w:t>实测 1.7 秒，关键信息零缺失</w:t>
            </w:r>
          </w:p>
        </w:tc>
        <w:tc>
          <w:tcPr>
            <w:tcW w:type="dxa" w:w="3564"/>
          </w:tcPr>
          <w:p>
            <w:pPr>
              <w:spacing w:after="20" w:before="20" w:line="276" w:lineRule="auto"/>
            </w:pPr>
            <w:r/>
            <w:r>
              <w:rPr>
                <w:rFonts w:ascii="宋体" w:hAnsi="宋体" w:eastAsia="宋体"/>
                <w:b w:val="0"/>
                <w:i w:val="0"/>
                <w:color w:val="1A1A1A"/>
                <w:sz w:val="19"/>
              </w:rPr>
              <w:t>国内直连、中文强、成本低；同等质量下比 qwen-vl-max 快一倍以上</w:t>
            </w:r>
          </w:p>
        </w:tc>
      </w:tr>
      <w:tr>
        <w:tc>
          <w:tcPr>
            <w:tcW w:type="dxa" w:w="1053"/>
          </w:tcPr>
          <w:p>
            <w:pPr>
              <w:spacing w:after="20" w:before="20" w:line="276" w:lineRule="auto"/>
            </w:pPr>
            <w:r/>
            <w:r>
              <w:rPr>
                <w:rFonts w:ascii="宋体" w:hAnsi="宋体" w:eastAsia="宋体"/>
                <w:b w:val="0"/>
                <w:i w:val="0"/>
                <w:color w:val="1A1A1A"/>
                <w:sz w:val="19"/>
              </w:rPr>
              <w:t>文本模型</w:t>
            </w:r>
          </w:p>
        </w:tc>
        <w:tc>
          <w:tcPr>
            <w:tcW w:type="dxa" w:w="1782"/>
          </w:tcPr>
          <w:p>
            <w:pPr>
              <w:spacing w:after="20" w:before="20" w:line="276" w:lineRule="auto"/>
            </w:pPr>
            <w:r/>
            <w:r>
              <w:rPr>
                <w:rFonts w:ascii="宋体" w:hAnsi="宋体" w:eastAsia="宋体"/>
                <w:b w:val="0"/>
                <w:i w:val="0"/>
                <w:color w:val="1A1A1A"/>
                <w:sz w:val="19"/>
              </w:rPr>
              <w:t>通义千问 qwen-flash</w:t>
            </w:r>
          </w:p>
        </w:tc>
        <w:tc>
          <w:tcPr>
            <w:tcW w:type="dxa" w:w="2106"/>
          </w:tcPr>
          <w:p>
            <w:pPr>
              <w:spacing w:after="20" w:before="20" w:line="276" w:lineRule="auto"/>
            </w:pPr>
            <w:r/>
            <w:r>
              <w:rPr>
                <w:rFonts w:ascii="宋体" w:hAnsi="宋体" w:eastAsia="宋体"/>
                <w:b w:val="0"/>
                <w:i w:val="0"/>
                <w:color w:val="1A1A1A"/>
                <w:sz w:val="19"/>
              </w:rPr>
              <w:t>实测 1.9 秒</w:t>
            </w:r>
          </w:p>
        </w:tc>
        <w:tc>
          <w:tcPr>
            <w:tcW w:type="dxa" w:w="3564"/>
          </w:tcPr>
          <w:p>
            <w:pPr>
              <w:spacing w:after="20" w:before="20" w:line="276" w:lineRule="auto"/>
            </w:pPr>
            <w:r/>
            <w:r>
              <w:rPr>
                <w:rFonts w:ascii="宋体" w:hAnsi="宋体" w:eastAsia="宋体"/>
                <w:b w:val="0"/>
                <w:i w:val="0"/>
                <w:color w:val="1A1A1A"/>
                <w:sz w:val="19"/>
              </w:rPr>
              <w:t>转述质量足够；qwen-plus 文采更好但会自行补出未经核实的数字（见 §9）</w:t>
            </w:r>
          </w:p>
        </w:tc>
      </w:tr>
      <w:tr>
        <w:tc>
          <w:tcPr>
            <w:tcW w:type="dxa" w:w="1053"/>
          </w:tcPr>
          <w:p>
            <w:pPr>
              <w:spacing w:after="20" w:before="20" w:line="276" w:lineRule="auto"/>
            </w:pPr>
            <w:r/>
            <w:r>
              <w:rPr>
                <w:rFonts w:ascii="宋体" w:hAnsi="宋体" w:eastAsia="宋体"/>
                <w:b w:val="0"/>
                <w:i w:val="0"/>
                <w:color w:val="1A1A1A"/>
                <w:sz w:val="19"/>
              </w:rPr>
              <w:t>测试</w:t>
            </w:r>
          </w:p>
        </w:tc>
        <w:tc>
          <w:tcPr>
            <w:tcW w:type="dxa" w:w="1782"/>
          </w:tcPr>
          <w:p>
            <w:pPr>
              <w:spacing w:after="20" w:before="20" w:line="276" w:lineRule="auto"/>
            </w:pPr>
            <w:r/>
            <w:r>
              <w:rPr>
                <w:rFonts w:ascii="宋体" w:hAnsi="宋体" w:eastAsia="宋体"/>
                <w:b w:val="0"/>
                <w:i w:val="0"/>
                <w:color w:val="1A1A1A"/>
                <w:sz w:val="19"/>
              </w:rPr>
              <w:t>tsx + 自建断言脚本</w:t>
            </w:r>
          </w:p>
        </w:tc>
        <w:tc>
          <w:tcPr>
            <w:tcW w:type="dxa" w:w="2106"/>
          </w:tcPr>
          <w:p>
            <w:pPr>
              <w:spacing w:after="20" w:before="20" w:line="276" w:lineRule="auto"/>
            </w:pPr>
            <w:r/>
            <w:r>
              <w:rPr>
                <w:rFonts w:ascii="宋体" w:hAnsi="宋体" w:eastAsia="宋体"/>
                <w:b w:val="0"/>
                <w:i w:val="0"/>
                <w:color w:val="1A1A1A"/>
                <w:sz w:val="19"/>
              </w:rPr>
              <w:t>843 项断言，7 个测试套件</w:t>
            </w:r>
          </w:p>
        </w:tc>
        <w:tc>
          <w:tcPr>
            <w:tcW w:type="dxa" w:w="3564"/>
          </w:tcPr>
          <w:p>
            <w:pPr>
              <w:spacing w:after="20" w:before="20" w:line="276" w:lineRule="auto"/>
            </w:pPr>
            <w:r/>
            <w:r>
              <w:rPr>
                <w:rFonts w:ascii="宋体" w:hAnsi="宋体" w:eastAsia="宋体"/>
                <w:b w:val="0"/>
                <w:i w:val="0"/>
                <w:color w:val="1A1A1A"/>
                <w:sz w:val="19"/>
              </w:rPr>
              <w:t>规则库的每次改动都必须跑一遍回归——这是不误判的唯一保障</w:t>
            </w:r>
          </w:p>
        </w:tc>
      </w:tr>
      <w:tr>
        <w:tc>
          <w:tcPr>
            <w:tcW w:type="dxa" w:w="1053"/>
          </w:tcPr>
          <w:p>
            <w:pPr>
              <w:spacing w:after="20" w:before="20" w:line="276" w:lineRule="auto"/>
            </w:pPr>
            <w:r/>
            <w:r>
              <w:rPr>
                <w:rFonts w:ascii="宋体" w:hAnsi="宋体" w:eastAsia="宋体"/>
                <w:b w:val="0"/>
                <w:i w:val="0"/>
                <w:color w:val="1A1A1A"/>
                <w:sz w:val="19"/>
              </w:rPr>
              <w:t>运行环境</w:t>
            </w:r>
          </w:p>
        </w:tc>
        <w:tc>
          <w:tcPr>
            <w:tcW w:type="dxa" w:w="1782"/>
          </w:tcPr>
          <w:p>
            <w:pPr>
              <w:spacing w:after="20" w:before="20" w:line="276" w:lineRule="auto"/>
            </w:pPr>
            <w:r/>
            <w:r>
              <w:rPr>
                <w:rFonts w:ascii="宋体" w:hAnsi="宋体" w:eastAsia="宋体"/>
                <w:b w:val="0"/>
                <w:i w:val="0"/>
                <w:color w:val="1A1A1A"/>
                <w:sz w:val="19"/>
              </w:rPr>
              <w:t>Node 22 / npm 10</w:t>
            </w:r>
          </w:p>
        </w:tc>
        <w:tc>
          <w:tcPr>
            <w:tcW w:type="dxa" w:w="2106"/>
          </w:tcPr>
          <w:p>
            <w:pPr>
              <w:spacing w:after="20" w:before="20" w:line="276" w:lineRule="auto"/>
            </w:pPr>
            <w:r/>
            <w:r>
              <w:rPr>
                <w:rFonts w:ascii="宋体" w:hAnsi="宋体" w:eastAsia="宋体"/>
                <w:b w:val="0"/>
                <w:i w:val="0"/>
                <w:color w:val="1A1A1A"/>
                <w:sz w:val="19"/>
              </w:rPr>
              <w:t>生产构建通过</w:t>
            </w:r>
          </w:p>
        </w:tc>
        <w:tc>
          <w:tcPr>
            <w:tcW w:type="dxa" w:w="3564"/>
          </w:tcPr>
          <w:p>
            <w:pPr>
              <w:spacing w:after="20" w:before="20" w:line="276" w:lineRule="auto"/>
            </w:pPr>
            <w:r/>
            <w:r>
              <w:rPr>
                <w:rFonts w:ascii="宋体" w:hAnsi="宋体" w:eastAsia="宋体"/>
                <w:b w:val="0"/>
                <w:i w:val="0"/>
                <w:color w:val="1A1A1A"/>
                <w:sz w:val="19"/>
              </w:rPr>
              <w:t>与部署平台一致，无版本适配风险</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4　核心技术栈明细</w:t>
      </w:r>
    </w:p>
    <w:p>
      <w:pPr>
        <w:keepNext w:val="0"/>
        <w:spacing w:before="0" w:after="120" w:line="312" w:lineRule="auto"/>
        <w:ind w:left="482"/>
        <w:jc w:val="both"/>
      </w:pPr>
      <w:r>
        <w:rPr>
          <w:rFonts w:ascii="宋体" w:hAnsi="宋体" w:eastAsia="宋体"/>
          <w:b w:val="0"/>
          <w:i w:val="0"/>
          <w:color w:val="595959"/>
          <w:sz w:val="19"/>
        </w:rPr>
        <w:t>关于为什么不使用境外模型：api.anthropic.com 等境外接口在中国大陆不可达，答辩现场网络不可赌；金融场景下数据不出境更稳妥；且本产品的判定逻辑外置于规则库，模型只承担提取与转述，更换模型不产生质变。选用国产模型在合规与成本上均更站得住。</w:t>
      </w:r>
    </w:p>
    <w:p>
      <w:pPr>
        <w:keepNext/>
        <w:spacing w:before="280" w:after="120" w:line="324" w:lineRule="auto"/>
        <w:jc w:val="left"/>
      </w:pPr>
      <w:r>
        <w:rPr>
          <w:rFonts w:ascii="黑体" w:hAnsi="黑体" w:eastAsia="黑体"/>
          <w:b/>
          <w:i w:val="0"/>
          <w:color w:val="000000"/>
          <w:sz w:val="27"/>
        </w:rPr>
        <w:t>3. AI 智能体核心能力设计</w:t>
      </w:r>
    </w:p>
    <w:p>
      <w:pPr>
        <w:keepNext w:val="0"/>
        <w:spacing w:before="0" w:after="60" w:line="360" w:lineRule="auto"/>
        <w:ind w:firstLine="480"/>
        <w:jc w:val="both"/>
      </w:pPr>
      <w:r>
        <w:rPr>
          <w:rFonts w:ascii="宋体" w:hAnsi="宋体" w:eastAsia="宋体"/>
          <w:b w:val="0"/>
          <w:i w:val="0"/>
          <w:color w:val="1A1A1A"/>
          <w:sz w:val="24"/>
        </w:rPr>
        <w:t>我们认为「智能体」与「固定流水线」的分界线，在于它是否会</w:t>
      </w:r>
      <w:r>
        <w:rPr>
          <w:rFonts w:ascii="宋体" w:hAnsi="宋体" w:eastAsia="宋体"/>
          <w:b/>
          <w:i w:val="0"/>
          <w:color w:val="1A1A1A"/>
          <w:sz w:val="24"/>
        </w:rPr>
        <w:t>判断自己缺什么、是否会因情境改变执行路径</w:t>
      </w:r>
      <w:r>
        <w:rPr>
          <w:rFonts w:ascii="宋体" w:hAnsi="宋体" w:eastAsia="宋体"/>
          <w:b w:val="0"/>
          <w:i w:val="0"/>
          <w:color w:val="1A1A1A"/>
          <w:sz w:val="24"/>
        </w:rPr>
        <w:t>。为此设计了四项能力：</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1331"/>
            <w:shd w:fill="F2F2F2"/>
          </w:tcPr>
          <w:p>
            <w:pPr>
              <w:spacing w:after="20" w:before="20" w:line="276" w:lineRule="auto"/>
              <w:jc w:val="center"/>
            </w:pPr>
            <w:r/>
            <w:r>
              <w:rPr>
                <w:rFonts w:ascii="黑体" w:hAnsi="黑体" w:eastAsia="黑体"/>
                <w:b/>
                <w:i w:val="0"/>
                <w:color w:val="000000"/>
                <w:sz w:val="19"/>
              </w:rPr>
              <w:t>能力</w:t>
            </w:r>
          </w:p>
        </w:tc>
        <w:tc>
          <w:tcPr>
            <w:tcW w:type="dxa" w:w="3845"/>
            <w:shd w:fill="F2F2F2"/>
          </w:tcPr>
          <w:p>
            <w:pPr>
              <w:spacing w:after="20" w:before="20" w:line="276" w:lineRule="auto"/>
              <w:jc w:val="center"/>
            </w:pPr>
            <w:r/>
            <w:r>
              <w:rPr>
                <w:rFonts w:ascii="黑体" w:hAnsi="黑体" w:eastAsia="黑体"/>
                <w:b/>
                <w:i w:val="0"/>
                <w:color w:val="000000"/>
                <w:sz w:val="19"/>
              </w:rPr>
              <w:t>实现要点</w:t>
            </w:r>
          </w:p>
        </w:tc>
        <w:tc>
          <w:tcPr>
            <w:tcW w:type="dxa" w:w="3328"/>
            <w:shd w:fill="F2F2F2"/>
          </w:tcPr>
          <w:p>
            <w:pPr>
              <w:spacing w:after="20" w:before="20" w:line="276" w:lineRule="auto"/>
              <w:jc w:val="center"/>
            </w:pPr>
            <w:r/>
            <w:r>
              <w:rPr>
                <w:rFonts w:ascii="黑体" w:hAnsi="黑体" w:eastAsia="黑体"/>
                <w:b/>
                <w:i w:val="0"/>
                <w:color w:val="000000"/>
                <w:sz w:val="19"/>
              </w:rPr>
              <w:t>为什么这才算智能体</w:t>
            </w:r>
          </w:p>
        </w:tc>
      </w:tr>
      <w:tr>
        <w:tc>
          <w:tcPr>
            <w:tcW w:type="dxa" w:w="1331"/>
          </w:tcPr>
          <w:p>
            <w:pPr>
              <w:spacing w:after="20" w:before="20" w:line="276" w:lineRule="auto"/>
            </w:pPr>
            <w:r/>
            <w:r>
              <w:rPr>
                <w:rFonts w:ascii="宋体" w:hAnsi="宋体" w:eastAsia="宋体"/>
                <w:b w:val="0"/>
                <w:i w:val="0"/>
                <w:color w:val="1A1A1A"/>
                <w:sz w:val="19"/>
              </w:rPr>
              <w:t>五维风险画像</w:t>
            </w:r>
          </w:p>
        </w:tc>
        <w:tc>
          <w:tcPr>
            <w:tcW w:type="dxa" w:w="3845"/>
          </w:tcPr>
          <w:p>
            <w:pPr>
              <w:spacing w:after="20" w:before="20" w:line="276" w:lineRule="auto"/>
            </w:pPr>
            <w:r/>
            <w:r>
              <w:rPr>
                <w:rFonts w:ascii="宋体" w:hAnsi="宋体" w:eastAsia="宋体"/>
                <w:b w:val="0"/>
                <w:i w:val="0"/>
                <w:color w:val="1A1A1A"/>
                <w:sz w:val="19"/>
              </w:rPr>
              <w:t>把散落的命中收敛为收益承诺 / 资质可核验 / 渠道正规 / 紧迫压迫 / 情感操控五个维度</w:t>
            </w:r>
          </w:p>
        </w:tc>
        <w:tc>
          <w:tcPr>
            <w:tcW w:type="dxa" w:w="3328"/>
          </w:tcPr>
          <w:p>
            <w:pPr>
              <w:spacing w:after="20" w:before="20" w:line="276" w:lineRule="auto"/>
            </w:pPr>
            <w:r/>
            <w:r>
              <w:rPr>
                <w:rFonts w:ascii="宋体" w:hAnsi="宋体" w:eastAsia="宋体"/>
                <w:b w:val="0"/>
                <w:i w:val="0"/>
                <w:color w:val="1A1A1A"/>
                <w:sz w:val="19"/>
              </w:rPr>
              <w:t>从「列举命中项」升级为「归纳出这份内容主要在哪一路上做手脚」</w:t>
            </w:r>
          </w:p>
        </w:tc>
      </w:tr>
      <w:tr>
        <w:tc>
          <w:tcPr>
            <w:tcW w:type="dxa" w:w="1331"/>
          </w:tcPr>
          <w:p>
            <w:pPr>
              <w:spacing w:after="20" w:before="20" w:line="276" w:lineRule="auto"/>
            </w:pPr>
            <w:r/>
            <w:r>
              <w:rPr>
                <w:rFonts w:ascii="宋体" w:hAnsi="宋体" w:eastAsia="宋体"/>
                <w:b w:val="0"/>
                <w:i w:val="0"/>
                <w:color w:val="1A1A1A"/>
                <w:sz w:val="19"/>
              </w:rPr>
              <w:t>骗局剧本预测</w:t>
            </w:r>
          </w:p>
        </w:tc>
        <w:tc>
          <w:tcPr>
            <w:tcW w:type="dxa" w:w="3845"/>
          </w:tcPr>
          <w:p>
            <w:pPr>
              <w:spacing w:after="20" w:before="20" w:line="276" w:lineRule="auto"/>
            </w:pPr>
            <w:r/>
            <w:r>
              <w:rPr>
                <w:rFonts w:ascii="宋体" w:hAnsi="宋体" w:eastAsia="宋体"/>
                <w:b w:val="0"/>
                <w:i w:val="0"/>
                <w:color w:val="1A1A1A"/>
                <w:sz w:val="19"/>
              </w:rPr>
              <w:t>按特征交集打分匹配 9 类骗局、48 步剧本，输出吻合度与时间顺序的推进步骤</w:t>
            </w:r>
          </w:p>
        </w:tc>
        <w:tc>
          <w:tcPr>
            <w:tcW w:type="dxa" w:w="3328"/>
          </w:tcPr>
          <w:p>
            <w:pPr>
              <w:spacing w:after="20" w:before="20" w:line="276" w:lineRule="auto"/>
            </w:pPr>
            <w:r/>
            <w:r>
              <w:rPr>
                <w:rFonts w:ascii="宋体" w:hAnsi="宋体" w:eastAsia="宋体"/>
                <w:b w:val="0"/>
                <w:i w:val="0"/>
                <w:color w:val="1A1A1A"/>
                <w:sz w:val="19"/>
              </w:rPr>
              <w:t>不只判断现状，而是预告接下来会发生什么。这是</w:t>
            </w:r>
            <w:r>
              <w:rPr>
                <w:rFonts w:ascii="宋体" w:hAnsi="宋体" w:eastAsia="宋体"/>
                <w:b/>
                <w:i w:val="0"/>
                <w:color w:val="1A1A1A"/>
                <w:sz w:val="19"/>
              </w:rPr>
              <w:t>可被用户自己验证的预测</w:t>
            </w:r>
          </w:p>
        </w:tc>
      </w:tr>
      <w:tr>
        <w:tc>
          <w:tcPr>
            <w:tcW w:type="dxa" w:w="1331"/>
          </w:tcPr>
          <w:p>
            <w:pPr>
              <w:spacing w:after="20" w:before="20" w:line="276" w:lineRule="auto"/>
            </w:pPr>
            <w:r/>
            <w:r>
              <w:rPr>
                <w:rFonts w:ascii="宋体" w:hAnsi="宋体" w:eastAsia="宋体"/>
                <w:b w:val="0"/>
                <w:i w:val="0"/>
                <w:color w:val="1A1A1A"/>
                <w:sz w:val="19"/>
              </w:rPr>
              <w:t>AI 主动追问</w:t>
            </w:r>
          </w:p>
        </w:tc>
        <w:tc>
          <w:tcPr>
            <w:tcW w:type="dxa" w:w="3845"/>
          </w:tcPr>
          <w:p>
            <w:pPr>
              <w:spacing w:after="20" w:before="20" w:line="276" w:lineRule="auto"/>
            </w:pPr>
            <w:r/>
            <w:r>
              <w:rPr>
                <w:rFonts w:ascii="宋体" w:hAnsi="宋体" w:eastAsia="宋体"/>
                <w:b w:val="0"/>
                <w:i w:val="0"/>
                <w:color w:val="1A1A1A"/>
                <w:sz w:val="19"/>
              </w:rPr>
              <w:t>先判断自己缺什么信息，再决定问什么；信息足够时一个都不问。用户的回答被拼回原文，重新走一遍完整六阶段分析</w:t>
            </w:r>
          </w:p>
        </w:tc>
        <w:tc>
          <w:tcPr>
            <w:tcW w:type="dxa" w:w="3328"/>
          </w:tcPr>
          <w:p>
            <w:pPr>
              <w:spacing w:after="20" w:before="20" w:line="276" w:lineRule="auto"/>
            </w:pPr>
            <w:r/>
            <w:r>
              <w:rPr>
                <w:rFonts w:ascii="宋体" w:hAnsi="宋体" w:eastAsia="宋体"/>
                <w:b w:val="0"/>
                <w:i w:val="0"/>
                <w:color w:val="1A1A1A"/>
                <w:sz w:val="19"/>
              </w:rPr>
              <w:t>系统会发现自己的信息缺口并向用户索取，且新信息真正改变结论，不是走形式</w:t>
            </w:r>
          </w:p>
        </w:tc>
      </w:tr>
      <w:tr>
        <w:tc>
          <w:tcPr>
            <w:tcW w:type="dxa" w:w="1331"/>
          </w:tcPr>
          <w:p>
            <w:pPr>
              <w:spacing w:after="20" w:before="20" w:line="276" w:lineRule="auto"/>
            </w:pPr>
            <w:r/>
            <w:r>
              <w:rPr>
                <w:rFonts w:ascii="宋体" w:hAnsi="宋体" w:eastAsia="宋体"/>
                <w:b w:val="0"/>
                <w:i w:val="0"/>
                <w:color w:val="1A1A1A"/>
                <w:sz w:val="19"/>
              </w:rPr>
              <w:t>处境感知的行动建议</w:t>
            </w:r>
          </w:p>
        </w:tc>
        <w:tc>
          <w:tcPr>
            <w:tcW w:type="dxa" w:w="3845"/>
          </w:tcPr>
          <w:p>
            <w:pPr>
              <w:spacing w:after="20" w:before="20" w:line="276" w:lineRule="auto"/>
            </w:pPr>
            <w:r/>
            <w:r>
              <w:rPr>
                <w:rFonts w:ascii="宋体" w:hAnsi="宋体" w:eastAsia="宋体"/>
                <w:b w:val="0"/>
                <w:i w:val="0"/>
                <w:color w:val="1A1A1A"/>
                <w:sz w:val="19"/>
              </w:rPr>
              <w:t>识别「已转账」「提现受阻」「借钱投资」「被要求保密」四类处境，据此重排行动清单</w:t>
            </w:r>
          </w:p>
        </w:tc>
        <w:tc>
          <w:tcPr>
            <w:tcW w:type="dxa" w:w="3328"/>
          </w:tcPr>
          <w:p>
            <w:pPr>
              <w:spacing w:after="20" w:before="20" w:line="276" w:lineRule="auto"/>
            </w:pPr>
            <w:r/>
            <w:r>
              <w:rPr>
                <w:rFonts w:ascii="宋体" w:hAnsi="宋体" w:eastAsia="宋体"/>
                <w:b w:val="0"/>
                <w:i w:val="0"/>
                <w:color w:val="1A1A1A"/>
                <w:sz w:val="19"/>
              </w:rPr>
              <w:t>同一份广告，对「还没转钱的人」和「已被要求交解冻金的人」，最该说的话完全不同</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5　四项智能体核心能力</w:t>
      </w:r>
    </w:p>
    <w:p>
      <w:pPr>
        <w:keepNext w:val="0"/>
        <w:spacing w:before="0" w:after="60" w:line="360" w:lineRule="auto"/>
        <w:ind w:firstLine="480"/>
        <w:jc w:val="both"/>
      </w:pPr>
      <w:r>
        <w:rPr>
          <w:rFonts w:ascii="宋体" w:hAnsi="宋体" w:eastAsia="宋体"/>
          <w:b/>
          <w:i w:val="0"/>
          <w:color w:val="1A1A1A"/>
          <w:sz w:val="24"/>
        </w:rPr>
        <w:t>追问回路的实测效果</w:t>
      </w:r>
      <w:r>
        <w:rPr>
          <w:rFonts w:ascii="宋体" w:hAnsi="宋体" w:eastAsia="宋体"/>
          <w:b w:val="0"/>
          <w:i w:val="0"/>
          <w:color w:val="1A1A1A"/>
          <w:sz w:val="24"/>
        </w:rPr>
        <w:t>：用户补充「我转了钱，现在提现失败，对方要求我再交一笔费用才能解冻」之后，行动建议的第一条由「现在不要转账」变为：</w:t>
      </w:r>
    </w:p>
    <w:p>
      <w:pPr>
        <w:keepNext w:val="0"/>
        <w:spacing w:before="80" w:after="120" w:line="336" w:lineRule="auto"/>
        <w:ind w:left="482" w:right="283"/>
        <w:jc w:val="both"/>
      </w:pPr>
      <w:r>
        <w:rPr>
          <w:rFonts w:ascii="楷体" w:hAnsi="楷体" w:eastAsia="楷体"/>
          <w:b w:val="0"/>
          <w:i w:val="0"/>
          <w:color w:val="1A1A1A"/>
          <w:sz w:val="22"/>
        </w:rPr>
        <w:t>【最紧急】不要再交任何「解冻金」「保证金」「税费」「手续费」——这是提现骗局的最后一步，交了同样提不出来，只会再损失一笔。</w:t>
      </w:r>
    </w:p>
    <w:p>
      <w:pPr>
        <w:keepNext w:val="0"/>
        <w:spacing w:before="0" w:after="60" w:line="360" w:lineRule="auto"/>
        <w:ind w:firstLine="480"/>
        <w:jc w:val="both"/>
      </w:pPr>
      <w:r>
        <w:rPr>
          <w:rFonts w:ascii="宋体" w:hAnsi="宋体" w:eastAsia="宋体"/>
          <w:b w:val="0"/>
          <w:i w:val="0"/>
          <w:color w:val="1A1A1A"/>
          <w:sz w:val="24"/>
        </w:rPr>
        <w:t>同时新增「资金盘运作特征」命中，并把报警与固定证据两项提到最前。</w:t>
      </w:r>
    </w:p>
    <w:p>
      <w:pPr>
        <w:keepNext/>
        <w:spacing w:before="280" w:after="120" w:line="324" w:lineRule="auto"/>
        <w:jc w:val="left"/>
      </w:pPr>
      <w:r>
        <w:rPr>
          <w:rFonts w:ascii="黑体" w:hAnsi="黑体" w:eastAsia="黑体"/>
          <w:b/>
          <w:i w:val="0"/>
          <w:color w:val="000000"/>
          <w:sz w:val="27"/>
        </w:rPr>
        <w:t>4. 算法与模型方案</w:t>
      </w:r>
    </w:p>
    <w:p>
      <w:pPr>
        <w:keepNext w:val="0"/>
        <w:spacing w:before="0" w:after="60" w:line="360" w:lineRule="auto"/>
        <w:ind w:firstLine="480"/>
        <w:jc w:val="both"/>
      </w:pPr>
      <w:r>
        <w:rPr>
          <w:rFonts w:ascii="宋体" w:hAnsi="宋体" w:eastAsia="宋体"/>
          <w:b/>
          <w:i w:val="0"/>
          <w:color w:val="1A1A1A"/>
          <w:sz w:val="24"/>
        </w:rPr>
        <w:t>核心设计原则：判定归规则，转述归模型。</w:t>
      </w:r>
      <w:r>
        <w:rPr>
          <w:rFonts w:ascii="宋体" w:hAnsi="宋体" w:eastAsia="宋体"/>
          <w:b w:val="0"/>
          <w:i w:val="0"/>
          <w:color w:val="1A1A1A"/>
          <w:sz w:val="24"/>
        </w:rPr>
        <w:t xml:space="preserve"> 风险等级、命中项、法规依据全部由确定性规则产生，模型只负责「提取」和「讲人话」。</w:t>
      </w:r>
    </w:p>
    <w:p>
      <w:pPr>
        <w:keepNext w:val="0"/>
        <w:spacing w:before="0" w:after="60" w:line="360" w:lineRule="auto"/>
        <w:ind w:firstLine="480"/>
        <w:jc w:val="both"/>
      </w:pPr>
      <w:r>
        <w:rPr>
          <w:rFonts w:ascii="宋体" w:hAnsi="宋体" w:eastAsia="宋体"/>
          <w:b/>
          <w:i w:val="0"/>
          <w:color w:val="1A1A1A"/>
          <w:sz w:val="24"/>
        </w:rPr>
        <w:t>（1）规则通道（高精度）。</w:t>
      </w:r>
      <w:r>
        <w:rPr>
          <w:rFonts w:ascii="宋体" w:hAnsi="宋体" w:eastAsia="宋体"/>
          <w:b w:val="0"/>
          <w:i w:val="0"/>
          <w:color w:val="1A1A1A"/>
          <w:sz w:val="24"/>
        </w:rPr>
        <w:t xml:space="preserve"> 15 类违规话术特征（8 类硬性违规 + 7 类高风险诱导）、365 个关键词、少量收紧后的正则。命中即可确证、可逐字溯源、零延迟。风险分级按去重后的特征类型计数：命中 ≥1 条硬性违规判为高风险；命中 ≥2 条高风险诱导且无硬性违规判为需警惕；单类特征叠加「无风险提示」且处于金融语境时升级为需警惕。</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2407"/>
            <w:shd w:fill="F2F2F2"/>
          </w:tcPr>
          <w:p>
            <w:pPr>
              <w:spacing w:after="20" w:before="20" w:line="276" w:lineRule="auto"/>
              <w:jc w:val="center"/>
            </w:pPr>
            <w:r/>
            <w:r>
              <w:rPr>
                <w:rFonts w:ascii="黑体" w:hAnsi="黑体" w:eastAsia="黑体"/>
                <w:b/>
                <w:i w:val="0"/>
                <w:color w:val="000000"/>
                <w:sz w:val="19"/>
              </w:rPr>
              <w:t>严重度</w:t>
            </w:r>
          </w:p>
        </w:tc>
        <w:tc>
          <w:tcPr>
            <w:tcW w:type="dxa" w:w="5134"/>
            <w:shd w:fill="F2F2F2"/>
          </w:tcPr>
          <w:p>
            <w:pPr>
              <w:spacing w:after="20" w:before="20" w:line="276" w:lineRule="auto"/>
              <w:jc w:val="center"/>
            </w:pPr>
            <w:r/>
            <w:r>
              <w:rPr>
                <w:rFonts w:ascii="黑体" w:hAnsi="黑体" w:eastAsia="黑体"/>
                <w:b/>
                <w:i w:val="0"/>
                <w:color w:val="000000"/>
                <w:sz w:val="19"/>
              </w:rPr>
              <w:t>特征类型</w:t>
            </w:r>
          </w:p>
        </w:tc>
        <w:tc>
          <w:tcPr>
            <w:tcW w:type="dxa" w:w="963"/>
            <w:shd w:fill="F2F2F2"/>
          </w:tcPr>
          <w:p>
            <w:pPr>
              <w:spacing w:after="20" w:before="20" w:line="276" w:lineRule="auto"/>
              <w:jc w:val="center"/>
            </w:pPr>
            <w:r/>
            <w:r>
              <w:rPr>
                <w:rFonts w:ascii="黑体" w:hAnsi="黑体" w:eastAsia="黑体"/>
                <w:b/>
                <w:i w:val="0"/>
                <w:color w:val="000000"/>
                <w:sz w:val="19"/>
              </w:rPr>
              <w:t>关键词数</w:t>
            </w:r>
          </w:p>
        </w:tc>
      </w:tr>
      <w:tr>
        <w:tc>
          <w:tcPr>
            <w:tcW w:type="dxa" w:w="2407"/>
          </w:tcPr>
          <w:p>
            <w:pPr>
              <w:spacing w:after="20" w:before="20" w:line="276" w:lineRule="auto"/>
            </w:pPr>
            <w:r/>
            <w:r>
              <w:rPr>
                <w:rFonts w:ascii="宋体" w:hAnsi="宋体" w:eastAsia="宋体"/>
                <w:b w:val="0"/>
                <w:i w:val="0"/>
                <w:color w:val="1A1A1A"/>
                <w:sz w:val="19"/>
              </w:rPr>
              <w:t>硬性违规（命中监管明令禁止的表述特征）</w:t>
            </w:r>
          </w:p>
        </w:tc>
        <w:tc>
          <w:tcPr>
            <w:tcW w:type="dxa" w:w="5134"/>
          </w:tcPr>
          <w:p>
            <w:pPr>
              <w:spacing w:after="20" w:before="20" w:line="276" w:lineRule="auto"/>
            </w:pPr>
            <w:r/>
            <w:r>
              <w:rPr>
                <w:rFonts w:ascii="宋体" w:hAnsi="宋体" w:eastAsia="宋体"/>
                <w:b w:val="0"/>
                <w:i w:val="0"/>
                <w:color w:val="1A1A1A"/>
                <w:sz w:val="19"/>
              </w:rPr>
              <w:t>保本承诺、收益承诺、荐股 / 买卖信号、代客理财、混淆存款与理财、无法核验的资质背景、传销式计酬结构、诱导出借账户</w:t>
            </w:r>
          </w:p>
        </w:tc>
        <w:tc>
          <w:tcPr>
            <w:tcW w:type="dxa" w:w="963"/>
          </w:tcPr>
          <w:p>
            <w:pPr>
              <w:spacing w:after="20" w:before="20" w:line="276" w:lineRule="auto"/>
            </w:pPr>
            <w:r/>
            <w:r>
              <w:rPr>
                <w:rFonts w:ascii="宋体" w:hAnsi="宋体" w:eastAsia="宋体"/>
                <w:b w:val="0"/>
                <w:i w:val="0"/>
                <w:color w:val="1A1A1A"/>
                <w:sz w:val="19"/>
              </w:rPr>
              <w:t>共 239</w:t>
            </w:r>
          </w:p>
        </w:tc>
      </w:tr>
      <w:tr>
        <w:tc>
          <w:tcPr>
            <w:tcW w:type="dxa" w:w="2407"/>
          </w:tcPr>
          <w:p>
            <w:pPr>
              <w:spacing w:after="20" w:before="20" w:line="276" w:lineRule="auto"/>
            </w:pPr>
            <w:r/>
            <w:r>
              <w:rPr>
                <w:rFonts w:ascii="宋体" w:hAnsi="宋体" w:eastAsia="宋体"/>
                <w:b w:val="0"/>
                <w:i w:val="0"/>
                <w:color w:val="1A1A1A"/>
                <w:sz w:val="19"/>
              </w:rPr>
              <w:t>高风险诱导（常见于不当营销）</w:t>
            </w:r>
          </w:p>
        </w:tc>
        <w:tc>
          <w:tcPr>
            <w:tcW w:type="dxa" w:w="5134"/>
          </w:tcPr>
          <w:p>
            <w:pPr>
              <w:spacing w:after="20" w:before="20" w:line="276" w:lineRule="auto"/>
            </w:pPr>
            <w:r/>
            <w:r>
              <w:rPr>
                <w:rFonts w:ascii="宋体" w:hAnsi="宋体" w:eastAsia="宋体"/>
                <w:b w:val="0"/>
                <w:i w:val="0"/>
                <w:color w:val="1A1A1A"/>
                <w:sz w:val="19"/>
              </w:rPr>
              <w:t>资金盘运作特征、紧迫感与稀缺性话术、不当业绩展示、私域导流、身份与头衔包装、常见非法集资标的、情感操控与保密要求</w:t>
            </w:r>
          </w:p>
        </w:tc>
        <w:tc>
          <w:tcPr>
            <w:tcW w:type="dxa" w:w="963"/>
          </w:tcPr>
          <w:p>
            <w:pPr>
              <w:spacing w:after="20" w:before="20" w:line="276" w:lineRule="auto"/>
            </w:pPr>
            <w:r/>
            <w:r>
              <w:rPr>
                <w:rFonts w:ascii="宋体" w:hAnsi="宋体" w:eastAsia="宋体"/>
                <w:b w:val="0"/>
                <w:i w:val="0"/>
                <w:color w:val="1A1A1A"/>
                <w:sz w:val="19"/>
              </w:rPr>
              <w:t>共 126</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6　违规话术特征库构成（15 类 / 365 关键词）</w:t>
      </w:r>
    </w:p>
    <w:p>
      <w:pPr>
        <w:keepNext w:val="0"/>
        <w:spacing w:before="0" w:after="60" w:line="360" w:lineRule="auto"/>
        <w:ind w:firstLine="480"/>
        <w:jc w:val="both"/>
      </w:pPr>
      <w:r>
        <w:rPr>
          <w:rFonts w:ascii="宋体" w:hAnsi="宋体" w:eastAsia="宋体"/>
          <w:b/>
          <w:i w:val="0"/>
          <w:color w:val="1A1A1A"/>
          <w:sz w:val="24"/>
        </w:rPr>
        <w:t>（2）语义通道（高召回）。</w:t>
      </w:r>
      <w:r>
        <w:rPr>
          <w:rFonts w:ascii="宋体" w:hAnsi="宋体" w:eastAsia="宋体"/>
          <w:b w:val="0"/>
          <w:i w:val="0"/>
          <w:color w:val="1A1A1A"/>
          <w:sz w:val="24"/>
        </w:rPr>
        <w:t xml:space="preserve"> 规则库是照着「正规广告文案」建的——「保本保息」「预期年化收益」「代客理财」；而真实骗局在微信里说的是大白话——「把钱给我」「我帮你炒」「一定赚」。两套语言，只覆盖一套是不够的，而关键词库永远穷举不完。因此增设模型语义通道，但它</w:t>
      </w:r>
      <w:r>
        <w:rPr>
          <w:rFonts w:ascii="宋体" w:hAnsi="宋体" w:eastAsia="宋体"/>
          <w:b/>
          <w:i w:val="0"/>
          <w:color w:val="1A1A1A"/>
          <w:sz w:val="24"/>
        </w:rPr>
        <w:t>不等于让模型自由裁量</w:t>
      </w:r>
      <w:r>
        <w:rPr>
          <w:rFonts w:ascii="宋体" w:hAnsi="宋体" w:eastAsia="宋体"/>
          <w:b w:val="0"/>
          <w:i w:val="0"/>
          <w:color w:val="1A1A1A"/>
          <w:sz w:val="24"/>
        </w:rPr>
        <w:t>，有三条硬约束：</w:t>
      </w:r>
    </w:p>
    <w:p>
      <w:pPr>
        <w:keepNext w:val="0"/>
        <w:spacing w:before="0" w:after="40" w:line="360" w:lineRule="auto"/>
        <w:ind w:left="482" w:hanging="240"/>
        <w:jc w:val="both"/>
      </w:pPr>
      <w:r>
        <w:rPr>
          <w:rFonts w:ascii="宋体" w:hAnsi="宋体" w:eastAsia="宋体"/>
          <w:b w:val="0"/>
          <w:i w:val="0"/>
          <w:color w:val="1A1A1A"/>
          <w:sz w:val="23"/>
        </w:rPr>
        <w:t>· 只能从既有特征分类表中选择，</w:t>
      </w:r>
      <w:r>
        <w:rPr>
          <w:rFonts w:ascii="宋体" w:hAnsi="宋体" w:eastAsia="宋体"/>
          <w:b/>
          <w:i w:val="0"/>
          <w:color w:val="1A1A1A"/>
          <w:sz w:val="23"/>
        </w:rPr>
        <w:t>不得自创类别</w:t>
      </w:r>
      <w:r>
        <w:rPr>
          <w:rFonts w:ascii="宋体" w:hAnsi="宋体" w:eastAsia="宋体"/>
          <w:b w:val="0"/>
          <w:i w:val="0"/>
          <w:color w:val="1A1A1A"/>
          <w:sz w:val="23"/>
        </w:rPr>
        <w:t>——因此法规引证依然成立。</w:t>
      </w:r>
    </w:p>
    <w:p>
      <w:pPr>
        <w:keepNext w:val="0"/>
        <w:spacing w:before="0" w:after="40" w:line="360" w:lineRule="auto"/>
        <w:ind w:left="482" w:hanging="240"/>
        <w:jc w:val="both"/>
      </w:pPr>
      <w:r>
        <w:rPr>
          <w:rFonts w:ascii="宋体" w:hAnsi="宋体" w:eastAsia="宋体"/>
          <w:b w:val="0"/>
          <w:i w:val="0"/>
          <w:color w:val="1A1A1A"/>
          <w:sz w:val="23"/>
        </w:rPr>
        <w:t>· 必须给出原文中</w:t>
      </w:r>
      <w:r>
        <w:rPr>
          <w:rFonts w:ascii="宋体" w:hAnsi="宋体" w:eastAsia="宋体"/>
          <w:b/>
          <w:i w:val="0"/>
          <w:color w:val="1A1A1A"/>
          <w:sz w:val="23"/>
        </w:rPr>
        <w:t>真实存在</w:t>
      </w:r>
      <w:r>
        <w:rPr>
          <w:rFonts w:ascii="宋体" w:hAnsi="宋体" w:eastAsia="宋体"/>
          <w:b w:val="0"/>
          <w:i w:val="0"/>
          <w:color w:val="1A1A1A"/>
          <w:sz w:val="23"/>
        </w:rPr>
        <w:t>的引文，引文对不上直接丢弃——保证可验证性。</w:t>
      </w:r>
    </w:p>
    <w:p>
      <w:pPr>
        <w:keepNext w:val="0"/>
        <w:spacing w:before="0" w:after="40" w:line="360" w:lineRule="auto"/>
        <w:ind w:left="482" w:hanging="240"/>
        <w:jc w:val="both"/>
      </w:pPr>
      <w:r>
        <w:rPr>
          <w:rFonts w:ascii="宋体" w:hAnsi="宋体" w:eastAsia="宋体"/>
          <w:b w:val="0"/>
          <w:i w:val="0"/>
          <w:color w:val="1A1A1A"/>
          <w:sz w:val="23"/>
        </w:rPr>
        <w:t>· 引文要过与规则通道</w:t>
      </w:r>
      <w:r>
        <w:rPr>
          <w:rFonts w:ascii="宋体" w:hAnsi="宋体" w:eastAsia="宋体"/>
          <w:b/>
          <w:i w:val="0"/>
          <w:color w:val="1A1A1A"/>
          <w:sz w:val="23"/>
        </w:rPr>
        <w:t>完全相同</w:t>
      </w:r>
      <w:r>
        <w:rPr>
          <w:rFonts w:ascii="宋体" w:hAnsi="宋体" w:eastAsia="宋体"/>
          <w:b w:val="0"/>
          <w:i w:val="0"/>
          <w:color w:val="1A1A1A"/>
          <w:sz w:val="23"/>
        </w:rPr>
        <w:t>的否定 / 科普语境检查——两条通道共用一套排除标准。</w:t>
      </w:r>
    </w:p>
    <w:p>
      <w:pPr>
        <w:keepNext w:val="0"/>
        <w:spacing w:before="0" w:after="60" w:line="360" w:lineRule="auto"/>
        <w:ind w:firstLine="480"/>
        <w:jc w:val="both"/>
      </w:pPr>
      <w:r>
        <w:rPr>
          <w:rFonts w:ascii="宋体" w:hAnsi="宋体" w:eastAsia="宋体"/>
          <w:b w:val="0"/>
          <w:i w:val="0"/>
          <w:color w:val="1A1A1A"/>
          <w:sz w:val="24"/>
        </w:rPr>
        <w:t>此外：硬性违规只接受高置信度；</w:t>
      </w:r>
      <w:r>
        <w:rPr>
          <w:rFonts w:ascii="宋体" w:hAnsi="宋体" w:eastAsia="宋体"/>
          <w:b/>
          <w:i w:val="0"/>
          <w:color w:val="1A1A1A"/>
          <w:sz w:val="24"/>
        </w:rPr>
        <w:t>规则通道已解释过的文本片段，语义通道不再插话</w:t>
      </w:r>
      <w:r>
        <w:rPr>
          <w:rFonts w:ascii="宋体" w:hAnsi="宋体" w:eastAsia="宋体"/>
          <w:b w:val="0"/>
          <w:i w:val="0"/>
          <w:color w:val="1A1A1A"/>
          <w:sz w:val="24"/>
        </w:rPr>
        <w:t>（引文与任何规则命中区间重叠即丢弃）。报告里会把被丢弃的项列出来给用户看。</w:t>
      </w:r>
    </w:p>
    <w:tbl>
      <w:tblPr>
        <w:tblStyle w:val="TableGrid"/>
        <w:tblW w:type="auto" w:w="0"/>
        <w:jc w:val="center"/>
        <w:tblLayout w:type="fixed"/>
        <w:tblLook w:firstColumn="1" w:firstRow="1" w:lastColumn="0" w:lastRow="0" w:noHBand="0" w:noVBand="1" w:val="04A0"/>
      </w:tblPr>
      <w:tblGrid>
        <w:gridCol w:w="2126"/>
        <w:gridCol w:w="2126"/>
        <w:gridCol w:w="2126"/>
        <w:gridCol w:w="2126"/>
      </w:tblGrid>
      <w:tr>
        <w:tc>
          <w:tcPr>
            <w:tcW w:type="dxa" w:w="4399"/>
            <w:shd w:fill="F2F2F2"/>
          </w:tcPr>
          <w:p>
            <w:pPr>
              <w:spacing w:after="20" w:before="20" w:line="276" w:lineRule="auto"/>
              <w:jc w:val="center"/>
            </w:pPr>
            <w:r/>
            <w:r>
              <w:rPr>
                <w:rFonts w:ascii="黑体" w:hAnsi="黑体" w:eastAsia="黑体"/>
                <w:b/>
                <w:i w:val="0"/>
                <w:color w:val="000000"/>
                <w:sz w:val="19"/>
              </w:rPr>
              <w:t>输入（真实微信话术）</w:t>
            </w:r>
          </w:p>
        </w:tc>
        <w:tc>
          <w:tcPr>
            <w:tcW w:type="dxa" w:w="1026"/>
            <w:shd w:fill="F2F2F2"/>
          </w:tcPr>
          <w:p>
            <w:pPr>
              <w:spacing w:after="20" w:before="20" w:line="276" w:lineRule="auto"/>
              <w:jc w:val="center"/>
            </w:pPr>
            <w:r/>
            <w:r>
              <w:rPr>
                <w:rFonts w:ascii="黑体" w:hAnsi="黑体" w:eastAsia="黑体"/>
                <w:b/>
                <w:i w:val="0"/>
                <w:color w:val="000000"/>
                <w:sz w:val="19"/>
              </w:rPr>
              <w:t>规则通道</w:t>
            </w:r>
          </w:p>
        </w:tc>
        <w:tc>
          <w:tcPr>
            <w:tcW w:type="dxa" w:w="1759"/>
            <w:shd w:fill="F2F2F2"/>
          </w:tcPr>
          <w:p>
            <w:pPr>
              <w:spacing w:after="20" w:before="20" w:line="276" w:lineRule="auto"/>
              <w:jc w:val="center"/>
            </w:pPr>
            <w:r/>
            <w:r>
              <w:rPr>
                <w:rFonts w:ascii="黑体" w:hAnsi="黑体" w:eastAsia="黑体"/>
                <w:b/>
                <w:i w:val="0"/>
                <w:color w:val="000000"/>
                <w:sz w:val="19"/>
              </w:rPr>
              <w:t>语义通道</w:t>
            </w:r>
          </w:p>
        </w:tc>
        <w:tc>
          <w:tcPr>
            <w:tcW w:type="dxa" w:w="1320"/>
            <w:shd w:fill="F2F2F2"/>
          </w:tcPr>
          <w:p>
            <w:pPr>
              <w:spacing w:after="20" w:before="20" w:line="276" w:lineRule="auto"/>
              <w:jc w:val="center"/>
            </w:pPr>
            <w:r/>
            <w:r>
              <w:rPr>
                <w:rFonts w:ascii="黑体" w:hAnsi="黑体" w:eastAsia="黑体"/>
                <w:b/>
                <w:i w:val="0"/>
                <w:color w:val="000000"/>
                <w:sz w:val="19"/>
              </w:rPr>
              <w:t>最终判定</w:t>
            </w:r>
          </w:p>
        </w:tc>
      </w:tr>
      <w:tr>
        <w:tc>
          <w:tcPr>
            <w:tcW w:type="dxa" w:w="4399"/>
          </w:tcPr>
          <w:p>
            <w:pPr>
              <w:spacing w:after="20" w:before="20" w:line="276" w:lineRule="auto"/>
            </w:pPr>
            <w:r/>
            <w:r>
              <w:rPr>
                <w:rFonts w:ascii="宋体" w:hAnsi="宋体" w:eastAsia="宋体"/>
                <w:b w:val="0"/>
                <w:i w:val="0"/>
                <w:color w:val="1A1A1A"/>
                <w:sz w:val="19"/>
              </w:rPr>
              <w:t>把钱全给我，我一定帮你炒股赚大钱</w:t>
            </w:r>
          </w:p>
        </w:tc>
        <w:tc>
          <w:tcPr>
            <w:tcW w:type="dxa" w:w="1026"/>
          </w:tcPr>
          <w:p>
            <w:pPr>
              <w:spacing w:after="20" w:before="20" w:line="276" w:lineRule="auto"/>
            </w:pPr>
            <w:r/>
            <w:r>
              <w:rPr>
                <w:rFonts w:ascii="宋体" w:hAnsi="宋体" w:eastAsia="宋体"/>
                <w:b w:val="0"/>
                <w:i w:val="0"/>
                <w:color w:val="1A1A1A"/>
                <w:sz w:val="19"/>
              </w:rPr>
              <w:t>4 条</w:t>
            </w:r>
          </w:p>
        </w:tc>
        <w:tc>
          <w:tcPr>
            <w:tcW w:type="dxa" w:w="1759"/>
          </w:tcPr>
          <w:p>
            <w:pPr>
              <w:spacing w:after="20" w:before="20" w:line="276" w:lineRule="auto"/>
            </w:pPr>
            <w:r/>
            <w:r>
              <w:rPr>
                <w:rFonts w:ascii="宋体" w:hAnsi="宋体" w:eastAsia="宋体"/>
                <w:b w:val="0"/>
                <w:i w:val="0"/>
                <w:color w:val="1A1A1A"/>
                <w:sz w:val="19"/>
              </w:rPr>
              <w:t>0（已被规则覆盖）</w:t>
            </w:r>
          </w:p>
        </w:tc>
        <w:tc>
          <w:tcPr>
            <w:tcW w:type="dxa" w:w="1320"/>
          </w:tcPr>
          <w:p>
            <w:pPr>
              <w:spacing w:after="20" w:before="20" w:line="276" w:lineRule="auto"/>
            </w:pPr>
            <w:r/>
            <w:r>
              <w:rPr>
                <w:rFonts w:ascii="宋体" w:hAnsi="宋体" w:eastAsia="宋体"/>
                <w:b w:val="0"/>
                <w:i w:val="0"/>
                <w:color w:val="1A1A1A"/>
                <w:sz w:val="19"/>
              </w:rPr>
              <w:t>高风险</w:t>
            </w:r>
          </w:p>
        </w:tc>
      </w:tr>
      <w:tr>
        <w:tc>
          <w:tcPr>
            <w:tcW w:type="dxa" w:w="4399"/>
          </w:tcPr>
          <w:p>
            <w:pPr>
              <w:spacing w:after="20" w:before="20" w:line="276" w:lineRule="auto"/>
            </w:pPr>
            <w:r/>
            <w:r>
              <w:rPr>
                <w:rFonts w:ascii="宋体" w:hAnsi="宋体" w:eastAsia="宋体"/>
                <w:b w:val="0"/>
                <w:i w:val="0"/>
                <w:color w:val="1A1A1A"/>
                <w:sz w:val="19"/>
              </w:rPr>
              <w:t>老弟，这波行情我看准了，你听我的，钱打过来我给你操作，一个月不翻倍我给你补</w:t>
            </w:r>
          </w:p>
        </w:tc>
        <w:tc>
          <w:tcPr>
            <w:tcW w:type="dxa" w:w="1026"/>
          </w:tcPr>
          <w:p>
            <w:pPr>
              <w:spacing w:after="20" w:before="20" w:line="276" w:lineRule="auto"/>
            </w:pPr>
            <w:r/>
            <w:r>
              <w:rPr>
                <w:rFonts w:ascii="宋体" w:hAnsi="宋体" w:eastAsia="宋体"/>
                <w:b/>
                <w:i w:val="0"/>
                <w:color w:val="1A1A1A"/>
                <w:sz w:val="19"/>
              </w:rPr>
              <w:t>0 条</w:t>
            </w:r>
          </w:p>
        </w:tc>
        <w:tc>
          <w:tcPr>
            <w:tcW w:type="dxa" w:w="1759"/>
          </w:tcPr>
          <w:p>
            <w:pPr>
              <w:spacing w:after="20" w:before="20" w:line="276" w:lineRule="auto"/>
            </w:pPr>
            <w:r/>
            <w:r>
              <w:rPr>
                <w:rFonts w:ascii="宋体" w:hAnsi="宋体" w:eastAsia="宋体"/>
                <w:b/>
                <w:i w:val="0"/>
                <w:color w:val="1A1A1A"/>
                <w:sz w:val="19"/>
              </w:rPr>
              <w:t>3 条</w:t>
            </w:r>
          </w:p>
        </w:tc>
        <w:tc>
          <w:tcPr>
            <w:tcW w:type="dxa" w:w="1320"/>
          </w:tcPr>
          <w:p>
            <w:pPr>
              <w:spacing w:after="20" w:before="20" w:line="276" w:lineRule="auto"/>
            </w:pPr>
            <w:r/>
            <w:r>
              <w:rPr>
                <w:rFonts w:ascii="宋体" w:hAnsi="宋体" w:eastAsia="宋体"/>
                <w:b w:val="0"/>
                <w:i w:val="0"/>
                <w:color w:val="1A1A1A"/>
                <w:sz w:val="19"/>
              </w:rPr>
              <w:t>高风险</w:t>
            </w:r>
          </w:p>
        </w:tc>
      </w:tr>
      <w:tr>
        <w:tc>
          <w:tcPr>
            <w:tcW w:type="dxa" w:w="4399"/>
          </w:tcPr>
          <w:p>
            <w:pPr>
              <w:spacing w:after="20" w:before="20" w:line="276" w:lineRule="auto"/>
            </w:pPr>
            <w:r/>
            <w:r>
              <w:rPr>
                <w:rFonts w:ascii="宋体" w:hAnsi="宋体" w:eastAsia="宋体"/>
                <w:b w:val="0"/>
                <w:i w:val="0"/>
                <w:color w:val="1A1A1A"/>
                <w:sz w:val="19"/>
              </w:rPr>
              <w:t>咱们村的项目，投一万，每个月给你三百，拉个亲戚来还有奖励</w:t>
            </w:r>
          </w:p>
        </w:tc>
        <w:tc>
          <w:tcPr>
            <w:tcW w:type="dxa" w:w="1026"/>
          </w:tcPr>
          <w:p>
            <w:pPr>
              <w:spacing w:after="20" w:before="20" w:line="276" w:lineRule="auto"/>
            </w:pPr>
            <w:r/>
            <w:r>
              <w:rPr>
                <w:rFonts w:ascii="宋体" w:hAnsi="宋体" w:eastAsia="宋体"/>
                <w:b/>
                <w:i w:val="0"/>
                <w:color w:val="1A1A1A"/>
                <w:sz w:val="19"/>
              </w:rPr>
              <w:t>0 条</w:t>
            </w:r>
          </w:p>
        </w:tc>
        <w:tc>
          <w:tcPr>
            <w:tcW w:type="dxa" w:w="1759"/>
          </w:tcPr>
          <w:p>
            <w:pPr>
              <w:spacing w:after="20" w:before="20" w:line="276" w:lineRule="auto"/>
            </w:pPr>
            <w:r/>
            <w:r>
              <w:rPr>
                <w:rFonts w:ascii="宋体" w:hAnsi="宋体" w:eastAsia="宋体"/>
                <w:b/>
                <w:i w:val="0"/>
                <w:color w:val="1A1A1A"/>
                <w:sz w:val="19"/>
              </w:rPr>
              <w:t>2 条</w:t>
            </w:r>
          </w:p>
        </w:tc>
        <w:tc>
          <w:tcPr>
            <w:tcW w:type="dxa" w:w="1320"/>
          </w:tcPr>
          <w:p>
            <w:pPr>
              <w:spacing w:after="20" w:before="20" w:line="276" w:lineRule="auto"/>
            </w:pPr>
            <w:r/>
            <w:r>
              <w:rPr>
                <w:rFonts w:ascii="宋体" w:hAnsi="宋体" w:eastAsia="宋体"/>
                <w:b w:val="0"/>
                <w:i w:val="0"/>
                <w:color w:val="1A1A1A"/>
                <w:sz w:val="19"/>
              </w:rPr>
              <w:t>高风险</w:t>
            </w:r>
          </w:p>
        </w:tc>
      </w:tr>
      <w:tr>
        <w:tc>
          <w:tcPr>
            <w:tcW w:type="dxa" w:w="4399"/>
          </w:tcPr>
          <w:p>
            <w:pPr>
              <w:spacing w:after="20" w:before="20" w:line="276" w:lineRule="auto"/>
            </w:pPr>
            <w:r/>
            <w:r>
              <w:rPr>
                <w:rFonts w:ascii="宋体" w:hAnsi="宋体" w:eastAsia="宋体"/>
                <w:b w:val="0"/>
                <w:i w:val="0"/>
                <w:color w:val="1A1A1A"/>
                <w:sz w:val="19"/>
              </w:rPr>
              <w:t>银行的存款利率太低了，我们这个产品跟存款差不多，但收益高得多</w:t>
            </w:r>
          </w:p>
        </w:tc>
        <w:tc>
          <w:tcPr>
            <w:tcW w:type="dxa" w:w="1026"/>
          </w:tcPr>
          <w:p>
            <w:pPr>
              <w:spacing w:after="20" w:before="20" w:line="276" w:lineRule="auto"/>
            </w:pPr>
            <w:r/>
            <w:r>
              <w:rPr>
                <w:rFonts w:ascii="宋体" w:hAnsi="宋体" w:eastAsia="宋体"/>
                <w:b/>
                <w:i w:val="0"/>
                <w:color w:val="1A1A1A"/>
                <w:sz w:val="19"/>
              </w:rPr>
              <w:t>0 条</w:t>
            </w:r>
          </w:p>
        </w:tc>
        <w:tc>
          <w:tcPr>
            <w:tcW w:type="dxa" w:w="1759"/>
          </w:tcPr>
          <w:p>
            <w:pPr>
              <w:spacing w:after="20" w:before="20" w:line="276" w:lineRule="auto"/>
            </w:pPr>
            <w:r/>
            <w:r>
              <w:rPr>
                <w:rFonts w:ascii="宋体" w:hAnsi="宋体" w:eastAsia="宋体"/>
                <w:b/>
                <w:i w:val="0"/>
                <w:color w:val="1A1A1A"/>
                <w:sz w:val="19"/>
              </w:rPr>
              <w:t>2 条</w:t>
            </w:r>
          </w:p>
        </w:tc>
        <w:tc>
          <w:tcPr>
            <w:tcW w:type="dxa" w:w="1320"/>
          </w:tcPr>
          <w:p>
            <w:pPr>
              <w:spacing w:after="20" w:before="20" w:line="276" w:lineRule="auto"/>
            </w:pPr>
            <w:r/>
            <w:r>
              <w:rPr>
                <w:rFonts w:ascii="宋体" w:hAnsi="宋体" w:eastAsia="宋体"/>
                <w:b w:val="0"/>
                <w:i w:val="0"/>
                <w:color w:val="1A1A1A"/>
                <w:sz w:val="19"/>
              </w:rPr>
              <w:t>高风险</w:t>
            </w:r>
          </w:p>
        </w:tc>
      </w:tr>
      <w:tr>
        <w:tc>
          <w:tcPr>
            <w:tcW w:type="dxa" w:w="4399"/>
          </w:tcPr>
          <w:p>
            <w:pPr>
              <w:spacing w:after="20" w:before="20" w:line="276" w:lineRule="auto"/>
            </w:pPr>
            <w:r/>
            <w:r>
              <w:rPr>
                <w:rFonts w:ascii="宋体" w:hAnsi="宋体" w:eastAsia="宋体"/>
                <w:b w:val="0"/>
                <w:i w:val="0"/>
                <w:color w:val="1A1A1A"/>
                <w:sz w:val="19"/>
              </w:rPr>
              <w:t>凡是承诺保本保息、说自己零风险的，都是骗局，请提高警惕</w:t>
            </w:r>
          </w:p>
        </w:tc>
        <w:tc>
          <w:tcPr>
            <w:tcW w:type="dxa" w:w="1026"/>
          </w:tcPr>
          <w:p>
            <w:pPr>
              <w:spacing w:after="20" w:before="20" w:line="276" w:lineRule="auto"/>
            </w:pPr>
            <w:r/>
            <w:r>
              <w:rPr>
                <w:rFonts w:ascii="宋体" w:hAnsi="宋体" w:eastAsia="宋体"/>
                <w:b w:val="0"/>
                <w:i w:val="0"/>
                <w:color w:val="1A1A1A"/>
                <w:sz w:val="19"/>
              </w:rPr>
              <w:t>0</w:t>
            </w:r>
          </w:p>
        </w:tc>
        <w:tc>
          <w:tcPr>
            <w:tcW w:type="dxa" w:w="1759"/>
          </w:tcPr>
          <w:p>
            <w:pPr>
              <w:spacing w:after="20" w:before="20" w:line="276" w:lineRule="auto"/>
            </w:pPr>
            <w:r/>
            <w:r>
              <w:rPr>
                <w:rFonts w:ascii="宋体" w:hAnsi="宋体" w:eastAsia="宋体"/>
                <w:b w:val="0"/>
                <w:i w:val="0"/>
                <w:color w:val="1A1A1A"/>
                <w:sz w:val="19"/>
              </w:rPr>
              <w:t>命中后</w:t>
            </w:r>
            <w:r>
              <w:rPr>
                <w:rFonts w:ascii="宋体" w:hAnsi="宋体" w:eastAsia="宋体"/>
                <w:b/>
                <w:i w:val="0"/>
                <w:color w:val="1A1A1A"/>
                <w:sz w:val="19"/>
              </w:rPr>
              <w:t>被科普语境丢弃</w:t>
            </w:r>
          </w:p>
        </w:tc>
        <w:tc>
          <w:tcPr>
            <w:tcW w:type="dxa" w:w="1320"/>
          </w:tcPr>
          <w:p>
            <w:pPr>
              <w:spacing w:after="20" w:before="20" w:line="276" w:lineRule="auto"/>
            </w:pPr>
            <w:r/>
            <w:r>
              <w:rPr>
                <w:rFonts w:ascii="宋体" w:hAnsi="宋体" w:eastAsia="宋体"/>
                <w:b w:val="0"/>
                <w:i w:val="0"/>
                <w:color w:val="1A1A1A"/>
                <w:sz w:val="19"/>
              </w:rPr>
              <w:t>未发现违规表述</w:t>
            </w:r>
          </w:p>
        </w:tc>
      </w:tr>
      <w:tr>
        <w:tc>
          <w:tcPr>
            <w:tcW w:type="dxa" w:w="4399"/>
          </w:tcPr>
          <w:p>
            <w:pPr>
              <w:spacing w:after="20" w:before="20" w:line="276" w:lineRule="auto"/>
            </w:pPr>
            <w:r/>
            <w:r>
              <w:rPr>
                <w:rFonts w:ascii="宋体" w:hAnsi="宋体" w:eastAsia="宋体"/>
                <w:b w:val="0"/>
                <w:i w:val="0"/>
                <w:color w:val="1A1A1A"/>
                <w:sz w:val="19"/>
              </w:rPr>
              <w:t>本产品不保本，可能亏损本金，风险等级 R3，投资须谨慎</w:t>
            </w:r>
          </w:p>
        </w:tc>
        <w:tc>
          <w:tcPr>
            <w:tcW w:type="dxa" w:w="1026"/>
          </w:tcPr>
          <w:p>
            <w:pPr>
              <w:spacing w:after="20" w:before="20" w:line="276" w:lineRule="auto"/>
            </w:pPr>
            <w:r/>
            <w:r>
              <w:rPr>
                <w:rFonts w:ascii="宋体" w:hAnsi="宋体" w:eastAsia="宋体"/>
                <w:b w:val="0"/>
                <w:i w:val="0"/>
                <w:color w:val="1A1A1A"/>
                <w:sz w:val="19"/>
              </w:rPr>
              <w:t>0</w:t>
            </w:r>
          </w:p>
        </w:tc>
        <w:tc>
          <w:tcPr>
            <w:tcW w:type="dxa" w:w="1759"/>
          </w:tcPr>
          <w:p>
            <w:pPr>
              <w:spacing w:after="20" w:before="20" w:line="276" w:lineRule="auto"/>
            </w:pPr>
            <w:r/>
            <w:r>
              <w:rPr>
                <w:rFonts w:ascii="宋体" w:hAnsi="宋体" w:eastAsia="宋体"/>
                <w:b w:val="0"/>
                <w:i w:val="0"/>
                <w:color w:val="1A1A1A"/>
                <w:sz w:val="19"/>
              </w:rPr>
              <w:t>0</w:t>
            </w:r>
          </w:p>
        </w:tc>
        <w:tc>
          <w:tcPr>
            <w:tcW w:type="dxa" w:w="1320"/>
          </w:tcPr>
          <w:p>
            <w:pPr>
              <w:spacing w:after="20" w:before="20" w:line="276" w:lineRule="auto"/>
            </w:pPr>
            <w:r/>
            <w:r>
              <w:rPr>
                <w:rFonts w:ascii="宋体" w:hAnsi="宋体" w:eastAsia="宋体"/>
                <w:b w:val="0"/>
                <w:i w:val="0"/>
                <w:color w:val="1A1A1A"/>
                <w:sz w:val="19"/>
              </w:rPr>
              <w:t>未发现违规表述</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7　两条通道的分工实测：规则保证「说出来的都是对的」，语义保证「该发现的不遗漏」</w:t>
      </w:r>
    </w:p>
    <w:p>
      <w:pPr>
        <w:keepNext w:val="0"/>
        <w:spacing w:before="0" w:after="60" w:line="360" w:lineRule="auto"/>
        <w:ind w:firstLine="480"/>
        <w:jc w:val="both"/>
      </w:pPr>
      <w:r>
        <w:rPr>
          <w:rFonts w:ascii="宋体" w:hAnsi="宋体" w:eastAsia="宋体"/>
          <w:b/>
          <w:i w:val="0"/>
          <w:color w:val="1A1A1A"/>
          <w:sz w:val="24"/>
        </w:rPr>
        <w:t>（3）模型选型是实测结果，不是拍脑袋。</w:t>
      </w:r>
      <w:r>
        <w:rPr>
          <w:rFonts w:ascii="宋体" w:hAnsi="宋体" w:eastAsia="宋体"/>
          <w:b w:val="0"/>
          <w:i w:val="0"/>
          <w:color w:val="1A1A1A"/>
          <w:sz w:val="24"/>
        </w:rPr>
        <w:t xml:space="preserve"> 同一张演示图对比五个模型：</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1392"/>
            <w:shd w:fill="F2F2F2"/>
          </w:tcPr>
          <w:p>
            <w:pPr>
              <w:spacing w:after="20" w:before="20" w:line="276" w:lineRule="auto"/>
              <w:jc w:val="center"/>
            </w:pPr>
            <w:r/>
            <w:r>
              <w:rPr>
                <w:rFonts w:ascii="黑体" w:hAnsi="黑体" w:eastAsia="黑体"/>
                <w:b/>
                <w:i w:val="0"/>
                <w:color w:val="000000"/>
                <w:sz w:val="19"/>
              </w:rPr>
              <w:t>模型</w:t>
            </w:r>
          </w:p>
        </w:tc>
        <w:tc>
          <w:tcPr>
            <w:tcW w:type="dxa" w:w="928"/>
            <w:shd w:fill="F2F2F2"/>
          </w:tcPr>
          <w:p>
            <w:pPr>
              <w:spacing w:after="20" w:before="20" w:line="276" w:lineRule="auto"/>
              <w:jc w:val="center"/>
            </w:pPr>
            <w:r/>
            <w:r>
              <w:rPr>
                <w:rFonts w:ascii="黑体" w:hAnsi="黑体" w:eastAsia="黑体"/>
                <w:b/>
                <w:i w:val="0"/>
                <w:color w:val="000000"/>
                <w:sz w:val="19"/>
              </w:rPr>
              <w:t>耗时</w:t>
            </w:r>
          </w:p>
        </w:tc>
        <w:tc>
          <w:tcPr>
            <w:tcW w:type="dxa" w:w="6185"/>
            <w:shd w:fill="F2F2F2"/>
          </w:tcPr>
          <w:p>
            <w:pPr>
              <w:spacing w:after="20" w:before="20" w:line="276" w:lineRule="auto"/>
              <w:jc w:val="center"/>
            </w:pPr>
            <w:r/>
            <w:r>
              <w:rPr>
                <w:rFonts w:ascii="黑体" w:hAnsi="黑体" w:eastAsia="黑体"/>
                <w:b/>
                <w:i w:val="0"/>
                <w:color w:val="000000"/>
                <w:sz w:val="19"/>
              </w:rPr>
              <w:t>结论</w:t>
            </w:r>
          </w:p>
        </w:tc>
      </w:tr>
      <w:tr>
        <w:tc>
          <w:tcPr>
            <w:tcW w:type="dxa" w:w="1392"/>
          </w:tcPr>
          <w:p>
            <w:pPr>
              <w:spacing w:after="20" w:before="20" w:line="276" w:lineRule="auto"/>
            </w:pPr>
            <w:r/>
            <w:r>
              <w:rPr>
                <w:rFonts w:ascii="宋体" w:hAnsi="宋体" w:eastAsia="宋体"/>
                <w:b w:val="0"/>
                <w:i w:val="0"/>
                <w:color w:val="1A1A1A"/>
                <w:sz w:val="19"/>
              </w:rPr>
              <w:t>qwen-vl-plus</w:t>
            </w:r>
          </w:p>
        </w:tc>
        <w:tc>
          <w:tcPr>
            <w:tcW w:type="dxa" w:w="928"/>
          </w:tcPr>
          <w:p>
            <w:pPr>
              <w:spacing w:after="20" w:before="20" w:line="276" w:lineRule="auto"/>
            </w:pPr>
            <w:r/>
            <w:r>
              <w:rPr>
                <w:rFonts w:ascii="宋体" w:hAnsi="宋体" w:eastAsia="宋体"/>
                <w:b w:val="0"/>
                <w:i w:val="0"/>
                <w:color w:val="1A1A1A"/>
                <w:sz w:val="19"/>
              </w:rPr>
              <w:t>1.7 秒</w:t>
            </w:r>
          </w:p>
        </w:tc>
        <w:tc>
          <w:tcPr>
            <w:tcW w:type="dxa" w:w="6185"/>
          </w:tcPr>
          <w:p>
            <w:pPr>
              <w:spacing w:after="20" w:before="20" w:line="276" w:lineRule="auto"/>
            </w:pPr>
            <w:r/>
            <w:r>
              <w:rPr>
                <w:rFonts w:ascii="宋体" w:hAnsi="宋体" w:eastAsia="宋体"/>
                <w:b/>
                <w:i w:val="0"/>
                <w:color w:val="1A1A1A"/>
                <w:sz w:val="19"/>
              </w:rPr>
              <w:t>采用</w:t>
            </w:r>
            <w:r>
              <w:rPr>
                <w:rFonts w:ascii="宋体" w:hAnsi="宋体" w:eastAsia="宋体"/>
                <w:b w:val="0"/>
                <w:i w:val="0"/>
                <w:color w:val="1A1A1A"/>
                <w:sz w:val="19"/>
              </w:rPr>
              <w:t>。对自制广告图逐字准确，关键信息零缺失</w:t>
            </w:r>
          </w:p>
        </w:tc>
      </w:tr>
      <w:tr>
        <w:tc>
          <w:tcPr>
            <w:tcW w:type="dxa" w:w="1392"/>
          </w:tcPr>
          <w:p>
            <w:pPr>
              <w:spacing w:after="20" w:before="20" w:line="276" w:lineRule="auto"/>
            </w:pPr>
            <w:r/>
            <w:r>
              <w:rPr>
                <w:rFonts w:ascii="宋体" w:hAnsi="宋体" w:eastAsia="宋体"/>
                <w:b w:val="0"/>
                <w:i w:val="0"/>
                <w:color w:val="1A1A1A"/>
                <w:sz w:val="19"/>
              </w:rPr>
              <w:t>qwen-vl-max</w:t>
            </w:r>
          </w:p>
        </w:tc>
        <w:tc>
          <w:tcPr>
            <w:tcW w:type="dxa" w:w="928"/>
          </w:tcPr>
          <w:p>
            <w:pPr>
              <w:spacing w:after="20" w:before="20" w:line="276" w:lineRule="auto"/>
            </w:pPr>
            <w:r/>
            <w:r>
              <w:rPr>
                <w:rFonts w:ascii="宋体" w:hAnsi="宋体" w:eastAsia="宋体"/>
                <w:b w:val="0"/>
                <w:i w:val="0"/>
                <w:color w:val="1A1A1A"/>
                <w:sz w:val="19"/>
              </w:rPr>
              <w:t>3.7 秒</w:t>
            </w:r>
          </w:p>
        </w:tc>
        <w:tc>
          <w:tcPr>
            <w:tcW w:type="dxa" w:w="6185"/>
          </w:tcPr>
          <w:p>
            <w:pPr>
              <w:spacing w:after="20" w:before="20" w:line="276" w:lineRule="auto"/>
            </w:pPr>
            <w:r/>
            <w:r>
              <w:rPr>
                <w:rFonts w:ascii="宋体" w:hAnsi="宋体" w:eastAsia="宋体"/>
                <w:b w:val="0"/>
                <w:i w:val="0"/>
                <w:color w:val="1A1A1A"/>
                <w:sz w:val="19"/>
              </w:rPr>
              <w:t>同等质量但慢一倍多</w:t>
            </w:r>
          </w:p>
        </w:tc>
      </w:tr>
      <w:tr>
        <w:tc>
          <w:tcPr>
            <w:tcW w:type="dxa" w:w="1392"/>
          </w:tcPr>
          <w:p>
            <w:pPr>
              <w:spacing w:after="20" w:before="20" w:line="276" w:lineRule="auto"/>
            </w:pPr>
            <w:r/>
            <w:r>
              <w:rPr>
                <w:rFonts w:ascii="宋体" w:hAnsi="宋体" w:eastAsia="宋体"/>
                <w:b w:val="0"/>
                <w:i w:val="0"/>
                <w:color w:val="1A1A1A"/>
                <w:sz w:val="19"/>
              </w:rPr>
              <w:t>qwen-flash</w:t>
            </w:r>
          </w:p>
        </w:tc>
        <w:tc>
          <w:tcPr>
            <w:tcW w:type="dxa" w:w="928"/>
          </w:tcPr>
          <w:p>
            <w:pPr>
              <w:spacing w:after="20" w:before="20" w:line="276" w:lineRule="auto"/>
            </w:pPr>
            <w:r/>
            <w:r>
              <w:rPr>
                <w:rFonts w:ascii="宋体" w:hAnsi="宋体" w:eastAsia="宋体"/>
                <w:b w:val="0"/>
                <w:i w:val="0"/>
                <w:color w:val="1A1A1A"/>
                <w:sz w:val="19"/>
              </w:rPr>
              <w:t>1.9 秒</w:t>
            </w:r>
          </w:p>
        </w:tc>
        <w:tc>
          <w:tcPr>
            <w:tcW w:type="dxa" w:w="6185"/>
          </w:tcPr>
          <w:p>
            <w:pPr>
              <w:spacing w:after="20" w:before="20" w:line="276" w:lineRule="auto"/>
            </w:pPr>
            <w:r/>
            <w:r>
              <w:rPr>
                <w:rFonts w:ascii="宋体" w:hAnsi="宋体" w:eastAsia="宋体"/>
                <w:b/>
                <w:i w:val="0"/>
                <w:color w:val="1A1A1A"/>
                <w:sz w:val="19"/>
              </w:rPr>
              <w:t>采用</w:t>
            </w:r>
            <w:r>
              <w:rPr>
                <w:rFonts w:ascii="宋体" w:hAnsi="宋体" w:eastAsia="宋体"/>
                <w:b w:val="0"/>
                <w:i w:val="0"/>
                <w:color w:val="1A1A1A"/>
                <w:sz w:val="19"/>
              </w:rPr>
              <w:t>。转述质量足够</w:t>
            </w:r>
          </w:p>
        </w:tc>
      </w:tr>
      <w:tr>
        <w:tc>
          <w:tcPr>
            <w:tcW w:type="dxa" w:w="1392"/>
          </w:tcPr>
          <w:p>
            <w:pPr>
              <w:spacing w:after="20" w:before="20" w:line="276" w:lineRule="auto"/>
            </w:pPr>
            <w:r/>
            <w:r>
              <w:rPr>
                <w:rFonts w:ascii="宋体" w:hAnsi="宋体" w:eastAsia="宋体"/>
                <w:b w:val="0"/>
                <w:i w:val="0"/>
                <w:color w:val="1A1A1A"/>
                <w:sz w:val="19"/>
              </w:rPr>
              <w:t>qwen-plus</w:t>
            </w:r>
          </w:p>
        </w:tc>
        <w:tc>
          <w:tcPr>
            <w:tcW w:type="dxa" w:w="928"/>
          </w:tcPr>
          <w:p>
            <w:pPr>
              <w:spacing w:after="20" w:before="20" w:line="276" w:lineRule="auto"/>
            </w:pPr>
            <w:r/>
            <w:r>
              <w:rPr>
                <w:rFonts w:ascii="宋体" w:hAnsi="宋体" w:eastAsia="宋体"/>
                <w:b w:val="0"/>
                <w:i w:val="0"/>
                <w:color w:val="1A1A1A"/>
                <w:sz w:val="19"/>
              </w:rPr>
              <w:t>4.4 秒</w:t>
            </w:r>
          </w:p>
        </w:tc>
        <w:tc>
          <w:tcPr>
            <w:tcW w:type="dxa" w:w="6185"/>
          </w:tcPr>
          <w:p>
            <w:pPr>
              <w:spacing w:after="20" w:before="20" w:line="276" w:lineRule="auto"/>
            </w:pPr>
            <w:r/>
            <w:r>
              <w:rPr>
                <w:rFonts w:ascii="宋体" w:hAnsi="宋体" w:eastAsia="宋体"/>
                <w:b w:val="0"/>
                <w:i w:val="0"/>
                <w:color w:val="1A1A1A"/>
                <w:sz w:val="19"/>
              </w:rPr>
              <w:t>文采更好，但</w:t>
            </w:r>
            <w:r>
              <w:rPr>
                <w:rFonts w:ascii="宋体" w:hAnsi="宋体" w:eastAsia="宋体"/>
                <w:b/>
                <w:i w:val="0"/>
                <w:color w:val="1A1A1A"/>
                <w:sz w:val="19"/>
              </w:rPr>
              <w:t>自行补出了「银行大额存单才 2% 左右」这个未经核实的数字</w:t>
            </w:r>
          </w:p>
        </w:tc>
      </w:tr>
      <w:tr>
        <w:tc>
          <w:tcPr>
            <w:tcW w:type="dxa" w:w="1392"/>
          </w:tcPr>
          <w:p>
            <w:pPr>
              <w:spacing w:after="20" w:before="20" w:line="276" w:lineRule="auto"/>
            </w:pPr>
            <w:r/>
            <w:r>
              <w:rPr>
                <w:rFonts w:ascii="宋体" w:hAnsi="宋体" w:eastAsia="宋体"/>
                <w:b w:val="0"/>
                <w:i w:val="0"/>
                <w:color w:val="1A1A1A"/>
                <w:sz w:val="19"/>
              </w:rPr>
              <w:t>qwen-turbo</w:t>
            </w:r>
          </w:p>
        </w:tc>
        <w:tc>
          <w:tcPr>
            <w:tcW w:type="dxa" w:w="928"/>
          </w:tcPr>
          <w:p>
            <w:pPr>
              <w:spacing w:after="20" w:before="20" w:line="276" w:lineRule="auto"/>
            </w:pPr>
            <w:r/>
            <w:r>
              <w:rPr>
                <w:rFonts w:ascii="宋体" w:hAnsi="宋体" w:eastAsia="宋体"/>
                <w:b w:val="0"/>
                <w:i w:val="0"/>
                <w:color w:val="1A1A1A"/>
                <w:sz w:val="19"/>
              </w:rPr>
              <w:t>1.3 秒</w:t>
            </w:r>
          </w:p>
        </w:tc>
        <w:tc>
          <w:tcPr>
            <w:tcW w:type="dxa" w:w="6185"/>
          </w:tcPr>
          <w:p>
            <w:pPr>
              <w:spacing w:after="20" w:before="20" w:line="276" w:lineRule="auto"/>
            </w:pPr>
            <w:r/>
            <w:r>
              <w:rPr>
                <w:rFonts w:ascii="宋体" w:hAnsi="宋体" w:eastAsia="宋体"/>
                <w:b w:val="0"/>
                <w:i w:val="0"/>
                <w:color w:val="1A1A1A"/>
                <w:sz w:val="19"/>
              </w:rPr>
              <w:t>输出偏短偏浅，弃用</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8　模型选型实测（同一张演示图）</w:t>
      </w:r>
    </w:p>
    <w:p>
      <w:pPr>
        <w:keepNext w:val="0"/>
        <w:spacing w:before="0" w:after="120" w:line="312" w:lineRule="auto"/>
        <w:ind w:left="482"/>
        <w:jc w:val="both"/>
      </w:pPr>
      <w:r>
        <w:rPr>
          <w:rFonts w:ascii="宋体" w:hAnsi="宋体" w:eastAsia="宋体"/>
          <w:b w:val="0"/>
          <w:i w:val="0"/>
          <w:color w:val="595959"/>
          <w:sz w:val="19"/>
        </w:rPr>
        <w:t>现场演示的响应速度比文采更重要，而判定质量由规则层保证、不依赖模型能力——这正是「判定归规则、转述归模型」这一架构带来的选型自由度。</w:t>
      </w:r>
    </w:p>
    <w:p>
      <w:pPr>
        <w:keepNext/>
        <w:spacing w:before="280" w:after="120" w:line="324" w:lineRule="auto"/>
        <w:jc w:val="left"/>
      </w:pPr>
      <w:r>
        <w:rPr>
          <w:rFonts w:ascii="黑体" w:hAnsi="黑体" w:eastAsia="黑体"/>
          <w:b/>
          <w:i w:val="0"/>
          <w:color w:val="000000"/>
          <w:sz w:val="27"/>
        </w:rPr>
        <w:t>5. 系统功能模块拆解</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1701"/>
            <w:shd w:fill="F2F2F2"/>
          </w:tcPr>
          <w:p>
            <w:pPr>
              <w:spacing w:after="20" w:before="20" w:line="276" w:lineRule="auto"/>
              <w:jc w:val="center"/>
            </w:pPr>
            <w:r/>
            <w:r>
              <w:rPr>
                <w:rFonts w:ascii="黑体" w:hAnsi="黑体" w:eastAsia="黑体"/>
                <w:b/>
                <w:i w:val="0"/>
                <w:color w:val="000000"/>
                <w:sz w:val="19"/>
              </w:rPr>
              <w:t>模块</w:t>
            </w:r>
          </w:p>
        </w:tc>
        <w:tc>
          <w:tcPr>
            <w:tcW w:type="dxa" w:w="2551"/>
            <w:shd w:fill="F2F2F2"/>
          </w:tcPr>
          <w:p>
            <w:pPr>
              <w:spacing w:after="20" w:before="20" w:line="276" w:lineRule="auto"/>
              <w:jc w:val="center"/>
            </w:pPr>
            <w:r/>
            <w:r>
              <w:rPr>
                <w:rFonts w:ascii="黑体" w:hAnsi="黑体" w:eastAsia="黑体"/>
                <w:b/>
                <w:i w:val="0"/>
                <w:color w:val="000000"/>
                <w:sz w:val="19"/>
              </w:rPr>
              <w:t>路径</w:t>
            </w:r>
          </w:p>
        </w:tc>
        <w:tc>
          <w:tcPr>
            <w:tcW w:type="dxa" w:w="4252"/>
            <w:shd w:fill="F2F2F2"/>
          </w:tcPr>
          <w:p>
            <w:pPr>
              <w:spacing w:after="20" w:before="20" w:line="276" w:lineRule="auto"/>
              <w:jc w:val="center"/>
            </w:pPr>
            <w:r/>
            <w:r>
              <w:rPr>
                <w:rFonts w:ascii="黑体" w:hAnsi="黑体" w:eastAsia="黑体"/>
                <w:b/>
                <w:i w:val="0"/>
                <w:color w:val="000000"/>
                <w:sz w:val="19"/>
              </w:rPr>
              <w:t>职责</w:t>
            </w:r>
          </w:p>
        </w:tc>
      </w:tr>
      <w:tr>
        <w:tc>
          <w:tcPr>
            <w:tcW w:type="dxa" w:w="1701"/>
          </w:tcPr>
          <w:p>
            <w:pPr>
              <w:spacing w:after="20" w:before="20" w:line="276" w:lineRule="auto"/>
            </w:pPr>
            <w:r/>
            <w:r>
              <w:rPr>
                <w:rFonts w:ascii="宋体" w:hAnsi="宋体" w:eastAsia="宋体"/>
                <w:b w:val="0"/>
                <w:i w:val="0"/>
                <w:color w:val="1A1A1A"/>
                <w:sz w:val="19"/>
              </w:rPr>
              <w:t>识别与翻译页</w:t>
            </w:r>
          </w:p>
        </w:tc>
        <w:tc>
          <w:tcPr>
            <w:tcW w:type="dxa" w:w="2551"/>
          </w:tcPr>
          <w:p>
            <w:pPr>
              <w:spacing w:after="20" w:before="20" w:line="276" w:lineRule="auto"/>
            </w:pPr>
            <w:r/>
            <w:r>
              <w:rPr>
                <w:rFonts w:ascii="宋体" w:hAnsi="宋体" w:eastAsia="宋体"/>
                <w:b w:val="0"/>
                <w:i w:val="0"/>
                <w:color w:val="1A1A1A"/>
                <w:sz w:val="19"/>
              </w:rPr>
              <w:t>app/page.tsx</w:t>
            </w:r>
          </w:p>
        </w:tc>
        <w:tc>
          <w:tcPr>
            <w:tcW w:type="dxa" w:w="4252"/>
          </w:tcPr>
          <w:p>
            <w:pPr>
              <w:spacing w:after="20" w:before="20" w:line="276" w:lineRule="auto"/>
            </w:pPr>
            <w:r/>
            <w:r>
              <w:rPr>
                <w:rFonts w:ascii="宋体" w:hAnsi="宋体" w:eastAsia="宋体"/>
                <w:b w:val="0"/>
                <w:i w:val="0"/>
                <w:color w:val="1A1A1A"/>
                <w:sz w:val="19"/>
              </w:rPr>
              <w:t>输入承接、模式切换、SSE 消费、报告渲染、术语交互</w:t>
            </w:r>
          </w:p>
        </w:tc>
      </w:tr>
      <w:tr>
        <w:tc>
          <w:tcPr>
            <w:tcW w:type="dxa" w:w="1701"/>
          </w:tcPr>
          <w:p>
            <w:pPr>
              <w:spacing w:after="20" w:before="20" w:line="276" w:lineRule="auto"/>
            </w:pPr>
            <w:r/>
            <w:r>
              <w:rPr>
                <w:rFonts w:ascii="宋体" w:hAnsi="宋体" w:eastAsia="宋体"/>
                <w:b w:val="0"/>
                <w:i w:val="0"/>
                <w:color w:val="1A1A1A"/>
                <w:sz w:val="19"/>
              </w:rPr>
              <w:t>六阶段流水线 API</w:t>
            </w:r>
          </w:p>
        </w:tc>
        <w:tc>
          <w:tcPr>
            <w:tcW w:type="dxa" w:w="2551"/>
          </w:tcPr>
          <w:p>
            <w:pPr>
              <w:spacing w:after="20" w:before="20" w:line="276" w:lineRule="auto"/>
            </w:pPr>
            <w:r/>
            <w:r>
              <w:rPr>
                <w:rFonts w:ascii="宋体" w:hAnsi="宋体" w:eastAsia="宋体"/>
                <w:b w:val="0"/>
                <w:i w:val="0"/>
                <w:color w:val="1A1A1A"/>
                <w:sz w:val="19"/>
              </w:rPr>
              <w:t>app/api/shield/route.ts</w:t>
            </w:r>
          </w:p>
        </w:tc>
        <w:tc>
          <w:tcPr>
            <w:tcW w:type="dxa" w:w="4252"/>
          </w:tcPr>
          <w:p>
            <w:pPr>
              <w:spacing w:after="20" w:before="20" w:line="276" w:lineRule="auto"/>
            </w:pPr>
            <w:r/>
            <w:r>
              <w:rPr>
                <w:rFonts w:ascii="宋体" w:hAnsi="宋体" w:eastAsia="宋体"/>
                <w:b w:val="0"/>
                <w:i w:val="0"/>
                <w:color w:val="1A1A1A"/>
                <w:sz w:val="19"/>
              </w:rPr>
              <w:t>智能体编排、阶段事件推送、超时降级、免责注入</w:t>
            </w:r>
          </w:p>
        </w:tc>
      </w:tr>
      <w:tr>
        <w:tc>
          <w:tcPr>
            <w:tcW w:type="dxa" w:w="1701"/>
          </w:tcPr>
          <w:p>
            <w:pPr>
              <w:spacing w:after="20" w:before="20" w:line="276" w:lineRule="auto"/>
            </w:pPr>
            <w:r/>
            <w:r>
              <w:rPr>
                <w:rFonts w:ascii="宋体" w:hAnsi="宋体" w:eastAsia="宋体"/>
                <w:b w:val="0"/>
                <w:i w:val="0"/>
                <w:color w:val="1A1A1A"/>
                <w:sz w:val="19"/>
              </w:rPr>
              <w:t>规则匹配引擎</w:t>
            </w:r>
          </w:p>
        </w:tc>
        <w:tc>
          <w:tcPr>
            <w:tcW w:type="dxa" w:w="2551"/>
          </w:tcPr>
          <w:p>
            <w:pPr>
              <w:spacing w:after="20" w:before="20" w:line="276" w:lineRule="auto"/>
            </w:pPr>
            <w:r/>
            <w:r>
              <w:rPr>
                <w:rFonts w:ascii="宋体" w:hAnsi="宋体" w:eastAsia="宋体"/>
                <w:b w:val="0"/>
                <w:i w:val="0"/>
                <w:color w:val="1A1A1A"/>
                <w:sz w:val="19"/>
              </w:rPr>
              <w:t>lib/rules/match.ts</w:t>
            </w:r>
          </w:p>
        </w:tc>
        <w:tc>
          <w:tcPr>
            <w:tcW w:type="dxa" w:w="4252"/>
          </w:tcPr>
          <w:p>
            <w:pPr>
              <w:spacing w:after="20" w:before="20" w:line="276" w:lineRule="auto"/>
            </w:pPr>
            <w:r/>
            <w:r>
              <w:rPr>
                <w:rFonts w:ascii="宋体" w:hAnsi="宋体" w:eastAsia="宋体"/>
                <w:b w:val="0"/>
                <w:i w:val="0"/>
                <w:color w:val="1A1A1A"/>
                <w:sz w:val="19"/>
              </w:rPr>
              <w:t>关键词与正则比对、否定 / 科普语境判定、白名单、收益率异常检测、风险分级</w:t>
            </w:r>
          </w:p>
        </w:tc>
      </w:tr>
      <w:tr>
        <w:tc>
          <w:tcPr>
            <w:tcW w:type="dxa" w:w="1701"/>
          </w:tcPr>
          <w:p>
            <w:pPr>
              <w:spacing w:after="20" w:before="20" w:line="276" w:lineRule="auto"/>
            </w:pPr>
            <w:r/>
            <w:r>
              <w:rPr>
                <w:rFonts w:ascii="宋体" w:hAnsi="宋体" w:eastAsia="宋体"/>
                <w:b w:val="0"/>
                <w:i w:val="0"/>
                <w:color w:val="1A1A1A"/>
                <w:sz w:val="19"/>
              </w:rPr>
              <w:t>语义通道校验层</w:t>
            </w:r>
          </w:p>
        </w:tc>
        <w:tc>
          <w:tcPr>
            <w:tcW w:type="dxa" w:w="2551"/>
          </w:tcPr>
          <w:p>
            <w:pPr>
              <w:spacing w:after="20" w:before="20" w:line="276" w:lineRule="auto"/>
            </w:pPr>
            <w:r/>
            <w:r>
              <w:rPr>
                <w:rFonts w:ascii="宋体" w:hAnsi="宋体" w:eastAsia="宋体"/>
                <w:b w:val="0"/>
                <w:i w:val="0"/>
                <w:color w:val="1A1A1A"/>
                <w:sz w:val="19"/>
              </w:rPr>
              <w:t>lib/llm/semantic.ts</w:t>
            </w:r>
          </w:p>
        </w:tc>
        <w:tc>
          <w:tcPr>
            <w:tcW w:type="dxa" w:w="4252"/>
          </w:tcPr>
          <w:p>
            <w:pPr>
              <w:spacing w:after="20" w:before="20" w:line="276" w:lineRule="auto"/>
            </w:pPr>
            <w:r/>
            <w:r>
              <w:rPr>
                <w:rFonts w:ascii="宋体" w:hAnsi="宋体" w:eastAsia="宋体"/>
                <w:b w:val="0"/>
                <w:i w:val="0"/>
                <w:color w:val="1A1A1A"/>
                <w:sz w:val="19"/>
              </w:rPr>
              <w:t>模型输出的分类合法性、引文真实性、语境一致性、区间去重校验</w:t>
            </w:r>
          </w:p>
        </w:tc>
      </w:tr>
      <w:tr>
        <w:tc>
          <w:tcPr>
            <w:tcW w:type="dxa" w:w="1701"/>
          </w:tcPr>
          <w:p>
            <w:pPr>
              <w:spacing w:after="20" w:before="20" w:line="276" w:lineRule="auto"/>
            </w:pPr>
            <w:r/>
            <w:r>
              <w:rPr>
                <w:rFonts w:ascii="宋体" w:hAnsi="宋体" w:eastAsia="宋体"/>
                <w:b w:val="0"/>
                <w:i w:val="0"/>
                <w:color w:val="1A1A1A"/>
                <w:sz w:val="19"/>
              </w:rPr>
              <w:t>主体核查</w:t>
            </w:r>
          </w:p>
        </w:tc>
        <w:tc>
          <w:tcPr>
            <w:tcW w:type="dxa" w:w="2551"/>
          </w:tcPr>
          <w:p>
            <w:pPr>
              <w:spacing w:after="20" w:before="20" w:line="276" w:lineRule="auto"/>
            </w:pPr>
            <w:r/>
            <w:r>
              <w:rPr>
                <w:rFonts w:ascii="宋体" w:hAnsi="宋体" w:eastAsia="宋体"/>
                <w:b w:val="0"/>
                <w:i w:val="0"/>
                <w:color w:val="1A1A1A"/>
                <w:sz w:val="19"/>
              </w:rPr>
              <w:t>lib/rules/entity.ts</w:t>
            </w:r>
          </w:p>
        </w:tc>
        <w:tc>
          <w:tcPr>
            <w:tcW w:type="dxa" w:w="4252"/>
          </w:tcPr>
          <w:p>
            <w:pPr>
              <w:spacing w:after="20" w:before="20" w:line="276" w:lineRule="auto"/>
            </w:pPr>
            <w:r/>
            <w:r>
              <w:rPr>
                <w:rFonts w:ascii="宋体" w:hAnsi="宋体" w:eastAsia="宋体"/>
                <w:b w:val="0"/>
                <w:i w:val="0"/>
                <w:color w:val="1A1A1A"/>
                <w:sz w:val="19"/>
              </w:rPr>
              <w:t>机构名 / 资质编号 / 联系方式抽取，5 条本地可判疑点规则，生成官方核查入口链接</w:t>
            </w:r>
          </w:p>
        </w:tc>
      </w:tr>
      <w:tr>
        <w:tc>
          <w:tcPr>
            <w:tcW w:type="dxa" w:w="1701"/>
          </w:tcPr>
          <w:p>
            <w:pPr>
              <w:spacing w:after="20" w:before="20" w:line="276" w:lineRule="auto"/>
            </w:pPr>
            <w:r/>
            <w:r>
              <w:rPr>
                <w:rFonts w:ascii="宋体" w:hAnsi="宋体" w:eastAsia="宋体"/>
                <w:b w:val="0"/>
                <w:i w:val="0"/>
                <w:color w:val="1A1A1A"/>
                <w:sz w:val="19"/>
              </w:rPr>
              <w:t>输出审查层</w:t>
            </w:r>
          </w:p>
        </w:tc>
        <w:tc>
          <w:tcPr>
            <w:tcW w:type="dxa" w:w="2551"/>
          </w:tcPr>
          <w:p>
            <w:pPr>
              <w:spacing w:after="20" w:before="20" w:line="276" w:lineRule="auto"/>
            </w:pPr>
            <w:r/>
            <w:r>
              <w:rPr>
                <w:rFonts w:ascii="宋体" w:hAnsi="宋体" w:eastAsia="宋体"/>
                <w:b w:val="0"/>
                <w:i w:val="0"/>
                <w:color w:val="1A1A1A"/>
                <w:sz w:val="19"/>
              </w:rPr>
              <w:t>lib/rules/guard.ts</w:t>
            </w:r>
          </w:p>
        </w:tc>
        <w:tc>
          <w:tcPr>
            <w:tcW w:type="dxa" w:w="4252"/>
          </w:tcPr>
          <w:p>
            <w:pPr>
              <w:spacing w:after="20" w:before="20" w:line="276" w:lineRule="auto"/>
            </w:pPr>
            <w:r/>
            <w:r>
              <w:rPr>
                <w:rFonts w:ascii="宋体" w:hAnsi="宋体" w:eastAsia="宋体"/>
                <w:b w:val="0"/>
                <w:i w:val="0"/>
                <w:color w:val="1A1A1A"/>
                <w:sz w:val="19"/>
              </w:rPr>
              <w:t>六类越界表述硬拦截、标的代码脱敏、编造数字检测、超阈值回退模板</w:t>
            </w:r>
          </w:p>
        </w:tc>
      </w:tr>
      <w:tr>
        <w:tc>
          <w:tcPr>
            <w:tcW w:type="dxa" w:w="1701"/>
          </w:tcPr>
          <w:p>
            <w:pPr>
              <w:spacing w:after="20" w:before="20" w:line="276" w:lineRule="auto"/>
            </w:pPr>
            <w:r/>
            <w:r>
              <w:rPr>
                <w:rFonts w:ascii="宋体" w:hAnsi="宋体" w:eastAsia="宋体"/>
                <w:b w:val="0"/>
                <w:i w:val="0"/>
                <w:color w:val="1A1A1A"/>
                <w:sz w:val="19"/>
              </w:rPr>
              <w:t>输入脱敏</w:t>
            </w:r>
          </w:p>
        </w:tc>
        <w:tc>
          <w:tcPr>
            <w:tcW w:type="dxa" w:w="2551"/>
          </w:tcPr>
          <w:p>
            <w:pPr>
              <w:spacing w:after="20" w:before="20" w:line="276" w:lineRule="auto"/>
            </w:pPr>
            <w:r/>
            <w:r>
              <w:rPr>
                <w:rFonts w:ascii="宋体" w:hAnsi="宋体" w:eastAsia="宋体"/>
                <w:b w:val="0"/>
                <w:i w:val="0"/>
                <w:color w:val="1A1A1A"/>
                <w:sz w:val="19"/>
              </w:rPr>
              <w:t>lib/rules/redact.ts</w:t>
            </w:r>
          </w:p>
        </w:tc>
        <w:tc>
          <w:tcPr>
            <w:tcW w:type="dxa" w:w="4252"/>
          </w:tcPr>
          <w:p>
            <w:pPr>
              <w:spacing w:after="20" w:before="20" w:line="276" w:lineRule="auto"/>
            </w:pPr>
            <w:r/>
            <w:r>
              <w:rPr>
                <w:rFonts w:ascii="宋体" w:hAnsi="宋体" w:eastAsia="宋体"/>
                <w:b w:val="0"/>
                <w:i w:val="0"/>
                <w:color w:val="1A1A1A"/>
                <w:sz w:val="19"/>
              </w:rPr>
              <w:t>身份证 / 银行卡 / 手机号 / 邮箱在进入模型前抹除</w:t>
            </w:r>
          </w:p>
        </w:tc>
      </w:tr>
      <w:tr>
        <w:tc>
          <w:tcPr>
            <w:tcW w:type="dxa" w:w="1701"/>
          </w:tcPr>
          <w:p>
            <w:pPr>
              <w:spacing w:after="20" w:before="20" w:line="276" w:lineRule="auto"/>
            </w:pPr>
            <w:r/>
            <w:r>
              <w:rPr>
                <w:rFonts w:ascii="宋体" w:hAnsi="宋体" w:eastAsia="宋体"/>
                <w:b w:val="0"/>
                <w:i w:val="0"/>
                <w:color w:val="1A1A1A"/>
                <w:sz w:val="19"/>
              </w:rPr>
              <w:t>五维画像 / 剧本 / 追问</w:t>
            </w:r>
          </w:p>
        </w:tc>
        <w:tc>
          <w:tcPr>
            <w:tcW w:type="dxa" w:w="2551"/>
          </w:tcPr>
          <w:p>
            <w:pPr>
              <w:spacing w:after="20" w:before="20" w:line="276" w:lineRule="auto"/>
            </w:pPr>
            <w:r/>
            <w:r>
              <w:rPr>
                <w:rFonts w:ascii="宋体" w:hAnsi="宋体" w:eastAsia="宋体"/>
                <w:b w:val="0"/>
                <w:i w:val="0"/>
                <w:color w:val="1A1A1A"/>
                <w:sz w:val="19"/>
              </w:rPr>
              <w:t>lib/rules/radar.ts、playbook.ts、followup.ts</w:t>
            </w:r>
          </w:p>
        </w:tc>
        <w:tc>
          <w:tcPr>
            <w:tcW w:type="dxa" w:w="4252"/>
          </w:tcPr>
          <w:p>
            <w:pPr>
              <w:spacing w:after="20" w:before="20" w:line="276" w:lineRule="auto"/>
            </w:pPr>
            <w:r/>
            <w:r>
              <w:rPr>
                <w:rFonts w:ascii="宋体" w:hAnsi="宋体" w:eastAsia="宋体"/>
                <w:b w:val="0"/>
                <w:i w:val="0"/>
                <w:color w:val="1A1A1A"/>
                <w:sz w:val="19"/>
              </w:rPr>
              <w:t>风险维度收敛、骗局剧本匹配、信息缺口判断</w:t>
            </w:r>
          </w:p>
        </w:tc>
      </w:tr>
      <w:tr>
        <w:tc>
          <w:tcPr>
            <w:tcW w:type="dxa" w:w="1701"/>
          </w:tcPr>
          <w:p>
            <w:pPr>
              <w:spacing w:after="20" w:before="20" w:line="276" w:lineRule="auto"/>
            </w:pPr>
            <w:r/>
            <w:r>
              <w:rPr>
                <w:rFonts w:ascii="宋体" w:hAnsi="宋体" w:eastAsia="宋体"/>
                <w:b w:val="0"/>
                <w:i w:val="0"/>
                <w:color w:val="1A1A1A"/>
                <w:sz w:val="19"/>
              </w:rPr>
              <w:t>学习模块</w:t>
            </w:r>
          </w:p>
        </w:tc>
        <w:tc>
          <w:tcPr>
            <w:tcW w:type="dxa" w:w="2551"/>
          </w:tcPr>
          <w:p>
            <w:pPr>
              <w:spacing w:after="20" w:before="20" w:line="276" w:lineRule="auto"/>
            </w:pPr>
            <w:r/>
            <w:r>
              <w:rPr>
                <w:rFonts w:ascii="宋体" w:hAnsi="宋体" w:eastAsia="宋体"/>
                <w:b w:val="0"/>
                <w:i w:val="0"/>
                <w:color w:val="1A1A1A"/>
                <w:sz w:val="19"/>
              </w:rPr>
              <w:t>app/learn/</w:t>
            </w:r>
            <w:r>
              <w:rPr>
                <w:rFonts w:ascii="宋体" w:hAnsi="宋体" w:eastAsia="宋体"/>
                <w:b/>
                <w:i w:val="0"/>
                <w:color w:val="1A1A1A"/>
                <w:sz w:val="19"/>
              </w:rPr>
              <w:t>、components/translate/</w:t>
            </w:r>
          </w:p>
        </w:tc>
        <w:tc>
          <w:tcPr>
            <w:tcW w:type="dxa" w:w="4252"/>
          </w:tcPr>
          <w:p>
            <w:pPr>
              <w:spacing w:after="20" w:before="20" w:line="276" w:lineRule="auto"/>
            </w:pPr>
            <w:r/>
            <w:r>
              <w:rPr>
                <w:rFonts w:ascii="宋体" w:hAnsi="宋体" w:eastAsia="宋体"/>
                <w:b w:val="0"/>
                <w:i w:val="0"/>
                <w:color w:val="1A1A1A"/>
                <w:sz w:val="19"/>
              </w:rPr>
              <w:t>关卡与题库、识别测试、定向微课、术语词典、骗局图鉴</w:t>
            </w:r>
          </w:p>
        </w:tc>
      </w:tr>
      <w:tr>
        <w:tc>
          <w:tcPr>
            <w:tcW w:type="dxa" w:w="1701"/>
          </w:tcPr>
          <w:p>
            <w:pPr>
              <w:spacing w:after="20" w:before="20" w:line="276" w:lineRule="auto"/>
            </w:pPr>
            <w:r/>
            <w:r>
              <w:rPr>
                <w:rFonts w:ascii="宋体" w:hAnsi="宋体" w:eastAsia="宋体"/>
                <w:b w:val="0"/>
                <w:i w:val="0"/>
                <w:color w:val="1A1A1A"/>
                <w:sz w:val="19"/>
              </w:rPr>
              <w:t>规划师</w:t>
            </w:r>
          </w:p>
        </w:tc>
        <w:tc>
          <w:tcPr>
            <w:tcW w:type="dxa" w:w="2551"/>
          </w:tcPr>
          <w:p>
            <w:pPr>
              <w:spacing w:after="20" w:before="20" w:line="276" w:lineRule="auto"/>
            </w:pPr>
            <w:r/>
            <w:r>
              <w:rPr>
                <w:rFonts w:ascii="宋体" w:hAnsi="宋体" w:eastAsia="宋体"/>
                <w:b w:val="0"/>
                <w:i w:val="0"/>
                <w:color w:val="1A1A1A"/>
                <w:sz w:val="19"/>
              </w:rPr>
              <w:t>app/plan/</w:t>
            </w:r>
            <w:r>
              <w:rPr>
                <w:rFonts w:ascii="宋体" w:hAnsi="宋体" w:eastAsia="宋体"/>
                <w:b/>
                <w:i w:val="0"/>
                <w:color w:val="1A1A1A"/>
                <w:sz w:val="19"/>
              </w:rPr>
              <w:t>、lib/plan/</w:t>
            </w:r>
          </w:p>
        </w:tc>
        <w:tc>
          <w:tcPr>
            <w:tcW w:type="dxa" w:w="4252"/>
          </w:tcPr>
          <w:p>
            <w:pPr>
              <w:spacing w:after="20" w:before="20" w:line="276" w:lineRule="auto"/>
            </w:pPr>
            <w:r/>
            <w:r>
              <w:rPr>
                <w:rFonts w:ascii="宋体" w:hAnsi="宋体" w:eastAsia="宋体"/>
                <w:b w:val="0"/>
                <w:i w:val="0"/>
                <w:color w:val="1A1A1A"/>
                <w:sz w:val="19"/>
              </w:rPr>
              <w:t>自适应问卷、定级与矛盾发现、大类配置、目标推演、合规问答闸门</w:t>
            </w:r>
          </w:p>
        </w:tc>
      </w:tr>
      <w:tr>
        <w:tc>
          <w:tcPr>
            <w:tcW w:type="dxa" w:w="1701"/>
          </w:tcPr>
          <w:p>
            <w:pPr>
              <w:spacing w:after="20" w:before="20" w:line="276" w:lineRule="auto"/>
            </w:pPr>
            <w:r/>
            <w:r>
              <w:rPr>
                <w:rFonts w:ascii="宋体" w:hAnsi="宋体" w:eastAsia="宋体"/>
                <w:b w:val="0"/>
                <w:i w:val="0"/>
                <w:color w:val="1A1A1A"/>
                <w:sz w:val="19"/>
              </w:rPr>
              <w:t>财务计算</w:t>
            </w:r>
          </w:p>
        </w:tc>
        <w:tc>
          <w:tcPr>
            <w:tcW w:type="dxa" w:w="2551"/>
          </w:tcPr>
          <w:p>
            <w:pPr>
              <w:spacing w:after="20" w:before="20" w:line="276" w:lineRule="auto"/>
            </w:pPr>
            <w:r/>
            <w:r>
              <w:rPr>
                <w:rFonts w:ascii="宋体" w:hAnsi="宋体" w:eastAsia="宋体"/>
                <w:b w:val="0"/>
                <w:i w:val="0"/>
                <w:color w:val="1A1A1A"/>
                <w:sz w:val="19"/>
              </w:rPr>
              <w:t>lib/finance.ts</w:t>
            </w:r>
          </w:p>
        </w:tc>
        <w:tc>
          <w:tcPr>
            <w:tcW w:type="dxa" w:w="4252"/>
          </w:tcPr>
          <w:p>
            <w:pPr>
              <w:spacing w:after="20" w:before="20" w:line="276" w:lineRule="auto"/>
            </w:pPr>
            <w:r/>
            <w:r>
              <w:rPr>
                <w:rFonts w:ascii="宋体" w:hAnsi="宋体" w:eastAsia="宋体"/>
                <w:b w:val="0"/>
                <w:i w:val="0"/>
                <w:color w:val="1A1A1A"/>
                <w:sz w:val="19"/>
              </w:rPr>
              <w:t>分期真实年化 IRR 求解、应急备用金测算</w:t>
            </w:r>
          </w:p>
        </w:tc>
      </w:tr>
      <w:tr>
        <w:tc>
          <w:tcPr>
            <w:tcW w:type="dxa" w:w="1701"/>
          </w:tcPr>
          <w:p>
            <w:pPr>
              <w:spacing w:after="20" w:before="20" w:line="276" w:lineRule="auto"/>
            </w:pPr>
            <w:r/>
            <w:r>
              <w:rPr>
                <w:rFonts w:ascii="宋体" w:hAnsi="宋体" w:eastAsia="宋体"/>
                <w:b w:val="0"/>
                <w:i w:val="0"/>
                <w:color w:val="1A1A1A"/>
                <w:sz w:val="19"/>
              </w:rPr>
              <w:t>共享档案</w:t>
            </w:r>
          </w:p>
        </w:tc>
        <w:tc>
          <w:tcPr>
            <w:tcW w:type="dxa" w:w="2551"/>
          </w:tcPr>
          <w:p>
            <w:pPr>
              <w:spacing w:after="20" w:before="20" w:line="276" w:lineRule="auto"/>
            </w:pPr>
            <w:r/>
            <w:r>
              <w:rPr>
                <w:rFonts w:ascii="宋体" w:hAnsi="宋体" w:eastAsia="宋体"/>
                <w:b w:val="0"/>
                <w:i w:val="0"/>
                <w:color w:val="1A1A1A"/>
                <w:sz w:val="19"/>
              </w:rPr>
              <w:t>lib/profile.ts、app/profile/</w:t>
            </w:r>
          </w:p>
        </w:tc>
        <w:tc>
          <w:tcPr>
            <w:tcW w:type="dxa" w:w="4252"/>
          </w:tcPr>
          <w:p>
            <w:pPr>
              <w:spacing w:after="20" w:before="20" w:line="276" w:lineRule="auto"/>
            </w:pPr>
            <w:r/>
            <w:r>
              <w:rPr>
                <w:rFonts w:ascii="宋体" w:hAnsi="宋体" w:eastAsia="宋体"/>
                <w:b w:val="0"/>
                <w:i w:val="0"/>
                <w:color w:val="1A1A1A"/>
                <w:sz w:val="19"/>
              </w:rPr>
              <w:t>画像读写、联动依据生成、档案可视化</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9　系统功能模块拆解</w:t>
      </w:r>
    </w:p>
    <w:p>
      <w:pPr>
        <w:keepNext/>
        <w:spacing w:before="280" w:after="120" w:line="324" w:lineRule="auto"/>
        <w:jc w:val="left"/>
      </w:pPr>
      <w:r>
        <w:rPr>
          <w:rFonts w:ascii="黑体" w:hAnsi="黑体" w:eastAsia="黑体"/>
          <w:b/>
          <w:i w:val="0"/>
          <w:color w:val="000000"/>
          <w:sz w:val="27"/>
        </w:rPr>
        <w:t>6. 数据库与数据处理方案</w:t>
      </w:r>
    </w:p>
    <w:p>
      <w:pPr>
        <w:keepNext w:val="0"/>
        <w:spacing w:before="0" w:after="60" w:line="360" w:lineRule="auto"/>
        <w:ind w:firstLine="480"/>
        <w:jc w:val="both"/>
      </w:pPr>
      <w:r>
        <w:rPr>
          <w:rFonts w:ascii="宋体" w:hAnsi="宋体" w:eastAsia="宋体"/>
          <w:b/>
          <w:i w:val="0"/>
          <w:color w:val="1A1A1A"/>
          <w:sz w:val="24"/>
        </w:rPr>
        <w:t>本项目刻意不引入数据库。</w:t>
      </w:r>
      <w:r>
        <w:rPr>
          <w:rFonts w:ascii="宋体" w:hAnsi="宋体" w:eastAsia="宋体"/>
          <w:b w:val="0"/>
          <w:i w:val="0"/>
          <w:color w:val="1A1A1A"/>
          <w:sz w:val="24"/>
        </w:rPr>
        <w:t xml:space="preserve"> 全部结构化知识以 JSON 形式存放在代码仓库中，用户数据存放在用户自己的浏览器里。这是一个经过权衡的决定：</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可溯源</w:t>
      </w:r>
      <w:r>
        <w:rPr>
          <w:rFonts w:ascii="宋体" w:hAnsi="宋体" w:eastAsia="宋体"/>
          <w:b w:val="0"/>
          <w:i w:val="0"/>
          <w:color w:val="1A1A1A"/>
          <w:sz w:val="23"/>
        </w:rPr>
        <w:t>：法规条文、话术特征、骗局剧本都在版本控制里，任何一次改动都有 diff 可查，任何一条结论都能回溯到当时的数据版本。</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可离线</w:t>
      </w:r>
      <w:r>
        <w:rPr>
          <w:rFonts w:ascii="宋体" w:hAnsi="宋体" w:eastAsia="宋体"/>
          <w:b w:val="0"/>
          <w:i w:val="0"/>
          <w:color w:val="1A1A1A"/>
          <w:sz w:val="23"/>
        </w:rPr>
        <w:t>：知识库随代码分发，弱网或断网环境下核心功能不受影响。</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零运维</w:t>
      </w:r>
      <w:r>
        <w:rPr>
          <w:rFonts w:ascii="宋体" w:hAnsi="宋体" w:eastAsia="宋体"/>
          <w:b w:val="0"/>
          <w:i w:val="0"/>
          <w:color w:val="1A1A1A"/>
          <w:sz w:val="23"/>
        </w:rPr>
        <w:t>：没有数据库就没有备份、迁移、权限与泄露风险。</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隐私优先</w:t>
      </w:r>
      <w:r>
        <w:rPr>
          <w:rFonts w:ascii="宋体" w:hAnsi="宋体" w:eastAsia="宋体"/>
          <w:b w:val="0"/>
          <w:i w:val="0"/>
          <w:color w:val="1A1A1A"/>
          <w:sz w:val="23"/>
        </w:rPr>
        <w:t>：用户档案不上传，不存在集中式用户数据库可被拖库。</w:t>
      </w:r>
    </w:p>
    <w:tbl>
      <w:tblPr>
        <w:tblStyle w:val="TableGrid"/>
        <w:tblW w:type="auto" w:w="0"/>
        <w:jc w:val="center"/>
        <w:tblLayout w:type="fixed"/>
        <w:tblLook w:firstColumn="1" w:firstRow="1" w:lastColumn="0" w:lastRow="0" w:noHBand="0" w:noVBand="1" w:val="04A0"/>
      </w:tblPr>
      <w:tblGrid>
        <w:gridCol w:w="2126"/>
        <w:gridCol w:w="2126"/>
        <w:gridCol w:w="2126"/>
        <w:gridCol w:w="2126"/>
      </w:tblGrid>
      <w:tr>
        <w:tc>
          <w:tcPr>
            <w:tcW w:type="dxa" w:w="1843"/>
            <w:shd w:fill="F2F2F2"/>
          </w:tcPr>
          <w:p>
            <w:pPr>
              <w:spacing w:after="20" w:before="20" w:line="276" w:lineRule="auto"/>
              <w:jc w:val="center"/>
            </w:pPr>
            <w:r/>
            <w:r>
              <w:rPr>
                <w:rFonts w:ascii="黑体" w:hAnsi="黑体" w:eastAsia="黑体"/>
                <w:b/>
                <w:i w:val="0"/>
                <w:color w:val="000000"/>
                <w:sz w:val="19"/>
              </w:rPr>
              <w:t>数据文件</w:t>
            </w:r>
          </w:p>
        </w:tc>
        <w:tc>
          <w:tcPr>
            <w:tcW w:type="dxa" w:w="3118"/>
            <w:shd w:fill="F2F2F2"/>
          </w:tcPr>
          <w:p>
            <w:pPr>
              <w:spacing w:after="20" w:before="20" w:line="276" w:lineRule="auto"/>
              <w:jc w:val="center"/>
            </w:pPr>
            <w:r/>
            <w:r>
              <w:rPr>
                <w:rFonts w:ascii="黑体" w:hAnsi="黑体" w:eastAsia="黑体"/>
                <w:b/>
                <w:i w:val="0"/>
                <w:color w:val="000000"/>
                <w:sz w:val="19"/>
              </w:rPr>
              <w:t>内容</w:t>
            </w:r>
          </w:p>
        </w:tc>
        <w:tc>
          <w:tcPr>
            <w:tcW w:type="dxa" w:w="1843"/>
            <w:shd w:fill="F2F2F2"/>
          </w:tcPr>
          <w:p>
            <w:pPr>
              <w:spacing w:after="20" w:before="20" w:line="276" w:lineRule="auto"/>
              <w:jc w:val="center"/>
            </w:pPr>
            <w:r/>
            <w:r>
              <w:rPr>
                <w:rFonts w:ascii="黑体" w:hAnsi="黑体" w:eastAsia="黑体"/>
                <w:b/>
                <w:i w:val="0"/>
                <w:color w:val="000000"/>
                <w:sz w:val="19"/>
              </w:rPr>
              <w:t>规模</w:t>
            </w:r>
          </w:p>
        </w:tc>
        <w:tc>
          <w:tcPr>
            <w:tcW w:type="dxa" w:w="1701"/>
            <w:shd w:fill="F2F2F2"/>
          </w:tcPr>
          <w:p>
            <w:pPr>
              <w:spacing w:after="20" w:before="20" w:line="276" w:lineRule="auto"/>
              <w:jc w:val="center"/>
            </w:pPr>
            <w:r/>
            <w:r>
              <w:rPr>
                <w:rFonts w:ascii="黑体" w:hAnsi="黑体" w:eastAsia="黑体"/>
                <w:b/>
                <w:i w:val="0"/>
                <w:color w:val="000000"/>
                <w:sz w:val="19"/>
              </w:rPr>
              <w:t>核对状态</w:t>
            </w:r>
          </w:p>
        </w:tc>
      </w:tr>
      <w:tr>
        <w:tc>
          <w:tcPr>
            <w:tcW w:type="dxa" w:w="1843"/>
          </w:tcPr>
          <w:p>
            <w:pPr>
              <w:spacing w:after="20" w:before="20" w:line="276" w:lineRule="auto"/>
            </w:pPr>
            <w:r/>
            <w:r>
              <w:rPr>
                <w:rFonts w:ascii="宋体" w:hAnsi="宋体" w:eastAsia="宋体"/>
                <w:b w:val="0"/>
                <w:i w:val="0"/>
                <w:color w:val="1A1A1A"/>
                <w:sz w:val="19"/>
              </w:rPr>
              <w:t>violation-patterns.json</w:t>
            </w:r>
          </w:p>
        </w:tc>
        <w:tc>
          <w:tcPr>
            <w:tcW w:type="dxa" w:w="3118"/>
          </w:tcPr>
          <w:p>
            <w:pPr>
              <w:spacing w:after="20" w:before="20" w:line="276" w:lineRule="auto"/>
            </w:pPr>
            <w:r/>
            <w:r>
              <w:rPr>
                <w:rFonts w:ascii="宋体" w:hAnsi="宋体" w:eastAsia="宋体"/>
                <w:b w:val="0"/>
                <w:i w:val="0"/>
                <w:color w:val="1A1A1A"/>
                <w:sz w:val="19"/>
              </w:rPr>
              <w:t>违规话术特征库 + 否定 / 科普语境规则 + 合法术语白名单</w:t>
            </w:r>
          </w:p>
        </w:tc>
        <w:tc>
          <w:tcPr>
            <w:tcW w:type="dxa" w:w="1843"/>
          </w:tcPr>
          <w:p>
            <w:pPr>
              <w:spacing w:after="20" w:before="20" w:line="276" w:lineRule="auto"/>
            </w:pPr>
            <w:r/>
            <w:r>
              <w:rPr>
                <w:rFonts w:ascii="宋体" w:hAnsi="宋体" w:eastAsia="宋体"/>
                <w:b w:val="0"/>
                <w:i w:val="0"/>
                <w:color w:val="1A1A1A"/>
                <w:sz w:val="19"/>
              </w:rPr>
              <w:t>15 类 / 365 词 / 白名单 15 条</w:t>
            </w:r>
          </w:p>
        </w:tc>
        <w:tc>
          <w:tcPr>
            <w:tcW w:type="dxa" w:w="1701"/>
          </w:tcPr>
          <w:p>
            <w:pPr>
              <w:spacing w:after="20" w:before="20" w:line="276" w:lineRule="auto"/>
            </w:pPr>
            <w:r/>
            <w:r>
              <w:rPr>
                <w:rFonts w:ascii="宋体" w:hAnsi="宋体" w:eastAsia="宋体"/>
                <w:b w:val="0"/>
                <w:i w:val="0"/>
                <w:color w:val="1A1A1A"/>
                <w:sz w:val="19"/>
              </w:rPr>
              <w:t>回归测试覆盖</w:t>
            </w:r>
          </w:p>
        </w:tc>
      </w:tr>
      <w:tr>
        <w:tc>
          <w:tcPr>
            <w:tcW w:type="dxa" w:w="1843"/>
          </w:tcPr>
          <w:p>
            <w:pPr>
              <w:spacing w:after="20" w:before="20" w:line="276" w:lineRule="auto"/>
            </w:pPr>
            <w:r/>
            <w:r>
              <w:rPr>
                <w:rFonts w:ascii="宋体" w:hAnsi="宋体" w:eastAsia="宋体"/>
                <w:b w:val="0"/>
                <w:i w:val="0"/>
                <w:color w:val="1A1A1A"/>
                <w:sz w:val="19"/>
              </w:rPr>
              <w:t>regulations.json</w:t>
            </w:r>
          </w:p>
        </w:tc>
        <w:tc>
          <w:tcPr>
            <w:tcW w:type="dxa" w:w="3118"/>
          </w:tcPr>
          <w:p>
            <w:pPr>
              <w:spacing w:after="20" w:before="20" w:line="276" w:lineRule="auto"/>
            </w:pPr>
            <w:r/>
            <w:r>
              <w:rPr>
                <w:rFonts w:ascii="宋体" w:hAnsi="宋体" w:eastAsia="宋体"/>
                <w:b w:val="0"/>
                <w:i w:val="0"/>
                <w:color w:val="1A1A1A"/>
                <w:sz w:val="19"/>
              </w:rPr>
              <w:t>法规条文库（条号、要义、原文、来源链接）</w:t>
            </w:r>
          </w:p>
        </w:tc>
        <w:tc>
          <w:tcPr>
            <w:tcW w:type="dxa" w:w="1843"/>
          </w:tcPr>
          <w:p>
            <w:pPr>
              <w:spacing w:after="20" w:before="20" w:line="276" w:lineRule="auto"/>
            </w:pPr>
            <w:r/>
            <w:r>
              <w:rPr>
                <w:rFonts w:ascii="宋体" w:hAnsi="宋体" w:eastAsia="宋体"/>
                <w:b w:val="0"/>
                <w:i w:val="0"/>
                <w:color w:val="1A1A1A"/>
                <w:sz w:val="19"/>
              </w:rPr>
              <w:t>14 条</w:t>
            </w:r>
          </w:p>
        </w:tc>
        <w:tc>
          <w:tcPr>
            <w:tcW w:type="dxa" w:w="1701"/>
          </w:tcPr>
          <w:p>
            <w:pPr>
              <w:spacing w:after="20" w:before="20" w:line="276" w:lineRule="auto"/>
            </w:pPr>
            <w:r/>
            <w:r>
              <w:rPr>
                <w:rFonts w:ascii="宋体" w:hAnsi="宋体" w:eastAsia="宋体"/>
                <w:b/>
                <w:i w:val="0"/>
                <w:color w:val="1A1A1A"/>
                <w:sz w:val="19"/>
              </w:rPr>
              <w:t>全部逐字核对官方原文</w:t>
            </w:r>
          </w:p>
        </w:tc>
      </w:tr>
      <w:tr>
        <w:tc>
          <w:tcPr>
            <w:tcW w:type="dxa" w:w="1843"/>
          </w:tcPr>
          <w:p>
            <w:pPr>
              <w:spacing w:after="20" w:before="20" w:line="276" w:lineRule="auto"/>
            </w:pPr>
            <w:r/>
            <w:r>
              <w:rPr>
                <w:rFonts w:ascii="宋体" w:hAnsi="宋体" w:eastAsia="宋体"/>
                <w:b w:val="0"/>
                <w:i w:val="0"/>
                <w:color w:val="1A1A1A"/>
                <w:sz w:val="19"/>
              </w:rPr>
              <w:t>scam-cases.json</w:t>
            </w:r>
          </w:p>
        </w:tc>
        <w:tc>
          <w:tcPr>
            <w:tcW w:type="dxa" w:w="3118"/>
          </w:tcPr>
          <w:p>
            <w:pPr>
              <w:spacing w:after="20" w:before="20" w:line="276" w:lineRule="auto"/>
            </w:pPr>
            <w:r/>
            <w:r>
              <w:rPr>
                <w:rFonts w:ascii="宋体" w:hAnsi="宋体" w:eastAsia="宋体"/>
                <w:b w:val="0"/>
                <w:i w:val="0"/>
                <w:color w:val="1A1A1A"/>
                <w:sz w:val="19"/>
              </w:rPr>
              <w:t>骗局图鉴与推进剧本</w:t>
            </w:r>
          </w:p>
        </w:tc>
        <w:tc>
          <w:tcPr>
            <w:tcW w:type="dxa" w:w="1843"/>
          </w:tcPr>
          <w:p>
            <w:pPr>
              <w:spacing w:after="20" w:before="20" w:line="276" w:lineRule="auto"/>
            </w:pPr>
            <w:r/>
            <w:r>
              <w:rPr>
                <w:rFonts w:ascii="宋体" w:hAnsi="宋体" w:eastAsia="宋体"/>
                <w:b w:val="0"/>
                <w:i w:val="0"/>
                <w:color w:val="1A1A1A"/>
                <w:sz w:val="19"/>
              </w:rPr>
              <w:t>9 类 / 48 步</w:t>
            </w:r>
          </w:p>
        </w:tc>
        <w:tc>
          <w:tcPr>
            <w:tcW w:type="dxa" w:w="1701"/>
          </w:tcPr>
          <w:p>
            <w:pPr>
              <w:spacing w:after="20" w:before="20" w:line="276" w:lineRule="auto"/>
            </w:pPr>
            <w:r/>
            <w:r>
              <w:rPr>
                <w:rFonts w:ascii="宋体" w:hAnsi="宋体" w:eastAsia="宋体"/>
                <w:b w:val="0"/>
                <w:i w:val="0"/>
                <w:color w:val="1A1A1A"/>
                <w:sz w:val="19"/>
              </w:rPr>
              <w:t>案例引最高检、最高法、证监会官网</w:t>
            </w:r>
          </w:p>
        </w:tc>
      </w:tr>
      <w:tr>
        <w:tc>
          <w:tcPr>
            <w:tcW w:type="dxa" w:w="1843"/>
          </w:tcPr>
          <w:p>
            <w:pPr>
              <w:spacing w:after="20" w:before="20" w:line="276" w:lineRule="auto"/>
            </w:pPr>
            <w:r/>
            <w:r>
              <w:rPr>
                <w:rFonts w:ascii="宋体" w:hAnsi="宋体" w:eastAsia="宋体"/>
                <w:b w:val="0"/>
                <w:i w:val="0"/>
                <w:color w:val="1A1A1A"/>
                <w:sz w:val="19"/>
              </w:rPr>
              <w:t>glossary.json</w:t>
            </w:r>
          </w:p>
        </w:tc>
        <w:tc>
          <w:tcPr>
            <w:tcW w:type="dxa" w:w="3118"/>
          </w:tcPr>
          <w:p>
            <w:pPr>
              <w:spacing w:after="20" w:before="20" w:line="276" w:lineRule="auto"/>
            </w:pPr>
            <w:r/>
            <w:r>
              <w:rPr>
                <w:rFonts w:ascii="宋体" w:hAnsi="宋体" w:eastAsia="宋体"/>
                <w:b w:val="0"/>
                <w:i w:val="0"/>
                <w:color w:val="1A1A1A"/>
                <w:sz w:val="19"/>
              </w:rPr>
              <w:t>术语表与关键点规则</w:t>
            </w:r>
          </w:p>
        </w:tc>
        <w:tc>
          <w:tcPr>
            <w:tcW w:type="dxa" w:w="1843"/>
          </w:tcPr>
          <w:p>
            <w:pPr>
              <w:spacing w:after="20" w:before="20" w:line="276" w:lineRule="auto"/>
            </w:pPr>
            <w:r/>
            <w:r>
              <w:rPr>
                <w:rFonts w:ascii="宋体" w:hAnsi="宋体" w:eastAsia="宋体"/>
                <w:b w:val="0"/>
                <w:i w:val="0"/>
                <w:color w:val="1A1A1A"/>
                <w:sz w:val="19"/>
              </w:rPr>
              <w:t>24 条术语 / 7 条关键点</w:t>
            </w:r>
          </w:p>
        </w:tc>
        <w:tc>
          <w:tcPr>
            <w:tcW w:type="dxa" w:w="1701"/>
          </w:tcPr>
          <w:p>
            <w:pPr>
              <w:spacing w:after="20" w:before="20" w:line="276" w:lineRule="auto"/>
            </w:pPr>
            <w:r/>
            <w:r>
              <w:rPr>
                <w:rFonts w:ascii="宋体" w:hAnsi="宋体" w:eastAsia="宋体"/>
                <w:b w:val="0"/>
                <w:i w:val="0"/>
                <w:color w:val="1A1A1A"/>
                <w:sz w:val="19"/>
              </w:rPr>
              <w:t>已校对</w:t>
            </w:r>
          </w:p>
        </w:tc>
      </w:tr>
      <w:tr>
        <w:tc>
          <w:tcPr>
            <w:tcW w:type="dxa" w:w="1843"/>
          </w:tcPr>
          <w:p>
            <w:pPr>
              <w:spacing w:after="20" w:before="20" w:line="276" w:lineRule="auto"/>
            </w:pPr>
            <w:r/>
            <w:r>
              <w:rPr>
                <w:rFonts w:ascii="宋体" w:hAnsi="宋体" w:eastAsia="宋体"/>
                <w:b w:val="0"/>
                <w:i w:val="0"/>
                <w:color w:val="1A1A1A"/>
                <w:sz w:val="19"/>
              </w:rPr>
              <w:t>quiz.json</w:t>
            </w:r>
          </w:p>
        </w:tc>
        <w:tc>
          <w:tcPr>
            <w:tcW w:type="dxa" w:w="3118"/>
          </w:tcPr>
          <w:p>
            <w:pPr>
              <w:spacing w:after="20" w:before="20" w:line="276" w:lineRule="auto"/>
            </w:pPr>
            <w:r/>
            <w:r>
              <w:rPr>
                <w:rFonts w:ascii="宋体" w:hAnsi="宋体" w:eastAsia="宋体"/>
                <w:b w:val="0"/>
                <w:i w:val="0"/>
                <w:color w:val="1A1A1A"/>
                <w:sz w:val="19"/>
              </w:rPr>
              <w:t>知识闯关题库、识别测试、定向微课</w:t>
            </w:r>
          </w:p>
        </w:tc>
        <w:tc>
          <w:tcPr>
            <w:tcW w:type="dxa" w:w="1843"/>
          </w:tcPr>
          <w:p>
            <w:pPr>
              <w:spacing w:after="20" w:before="20" w:line="276" w:lineRule="auto"/>
            </w:pPr>
            <w:r/>
            <w:r>
              <w:rPr>
                <w:rFonts w:ascii="宋体" w:hAnsi="宋体" w:eastAsia="宋体"/>
                <w:b w:val="0"/>
                <w:i w:val="0"/>
                <w:color w:val="1A1A1A"/>
                <w:sz w:val="19"/>
              </w:rPr>
              <w:t>5 关 / 25 题 / 16 条微课</w:t>
            </w:r>
          </w:p>
        </w:tc>
        <w:tc>
          <w:tcPr>
            <w:tcW w:type="dxa" w:w="1701"/>
          </w:tcPr>
          <w:p>
            <w:pPr>
              <w:spacing w:after="20" w:before="20" w:line="276" w:lineRule="auto"/>
            </w:pPr>
            <w:r/>
            <w:r>
              <w:rPr>
                <w:rFonts w:ascii="宋体" w:hAnsi="宋体" w:eastAsia="宋体"/>
                <w:b w:val="0"/>
                <w:i w:val="0"/>
                <w:color w:val="1A1A1A"/>
                <w:sz w:val="19"/>
              </w:rPr>
              <w:t>611 项断言覆盖</w:t>
            </w:r>
          </w:p>
        </w:tc>
      </w:tr>
      <w:tr>
        <w:tc>
          <w:tcPr>
            <w:tcW w:type="dxa" w:w="1843"/>
          </w:tcPr>
          <w:p>
            <w:pPr>
              <w:spacing w:after="20" w:before="20" w:line="276" w:lineRule="auto"/>
            </w:pPr>
            <w:r/>
            <w:r>
              <w:rPr>
                <w:rFonts w:ascii="宋体" w:hAnsi="宋体" w:eastAsia="宋体"/>
                <w:b w:val="0"/>
                <w:i w:val="0"/>
                <w:color w:val="1A1A1A"/>
                <w:sz w:val="19"/>
              </w:rPr>
              <w:t>directions.json</w:t>
            </w:r>
          </w:p>
        </w:tc>
        <w:tc>
          <w:tcPr>
            <w:tcW w:type="dxa" w:w="3118"/>
          </w:tcPr>
          <w:p>
            <w:pPr>
              <w:spacing w:after="20" w:before="20" w:line="276" w:lineRule="auto"/>
            </w:pPr>
            <w:r/>
            <w:r>
              <w:rPr>
                <w:rFonts w:ascii="宋体" w:hAnsi="宋体" w:eastAsia="宋体"/>
                <w:b w:val="0"/>
                <w:i w:val="0"/>
                <w:color w:val="1A1A1A"/>
                <w:sz w:val="19"/>
              </w:rPr>
              <w:t>投资方向科普（只讲品类）</w:t>
            </w:r>
          </w:p>
        </w:tc>
        <w:tc>
          <w:tcPr>
            <w:tcW w:type="dxa" w:w="1843"/>
          </w:tcPr>
          <w:p>
            <w:pPr>
              <w:spacing w:after="20" w:before="20" w:line="276" w:lineRule="auto"/>
            </w:pPr>
            <w:r/>
            <w:r>
              <w:rPr>
                <w:rFonts w:ascii="宋体" w:hAnsi="宋体" w:eastAsia="宋体"/>
                <w:b w:val="0"/>
                <w:i w:val="0"/>
                <w:color w:val="1A1A1A"/>
                <w:sz w:val="19"/>
              </w:rPr>
              <w:t>9 类</w:t>
            </w:r>
          </w:p>
        </w:tc>
        <w:tc>
          <w:tcPr>
            <w:tcW w:type="dxa" w:w="1701"/>
          </w:tcPr>
          <w:p>
            <w:pPr>
              <w:spacing w:after="20" w:before="20" w:line="276" w:lineRule="auto"/>
            </w:pPr>
            <w:r/>
            <w:r>
              <w:rPr>
                <w:rFonts w:ascii="宋体" w:hAnsi="宋体" w:eastAsia="宋体"/>
                <w:b w:val="0"/>
                <w:i w:val="0"/>
                <w:color w:val="1A1A1A"/>
                <w:sz w:val="19"/>
              </w:rPr>
              <w:t>已校对</w:t>
            </w:r>
          </w:p>
        </w:tc>
      </w:tr>
      <w:tr>
        <w:tc>
          <w:tcPr>
            <w:tcW w:type="dxa" w:w="1843"/>
          </w:tcPr>
          <w:p>
            <w:pPr>
              <w:spacing w:after="20" w:before="20" w:line="276" w:lineRule="auto"/>
            </w:pPr>
            <w:r/>
            <w:r>
              <w:rPr>
                <w:rFonts w:ascii="宋体" w:hAnsi="宋体" w:eastAsia="宋体"/>
                <w:b w:val="0"/>
                <w:i w:val="0"/>
                <w:color w:val="1A1A1A"/>
                <w:sz w:val="19"/>
              </w:rPr>
              <w:t>traps.json</w:t>
            </w:r>
          </w:p>
        </w:tc>
        <w:tc>
          <w:tcPr>
            <w:tcW w:type="dxa" w:w="3118"/>
          </w:tcPr>
          <w:p>
            <w:pPr>
              <w:spacing w:after="20" w:before="20" w:line="276" w:lineRule="auto"/>
            </w:pPr>
            <w:r/>
            <w:r>
              <w:rPr>
                <w:rFonts w:ascii="宋体" w:hAnsi="宋体" w:eastAsia="宋体"/>
                <w:b w:val="0"/>
                <w:i w:val="0"/>
                <w:color w:val="1A1A1A"/>
                <w:sz w:val="19"/>
              </w:rPr>
              <w:t>按画像定向推送的陷阱提醒</w:t>
            </w:r>
          </w:p>
        </w:tc>
        <w:tc>
          <w:tcPr>
            <w:tcW w:type="dxa" w:w="1843"/>
          </w:tcPr>
          <w:p>
            <w:pPr>
              <w:spacing w:after="20" w:before="20" w:line="276" w:lineRule="auto"/>
            </w:pPr>
            <w:r/>
            <w:r>
              <w:rPr>
                <w:rFonts w:ascii="宋体" w:hAnsi="宋体" w:eastAsia="宋体"/>
                <w:b w:val="0"/>
                <w:i w:val="0"/>
                <w:color w:val="1A1A1A"/>
                <w:sz w:val="19"/>
              </w:rPr>
              <w:t>7 条</w:t>
            </w:r>
          </w:p>
        </w:tc>
        <w:tc>
          <w:tcPr>
            <w:tcW w:type="dxa" w:w="1701"/>
          </w:tcPr>
          <w:p>
            <w:pPr>
              <w:spacing w:after="20" w:before="20" w:line="276" w:lineRule="auto"/>
            </w:pPr>
            <w:r/>
            <w:r>
              <w:rPr>
                <w:rFonts w:ascii="宋体" w:hAnsi="宋体" w:eastAsia="宋体"/>
                <w:b w:val="0"/>
                <w:i w:val="0"/>
                <w:color w:val="1A1A1A"/>
                <w:sz w:val="19"/>
              </w:rPr>
              <w:t>已校对</w:t>
            </w:r>
          </w:p>
        </w:tc>
      </w:tr>
      <w:tr>
        <w:tc>
          <w:tcPr>
            <w:tcW w:type="dxa" w:w="1843"/>
          </w:tcPr>
          <w:p>
            <w:pPr>
              <w:spacing w:after="20" w:before="20" w:line="276" w:lineRule="auto"/>
            </w:pPr>
            <w:r/>
            <w:r>
              <w:rPr>
                <w:rFonts w:ascii="宋体" w:hAnsi="宋体" w:eastAsia="宋体"/>
                <w:b w:val="0"/>
                <w:i w:val="0"/>
                <w:color w:val="1A1A1A"/>
                <w:sz w:val="19"/>
              </w:rPr>
              <w:t>market-snapshot.json</w:t>
            </w:r>
          </w:p>
        </w:tc>
        <w:tc>
          <w:tcPr>
            <w:tcW w:type="dxa" w:w="3118"/>
          </w:tcPr>
          <w:p>
            <w:pPr>
              <w:spacing w:after="20" w:before="20" w:line="276" w:lineRule="auto"/>
            </w:pPr>
            <w:r/>
            <w:r>
              <w:rPr>
                <w:rFonts w:ascii="宋体" w:hAnsi="宋体" w:eastAsia="宋体"/>
                <w:b w:val="0"/>
                <w:i w:val="0"/>
                <w:color w:val="1A1A1A"/>
                <w:sz w:val="19"/>
              </w:rPr>
              <w:t>市场基准快照（含来源与数据日期）</w:t>
            </w:r>
          </w:p>
        </w:tc>
        <w:tc>
          <w:tcPr>
            <w:tcW w:type="dxa" w:w="1843"/>
          </w:tcPr>
          <w:p>
            <w:pPr>
              <w:spacing w:after="20" w:before="20" w:line="276" w:lineRule="auto"/>
            </w:pPr>
            <w:r/>
            <w:r>
              <w:rPr>
                <w:rFonts w:ascii="宋体" w:hAnsi="宋体" w:eastAsia="宋体"/>
                <w:b w:val="0"/>
                <w:i w:val="0"/>
                <w:color w:val="1A1A1A"/>
                <w:sz w:val="19"/>
              </w:rPr>
              <w:t>3 项</w:t>
            </w:r>
          </w:p>
        </w:tc>
        <w:tc>
          <w:tcPr>
            <w:tcW w:type="dxa" w:w="1701"/>
          </w:tcPr>
          <w:p>
            <w:pPr>
              <w:spacing w:after="20" w:before="20" w:line="276" w:lineRule="auto"/>
            </w:pPr>
            <w:r/>
            <w:r>
              <w:rPr>
                <w:rFonts w:ascii="宋体" w:hAnsi="宋体" w:eastAsia="宋体"/>
                <w:b w:val="0"/>
                <w:i w:val="0"/>
                <w:color w:val="1A1A1A"/>
                <w:sz w:val="19"/>
              </w:rPr>
              <w:t>1 项已填真值，2 项标注 TBD</w:t>
            </w:r>
          </w:p>
        </w:tc>
      </w:tr>
      <w:tr>
        <w:tc>
          <w:tcPr>
            <w:tcW w:type="dxa" w:w="1843"/>
          </w:tcPr>
          <w:p>
            <w:pPr>
              <w:spacing w:after="20" w:before="20" w:line="276" w:lineRule="auto"/>
            </w:pPr>
            <w:r/>
            <w:r>
              <w:rPr>
                <w:rFonts w:ascii="宋体" w:hAnsi="宋体" w:eastAsia="宋体"/>
                <w:b w:val="0"/>
                <w:i w:val="0"/>
                <w:color w:val="1A1A1A"/>
                <w:sz w:val="19"/>
              </w:rPr>
              <w:t>samples.json</w:t>
            </w:r>
          </w:p>
        </w:tc>
        <w:tc>
          <w:tcPr>
            <w:tcW w:type="dxa" w:w="3118"/>
          </w:tcPr>
          <w:p>
            <w:pPr>
              <w:spacing w:after="20" w:before="20" w:line="276" w:lineRule="auto"/>
            </w:pPr>
            <w:r/>
            <w:r>
              <w:rPr>
                <w:rFonts w:ascii="宋体" w:hAnsi="宋体" w:eastAsia="宋体"/>
                <w:b w:val="0"/>
                <w:i w:val="0"/>
                <w:color w:val="1A1A1A"/>
                <w:sz w:val="19"/>
              </w:rPr>
              <w:t>自制仿真演示样本</w:t>
            </w:r>
          </w:p>
        </w:tc>
        <w:tc>
          <w:tcPr>
            <w:tcW w:type="dxa" w:w="1843"/>
          </w:tcPr>
          <w:p>
            <w:pPr>
              <w:spacing w:after="20" w:before="20" w:line="276" w:lineRule="auto"/>
            </w:pPr>
            <w:r/>
            <w:r>
              <w:rPr>
                <w:rFonts w:ascii="宋体" w:hAnsi="宋体" w:eastAsia="宋体"/>
                <w:b w:val="0"/>
                <w:i w:val="0"/>
                <w:color w:val="1A1A1A"/>
                <w:sz w:val="19"/>
              </w:rPr>
              <w:t>4 个（3 红 1 绿对照）</w:t>
            </w:r>
          </w:p>
        </w:tc>
        <w:tc>
          <w:tcPr>
            <w:tcW w:type="dxa" w:w="1701"/>
          </w:tcPr>
          <w:p>
            <w:pPr>
              <w:spacing w:after="20" w:before="20" w:line="276" w:lineRule="auto"/>
            </w:pPr>
            <w:r/>
            <w:r>
              <w:rPr>
                <w:rFonts w:ascii="宋体" w:hAnsi="宋体" w:eastAsia="宋体"/>
                <w:b w:val="0"/>
                <w:i w:val="0"/>
                <w:color w:val="1A1A1A"/>
                <w:sz w:val="19"/>
              </w:rPr>
              <w:t>机构名全部虚构</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10　知识库构成与核对状态</w:t>
      </w:r>
    </w:p>
    <w:p>
      <w:pPr>
        <w:keepNext w:val="0"/>
        <w:spacing w:before="0" w:after="60" w:line="360" w:lineRule="auto"/>
        <w:ind w:firstLine="480"/>
        <w:jc w:val="both"/>
      </w:pPr>
      <w:r>
        <w:rPr>
          <w:rFonts w:ascii="宋体" w:hAnsi="宋体" w:eastAsia="宋体"/>
          <w:b/>
          <w:i w:val="0"/>
          <w:color w:val="1A1A1A"/>
          <w:sz w:val="24"/>
        </w:rPr>
        <w:t>数据处理纪律：宁可留空，不许编造。</w:t>
      </w:r>
      <w:r>
        <w:rPr>
          <w:rFonts w:ascii="宋体" w:hAnsi="宋体" w:eastAsia="宋体"/>
          <w:b w:val="0"/>
          <w:i w:val="0"/>
          <w:color w:val="1A1A1A"/>
          <w:sz w:val="24"/>
        </w:rPr>
        <w:t xml:space="preserve"> 市场基准快照中，10 年期国债收益率已填入真实值（1.68%，2026-09-07，来源中国债券信息网「财政部—中国国债收益率曲线」）；货币基金 7 日年化与沪深 300 市盈率两项因未能从官方来源读到可引用的数值，</w:t>
      </w:r>
      <w:r>
        <w:rPr>
          <w:rFonts w:ascii="宋体" w:hAnsi="宋体" w:eastAsia="宋体"/>
          <w:b/>
          <w:i w:val="0"/>
          <w:color w:val="1A1A1A"/>
          <w:sz w:val="24"/>
        </w:rPr>
        <w:t>保持为空并记录了具体原因</w:t>
      </w:r>
      <w:r>
        <w:rPr>
          <w:rFonts w:ascii="宋体" w:hAnsi="宋体" w:eastAsia="宋体"/>
          <w:b w:val="0"/>
          <w:i w:val="0"/>
          <w:color w:val="1A1A1A"/>
          <w:sz w:val="24"/>
        </w:rPr>
        <w:t>，此时前端自动改用定性表述（「远高于银行存款与货币基金的常见收益水平」），</w:t>
      </w:r>
      <w:r>
        <w:rPr>
          <w:rFonts w:ascii="宋体" w:hAnsi="宋体" w:eastAsia="宋体"/>
          <w:b/>
          <w:i w:val="0"/>
          <w:color w:val="1A1A1A"/>
          <w:sz w:val="24"/>
        </w:rPr>
        <w:t>不展示任何空值或估算数字</w:t>
      </w:r>
      <w:r>
        <w:rPr>
          <w:rFonts w:ascii="宋体" w:hAnsi="宋体" w:eastAsia="宋体"/>
          <w:b w:val="0"/>
          <w:i w:val="0"/>
          <w:color w:val="1A1A1A"/>
          <w:sz w:val="24"/>
        </w:rPr>
        <w:t>。</w:t>
      </w:r>
    </w:p>
    <w:p>
      <w:pPr>
        <w:keepNext/>
        <w:spacing w:before="280" w:after="120" w:line="324" w:lineRule="auto"/>
        <w:jc w:val="left"/>
      </w:pPr>
      <w:r>
        <w:rPr>
          <w:rFonts w:ascii="黑体" w:hAnsi="黑体" w:eastAsia="黑体"/>
          <w:b/>
          <w:i w:val="0"/>
          <w:color w:val="000000"/>
          <w:sz w:val="27"/>
        </w:rPr>
        <w:t>7. 前后端实现方案</w:t>
      </w:r>
    </w:p>
    <w:p>
      <w:pPr>
        <w:keepNext w:val="0"/>
        <w:spacing w:before="0" w:after="60" w:line="360" w:lineRule="auto"/>
        <w:ind w:firstLine="480"/>
        <w:jc w:val="both"/>
      </w:pPr>
      <w:r>
        <w:rPr>
          <w:rFonts w:ascii="宋体" w:hAnsi="宋体" w:eastAsia="宋体"/>
          <w:b/>
          <w:i w:val="0"/>
          <w:color w:val="1A1A1A"/>
          <w:sz w:val="24"/>
        </w:rPr>
        <w:t>前端</w:t>
      </w:r>
      <w:r>
        <w:rPr>
          <w:rFonts w:ascii="宋体" w:hAnsi="宋体" w:eastAsia="宋体"/>
          <w:b w:val="0"/>
          <w:i w:val="0"/>
          <w:color w:val="1A1A1A"/>
          <w:sz w:val="24"/>
        </w:rPr>
        <w:t>：React 19 客户端组件承接交互，全部图表为自绘的内联 SVG（环图、雷达图、仪表、路径图、指标块），</w:t>
      </w:r>
      <w:r>
        <w:rPr>
          <w:rFonts w:ascii="宋体" w:hAnsi="宋体" w:eastAsia="宋体"/>
          <w:b/>
          <w:i w:val="0"/>
          <w:color w:val="1A1A1A"/>
          <w:sz w:val="24"/>
        </w:rPr>
        <w:t>不引用任何外链资源</w:t>
      </w:r>
      <w:r>
        <w:rPr>
          <w:rFonts w:ascii="宋体" w:hAnsi="宋体" w:eastAsia="宋体"/>
          <w:b w:val="0"/>
          <w:i w:val="0"/>
          <w:color w:val="1A1A1A"/>
          <w:sz w:val="24"/>
        </w:rPr>
        <w:t>——图片、字体、CDN 全部禁止。这既是为了国内网络环境下的构建与加载稳定性，也是为了离线可用。分类色固定顺序不循环，且所有分类色使用处均配直接标签作二次编码，以保证色觉障碍用户与黑白打印下的可读性。</w:t>
      </w:r>
    </w:p>
    <w:p>
      <w:pPr>
        <w:keepNext w:val="0"/>
        <w:spacing w:before="0" w:after="60" w:line="360" w:lineRule="auto"/>
        <w:ind w:firstLine="480"/>
        <w:jc w:val="both"/>
      </w:pPr>
      <w:r>
        <w:rPr>
          <w:rFonts w:ascii="宋体" w:hAnsi="宋体" w:eastAsia="宋体"/>
          <w:b/>
          <w:i w:val="0"/>
          <w:color w:val="1A1A1A"/>
          <w:sz w:val="24"/>
        </w:rPr>
        <w:t>后端</w:t>
      </w:r>
      <w:r>
        <w:rPr>
          <w:rFonts w:ascii="宋体" w:hAnsi="宋体" w:eastAsia="宋体"/>
          <w:b w:val="0"/>
          <w:i w:val="0"/>
          <w:color w:val="1A1A1A"/>
          <w:sz w:val="24"/>
        </w:rPr>
        <w:t>：Next.js API Route，Node 运行时。识别链路以 SSE 推送阶段事件，前端按事件类型逐块渲染。每个阶段之间设有短暂的节奏停顿（约 90 毫秒），让用户看清每一步在做什么，而不是一瞬间全部刷出——这是刻意的体验设计，而非性能限制。</w:t>
      </w:r>
    </w:p>
    <w:p>
      <w:pPr>
        <w:keepNext w:val="0"/>
        <w:spacing w:before="0" w:after="60" w:line="360" w:lineRule="auto"/>
        <w:ind w:firstLine="480"/>
        <w:jc w:val="both"/>
      </w:pPr>
      <w:r>
        <w:rPr>
          <w:rFonts w:ascii="宋体" w:hAnsi="宋体" w:eastAsia="宋体"/>
          <w:b/>
          <w:i w:val="0"/>
          <w:color w:val="1A1A1A"/>
          <w:sz w:val="24"/>
        </w:rPr>
        <w:t>移动端优先</w:t>
      </w:r>
      <w:r>
        <w:rPr>
          <w:rFonts w:ascii="宋体" w:hAnsi="宋体" w:eastAsia="宋体"/>
          <w:b w:val="0"/>
          <w:i w:val="0"/>
          <w:color w:val="1A1A1A"/>
          <w:sz w:val="24"/>
        </w:rPr>
        <w:t>：全部页面按手机屏幕优先设计，宽内容（表格、图表、代码块）在自身容器内横向滚动，页面主体不出现横向滚动。答辩现场评委扫码即可用自己的手机上传截图。</w:t>
      </w:r>
    </w:p>
    <w:p>
      <w:pPr>
        <w:keepNext w:val="0"/>
        <w:spacing w:before="0" w:after="60" w:line="360" w:lineRule="auto"/>
        <w:ind w:firstLine="480"/>
        <w:jc w:val="both"/>
      </w:pPr>
      <w:r>
        <w:rPr>
          <w:rFonts w:ascii="宋体" w:hAnsi="宋体" w:eastAsia="宋体"/>
          <w:b/>
          <w:i w:val="0"/>
          <w:color w:val="1A1A1A"/>
          <w:sz w:val="24"/>
        </w:rPr>
        <w:t>适老化</w:t>
      </w:r>
      <w:r>
        <w:rPr>
          <w:rFonts w:ascii="宋体" w:hAnsi="宋体" w:eastAsia="宋体"/>
          <w:b w:val="0"/>
          <w:i w:val="0"/>
          <w:color w:val="1A1A1A"/>
          <w:sz w:val="24"/>
        </w:rPr>
        <w:t>：全站提供「放大字号」开关，通过在文档根元素上打标记的方式统一放大所有字号，无需为每个组件单独适配；档案年龄段为 60 岁以上时自动开启。</w:t>
      </w:r>
    </w:p>
    <w:p>
      <w:pPr>
        <w:keepNext/>
        <w:spacing w:before="280" w:after="120" w:line="324" w:lineRule="auto"/>
        <w:jc w:val="left"/>
      </w:pPr>
      <w:r>
        <w:rPr>
          <w:rFonts w:ascii="黑体" w:hAnsi="黑体" w:eastAsia="黑体"/>
          <w:b/>
          <w:i w:val="0"/>
          <w:color w:val="000000"/>
          <w:sz w:val="27"/>
        </w:rPr>
        <w:t>8. 安全性、稳定性、合规性设计</w:t>
      </w:r>
    </w:p>
    <w:p>
      <w:pPr>
        <w:keepNext w:val="0"/>
        <w:spacing w:before="160" w:after="40" w:line="240" w:lineRule="auto"/>
        <w:jc w:val="center"/>
      </w:pPr>
      <w:r>
        <w:drawing>
          <wp:inline xmlns:a="http://schemas.openxmlformats.org/drawingml/2006/main" xmlns:pic="http://schemas.openxmlformats.org/drawingml/2006/picture">
            <wp:extent cx="5400000" cy="2109375"/>
            <wp:docPr id="21" name="Picture 21"/>
            <wp:cNvGraphicFramePr>
              <a:graphicFrameLocks noChangeAspect="1"/>
            </wp:cNvGraphicFramePr>
            <a:graphic>
              <a:graphicData uri="http://schemas.openxmlformats.org/drawingml/2006/picture">
                <pic:pic>
                  <pic:nvPicPr>
                    <pic:cNvPr id="0" name="fig6-合规三区.png"/>
                    <pic:cNvPicPr/>
                  </pic:nvPicPr>
                  <pic:blipFill>
                    <a:blip r:embed="rId28"/>
                    <a:stretch>
                      <a:fillRect/>
                    </a:stretch>
                  </pic:blipFill>
                  <pic:spPr>
                    <a:xfrm>
                      <a:off x="0" y="0"/>
                      <a:ext cx="5400000" cy="2109375"/>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6　合规三区边界：全部功能落在放心区，或经改造后的谨慎区</w:t>
      </w:r>
    </w:p>
    <w:p>
      <w:pPr>
        <w:keepNext w:val="0"/>
        <w:spacing w:before="0" w:after="60" w:line="360" w:lineRule="auto"/>
        <w:ind w:firstLine="480"/>
        <w:jc w:val="both"/>
      </w:pPr>
      <w:r>
        <w:rPr>
          <w:rFonts w:ascii="宋体" w:hAnsi="宋体" w:eastAsia="宋体"/>
          <w:b/>
          <w:i w:val="0"/>
          <w:color w:val="1A1A1A"/>
          <w:sz w:val="24"/>
        </w:rPr>
        <w:t>（1）合规设计：三区边界贯彻到每个功能。</w:t>
      </w:r>
      <w:r>
        <w:rPr>
          <w:rFonts w:ascii="宋体" w:hAnsi="宋体" w:eastAsia="宋体"/>
          <w:b w:val="0"/>
          <w:i w:val="0"/>
          <w:color w:val="1A1A1A"/>
          <w:sz w:val="24"/>
        </w:rPr>
        <w:t xml:space="preserve"> 判断基准是——推荐具体标的等于证券投资咨询业务，须持牌；风险提示与投资者教育则是监管鼓励。我们的全部功能落在放心区，或经改造后的谨慎区。措辞纪律被贯彻到每一句文案：</w:t>
      </w:r>
    </w:p>
    <w:tbl>
      <w:tblPr>
        <w:tblStyle w:val="TableGrid"/>
        <w:tblW w:type="auto" w:w="0"/>
        <w:jc w:val="center"/>
        <w:tblLayout w:type="fixed"/>
        <w:tblLook w:firstColumn="1" w:firstRow="1" w:lastColumn="0" w:lastRow="0" w:noHBand="0" w:noVBand="1" w:val="04A0"/>
      </w:tblPr>
      <w:tblGrid>
        <w:gridCol w:w="4252"/>
        <w:gridCol w:w="4252"/>
      </w:tblGrid>
      <w:tr>
        <w:tc>
          <w:tcPr>
            <w:tcW w:type="dxa" w:w="3240"/>
            <w:shd w:fill="F2F2F2"/>
          </w:tcPr>
          <w:p>
            <w:pPr>
              <w:spacing w:after="20" w:before="20" w:line="276" w:lineRule="auto"/>
              <w:jc w:val="center"/>
            </w:pPr>
            <w:r/>
            <w:r>
              <w:rPr>
                <w:rFonts w:ascii="黑体" w:hAnsi="黑体" w:eastAsia="黑体"/>
                <w:b/>
                <w:i w:val="0"/>
                <w:color w:val="000000"/>
                <w:sz w:val="20"/>
              </w:rPr>
              <w:t>绝不说</w:t>
            </w:r>
          </w:p>
        </w:tc>
        <w:tc>
          <w:tcPr>
            <w:tcW w:type="dxa" w:w="5264"/>
            <w:shd w:fill="F2F2F2"/>
          </w:tcPr>
          <w:p>
            <w:pPr>
              <w:spacing w:after="20" w:before="20" w:line="276" w:lineRule="auto"/>
              <w:jc w:val="center"/>
            </w:pPr>
            <w:r/>
            <w:r>
              <w:rPr>
                <w:rFonts w:ascii="黑体" w:hAnsi="黑体" w:eastAsia="黑体"/>
                <w:b/>
                <w:i w:val="0"/>
                <w:color w:val="000000"/>
                <w:sz w:val="20"/>
              </w:rPr>
              <w:t>我们说</w:t>
            </w:r>
          </w:p>
        </w:tc>
      </w:tr>
      <w:tr>
        <w:tc>
          <w:tcPr>
            <w:tcW w:type="dxa" w:w="3240"/>
          </w:tcPr>
          <w:p>
            <w:pPr>
              <w:spacing w:after="20" w:before="20" w:line="276" w:lineRule="auto"/>
            </w:pPr>
            <w:r/>
            <w:r>
              <w:rPr>
                <w:rFonts w:ascii="宋体" w:hAnsi="宋体" w:eastAsia="宋体"/>
                <w:b w:val="0"/>
                <w:i w:val="0"/>
                <w:color w:val="1A1A1A"/>
                <w:sz w:val="20"/>
              </w:rPr>
              <w:t>「这是诈骗」</w:t>
            </w:r>
          </w:p>
        </w:tc>
        <w:tc>
          <w:tcPr>
            <w:tcW w:type="dxa" w:w="5264"/>
          </w:tcPr>
          <w:p>
            <w:pPr>
              <w:spacing w:after="20" w:before="20" w:line="276" w:lineRule="auto"/>
            </w:pPr>
            <w:r/>
            <w:r>
              <w:rPr>
                <w:rFonts w:ascii="宋体" w:hAnsi="宋体" w:eastAsia="宋体"/>
                <w:b w:val="0"/>
                <w:i w:val="0"/>
                <w:color w:val="1A1A1A"/>
                <w:sz w:val="20"/>
              </w:rPr>
              <w:t>「该内容命中 N 条监管明令禁止的表述特征」</w:t>
            </w:r>
          </w:p>
        </w:tc>
      </w:tr>
      <w:tr>
        <w:tc>
          <w:tcPr>
            <w:tcW w:type="dxa" w:w="3240"/>
          </w:tcPr>
          <w:p>
            <w:pPr>
              <w:spacing w:after="20" w:before="20" w:line="276" w:lineRule="auto"/>
            </w:pPr>
            <w:r/>
            <w:r>
              <w:rPr>
                <w:rFonts w:ascii="宋体" w:hAnsi="宋体" w:eastAsia="宋体"/>
                <w:b w:val="0"/>
                <w:i w:val="0"/>
                <w:color w:val="1A1A1A"/>
                <w:sz w:val="20"/>
              </w:rPr>
              <w:t>「这个产品安全」</w:t>
            </w:r>
          </w:p>
        </w:tc>
        <w:tc>
          <w:tcPr>
            <w:tcW w:type="dxa" w:w="5264"/>
          </w:tcPr>
          <w:p>
            <w:pPr>
              <w:spacing w:after="20" w:before="20" w:line="276" w:lineRule="auto"/>
            </w:pPr>
            <w:r/>
            <w:r>
              <w:rPr>
                <w:rFonts w:ascii="宋体" w:hAnsi="宋体" w:eastAsia="宋体"/>
                <w:b w:val="0"/>
                <w:i w:val="0"/>
                <w:color w:val="1A1A1A"/>
                <w:sz w:val="20"/>
              </w:rPr>
              <w:t>「未识别到违规表述特征。这不构成对该产品的安全性保证」</w:t>
            </w:r>
          </w:p>
        </w:tc>
      </w:tr>
      <w:tr>
        <w:tc>
          <w:tcPr>
            <w:tcW w:type="dxa" w:w="3240"/>
          </w:tcPr>
          <w:p>
            <w:pPr>
              <w:spacing w:after="20" w:before="20" w:line="276" w:lineRule="auto"/>
            </w:pPr>
            <w:r/>
            <w:r>
              <w:rPr>
                <w:rFonts w:ascii="宋体" w:hAnsi="宋体" w:eastAsia="宋体"/>
                <w:b w:val="0"/>
                <w:i w:val="0"/>
                <w:color w:val="1A1A1A"/>
                <w:sz w:val="20"/>
              </w:rPr>
              <w:t>「建议配置 20% 股票基金」</w:t>
            </w:r>
          </w:p>
        </w:tc>
        <w:tc>
          <w:tcPr>
            <w:tcW w:type="dxa" w:w="5264"/>
          </w:tcPr>
          <w:p>
            <w:pPr>
              <w:spacing w:after="20" w:before="20" w:line="276" w:lineRule="auto"/>
            </w:pPr>
            <w:r/>
            <w:r>
              <w:rPr>
                <w:rFonts w:ascii="宋体" w:hAnsi="宋体" w:eastAsia="宋体"/>
                <w:b w:val="0"/>
                <w:i w:val="0"/>
                <w:color w:val="1A1A1A"/>
                <w:sz w:val="20"/>
              </w:rPr>
              <w:t>「权益类参考比例 20%」（只讲品类，不指向任何具体产品）</w:t>
            </w:r>
          </w:p>
        </w:tc>
      </w:tr>
      <w:tr>
        <w:tc>
          <w:tcPr>
            <w:tcW w:type="dxa" w:w="3240"/>
          </w:tcPr>
          <w:p>
            <w:pPr>
              <w:spacing w:after="20" w:before="20" w:line="276" w:lineRule="auto"/>
            </w:pPr>
            <w:r/>
            <w:r>
              <w:rPr>
                <w:rFonts w:ascii="宋体" w:hAnsi="宋体" w:eastAsia="宋体"/>
                <w:b w:val="0"/>
                <w:i w:val="0"/>
                <w:color w:val="1A1A1A"/>
                <w:sz w:val="20"/>
              </w:rPr>
              <w:t>「现在是低点，可以买入」</w:t>
            </w:r>
          </w:p>
        </w:tc>
        <w:tc>
          <w:tcPr>
            <w:tcW w:type="dxa" w:w="5264"/>
          </w:tcPr>
          <w:p>
            <w:pPr>
              <w:spacing w:after="20" w:before="20" w:line="276" w:lineRule="auto"/>
            </w:pPr>
            <w:r/>
            <w:r>
              <w:rPr>
                <w:rFonts w:ascii="宋体" w:hAnsi="宋体" w:eastAsia="宋体"/>
                <w:b w:val="0"/>
                <w:i w:val="0"/>
                <w:color w:val="1A1A1A"/>
                <w:sz w:val="20"/>
              </w:rPr>
              <w:t>（不出现。产品中不含任何择时或买卖指令类表述）</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11　措辞纪律：把合规约束转化为可执行的文案规范</w:t>
      </w:r>
    </w:p>
    <w:p>
      <w:pPr>
        <w:keepNext w:val="0"/>
        <w:spacing w:before="0" w:after="60" w:line="360" w:lineRule="auto"/>
        <w:ind w:firstLine="480"/>
        <w:jc w:val="both"/>
      </w:pPr>
      <w:r>
        <w:rPr>
          <w:rFonts w:ascii="宋体" w:hAnsi="宋体" w:eastAsia="宋体"/>
          <w:b/>
          <w:i w:val="0"/>
          <w:color w:val="1A1A1A"/>
          <w:sz w:val="24"/>
        </w:rPr>
        <w:t>（2）三道防线保证模型不会说出不该说的话。</w:t>
      </w:r>
      <w:r>
        <w:rPr>
          <w:rFonts w:ascii="宋体" w:hAnsi="宋体" w:eastAsia="宋体"/>
          <w:b w:val="0"/>
          <w:i w:val="0"/>
          <w:color w:val="1A1A1A"/>
          <w:sz w:val="24"/>
        </w:rPr>
        <w:t xml:space="preserve"> 我们没有试图让模型变听话，而是设计成</w:t>
      </w:r>
      <w:r>
        <w:rPr>
          <w:rFonts w:ascii="宋体" w:hAnsi="宋体" w:eastAsia="宋体"/>
          <w:b/>
          <w:i w:val="0"/>
          <w:color w:val="1A1A1A"/>
          <w:sz w:val="24"/>
        </w:rPr>
        <w:t>模型说错了也不影响结论</w:t>
      </w:r>
      <w:r>
        <w:rPr>
          <w:rFonts w:ascii="宋体" w:hAnsi="宋体" w:eastAsia="宋体"/>
          <w:b w:val="0"/>
          <w:i w:val="0"/>
          <w:color w:val="1A1A1A"/>
          <w:sz w:val="24"/>
        </w:rPr>
        <w:t>——三道防线全部是确定性代码：</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防线一 · 提示词约束</w:t>
      </w:r>
      <w:r>
        <w:rPr>
          <w:rFonts w:ascii="宋体" w:hAnsi="宋体" w:eastAsia="宋体"/>
          <w:b w:val="0"/>
          <w:i w:val="0"/>
          <w:color w:val="1A1A1A"/>
          <w:sz w:val="23"/>
        </w:rPr>
        <w:t>：明确禁止引入原文之外的数字、统计、机构名与案例。</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防线二 · 输出审查层</w:t>
      </w:r>
      <w:r>
        <w:rPr>
          <w:rFonts w:ascii="宋体" w:hAnsi="宋体" w:eastAsia="宋体"/>
          <w:b w:val="0"/>
          <w:i w:val="0"/>
          <w:color w:val="1A1A1A"/>
          <w:sz w:val="23"/>
        </w:rPr>
        <w:t>：六类越界表述硬拦截（投资建议、涨跌预测、安全保证、诈骗定性、合规定性、可信度评价），并</w:t>
      </w:r>
      <w:r>
        <w:rPr>
          <w:rFonts w:ascii="宋体" w:hAnsi="宋体" w:eastAsia="宋体"/>
          <w:b/>
          <w:i w:val="0"/>
          <w:color w:val="1A1A1A"/>
          <w:sz w:val="23"/>
        </w:rPr>
        <w:t>检测编造的数字</w:t>
      </w:r>
      <w:r>
        <w:rPr>
          <w:rFonts w:ascii="宋体" w:hAnsi="宋体" w:eastAsia="宋体"/>
          <w:b w:val="0"/>
          <w:i w:val="0"/>
          <w:color w:val="1A1A1A"/>
          <w:sz w:val="23"/>
        </w:rPr>
        <w:t>——比对模型输出与原文中的数值，一旦出现原文没有的数字，整段丢弃模型输出、回退模板。</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防线三 · 兜底与降级</w:t>
      </w:r>
      <w:r>
        <w:rPr>
          <w:rFonts w:ascii="宋体" w:hAnsi="宋体" w:eastAsia="宋体"/>
          <w:b w:val="0"/>
          <w:i w:val="0"/>
          <w:color w:val="1A1A1A"/>
          <w:sz w:val="23"/>
        </w:rPr>
        <w:t>：模型转述 8 秒硬超时、语义通道 7 秒硬超时；</w:t>
      </w:r>
      <w:r>
        <w:rPr>
          <w:rFonts w:ascii="宋体" w:hAnsi="宋体" w:eastAsia="宋体"/>
          <w:b/>
          <w:i w:val="0"/>
          <w:color w:val="1A1A1A"/>
          <w:sz w:val="23"/>
        </w:rPr>
        <w:t>「暂未发现明显问题」这一档一律使用逐字审校过的模板措辞，不让模型开口</w:t>
      </w:r>
      <w:r>
        <w:rPr>
          <w:rFonts w:ascii="宋体" w:hAnsi="宋体" w:eastAsia="宋体"/>
          <w:b w:val="0"/>
          <w:i w:val="0"/>
          <w:color w:val="1A1A1A"/>
          <w:sz w:val="23"/>
        </w:rPr>
        <w:t>——因为这一档最容易被误读为「这个产品是安全的」。</w:t>
      </w:r>
    </w:p>
    <w:p>
      <w:pPr>
        <w:keepNext w:val="0"/>
        <w:spacing w:before="0" w:after="60" w:line="360" w:lineRule="auto"/>
        <w:ind w:firstLine="480"/>
        <w:jc w:val="both"/>
      </w:pPr>
      <w:r>
        <w:rPr>
          <w:rFonts w:ascii="宋体" w:hAnsi="宋体" w:eastAsia="宋体"/>
          <w:b/>
          <w:i w:val="0"/>
          <w:color w:val="1A1A1A"/>
          <w:sz w:val="24"/>
        </w:rPr>
        <w:t>（3）误判防护：我们认为误判比漏判更致命。</w:t>
      </w:r>
      <w:r>
        <w:rPr>
          <w:rFonts w:ascii="宋体" w:hAnsi="宋体" w:eastAsia="宋体"/>
          <w:b w:val="0"/>
          <w:i w:val="0"/>
          <w:color w:val="1A1A1A"/>
          <w:sz w:val="24"/>
        </w:rPr>
        <w:t xml:space="preserve"> 把正规产品判成骗局，比漏掉一个骗局更伤害用户——因为它摧毁的是产品本身的可信度。三层确定性防护：</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1331"/>
            <w:shd w:fill="F2F2F2"/>
          </w:tcPr>
          <w:p>
            <w:pPr>
              <w:spacing w:after="20" w:before="20" w:line="276" w:lineRule="auto"/>
              <w:jc w:val="center"/>
            </w:pPr>
            <w:r/>
            <w:r>
              <w:rPr>
                <w:rFonts w:ascii="黑体" w:hAnsi="黑体" w:eastAsia="黑体"/>
                <w:b/>
                <w:i w:val="0"/>
                <w:color w:val="000000"/>
                <w:sz w:val="19"/>
              </w:rPr>
              <w:t>层</w:t>
            </w:r>
          </w:p>
        </w:tc>
        <w:tc>
          <w:tcPr>
            <w:tcW w:type="dxa" w:w="3106"/>
            <w:shd w:fill="F2F2F2"/>
          </w:tcPr>
          <w:p>
            <w:pPr>
              <w:spacing w:after="20" w:before="20" w:line="276" w:lineRule="auto"/>
              <w:jc w:val="center"/>
            </w:pPr>
            <w:r/>
            <w:r>
              <w:rPr>
                <w:rFonts w:ascii="黑体" w:hAnsi="黑体" w:eastAsia="黑体"/>
                <w:b/>
                <w:i w:val="0"/>
                <w:color w:val="000000"/>
                <w:sz w:val="19"/>
              </w:rPr>
              <w:t>解决什么</w:t>
            </w:r>
          </w:p>
        </w:tc>
        <w:tc>
          <w:tcPr>
            <w:tcW w:type="dxa" w:w="4067"/>
            <w:shd w:fill="F2F2F2"/>
          </w:tcPr>
          <w:p>
            <w:pPr>
              <w:spacing w:after="20" w:before="20" w:line="276" w:lineRule="auto"/>
              <w:jc w:val="center"/>
            </w:pPr>
            <w:r/>
            <w:r>
              <w:rPr>
                <w:rFonts w:ascii="黑体" w:hAnsi="黑体" w:eastAsia="黑体"/>
                <w:b/>
                <w:i w:val="0"/>
                <w:color w:val="000000"/>
                <w:sz w:val="19"/>
              </w:rPr>
              <w:t>实现粒度</w:t>
            </w:r>
          </w:p>
        </w:tc>
      </w:tr>
      <w:tr>
        <w:tc>
          <w:tcPr>
            <w:tcW w:type="dxa" w:w="1331"/>
          </w:tcPr>
          <w:p>
            <w:pPr>
              <w:spacing w:after="20" w:before="20" w:line="276" w:lineRule="auto"/>
            </w:pPr>
            <w:r/>
            <w:r>
              <w:rPr>
                <w:rFonts w:ascii="宋体" w:hAnsi="宋体" w:eastAsia="宋体"/>
                <w:b w:val="0"/>
                <w:i w:val="0"/>
                <w:color w:val="1A1A1A"/>
                <w:sz w:val="19"/>
              </w:rPr>
              <w:t>否定语境</w:t>
            </w:r>
          </w:p>
        </w:tc>
        <w:tc>
          <w:tcPr>
            <w:tcW w:type="dxa" w:w="3106"/>
          </w:tcPr>
          <w:p>
            <w:pPr>
              <w:spacing w:after="20" w:before="20" w:line="276" w:lineRule="auto"/>
            </w:pPr>
            <w:r/>
            <w:r>
              <w:rPr>
                <w:rFonts w:ascii="宋体" w:hAnsi="宋体" w:eastAsia="宋体"/>
                <w:b w:val="0"/>
                <w:i w:val="0"/>
                <w:color w:val="1A1A1A"/>
                <w:sz w:val="19"/>
              </w:rPr>
              <w:t>「本产品</w:t>
            </w:r>
            <w:r>
              <w:rPr>
                <w:rFonts w:ascii="宋体" w:hAnsi="宋体" w:eastAsia="宋体"/>
                <w:b/>
                <w:i w:val="0"/>
                <w:color w:val="1A1A1A"/>
                <w:sz w:val="19"/>
              </w:rPr>
              <w:t>不</w:t>
            </w:r>
            <w:r>
              <w:rPr>
                <w:rFonts w:ascii="宋体" w:hAnsi="宋体" w:eastAsia="宋体"/>
                <w:b w:val="0"/>
                <w:i w:val="0"/>
                <w:color w:val="1A1A1A"/>
                <w:sz w:val="19"/>
              </w:rPr>
              <w:t>保本」不该判违规</w:t>
            </w:r>
          </w:p>
        </w:tc>
        <w:tc>
          <w:tcPr>
            <w:tcW w:type="dxa" w:w="4067"/>
          </w:tcPr>
          <w:p>
            <w:pPr>
              <w:spacing w:after="20" w:before="20" w:line="276" w:lineRule="auto"/>
            </w:pPr>
            <w:r/>
            <w:r>
              <w:rPr>
                <w:rFonts w:ascii="宋体" w:hAnsi="宋体" w:eastAsia="宋体"/>
                <w:b w:val="0"/>
                <w:i w:val="0"/>
                <w:color w:val="1A1A1A"/>
                <w:sz w:val="19"/>
              </w:rPr>
              <w:t>命中词前的</w:t>
            </w:r>
            <w:r>
              <w:rPr>
                <w:rFonts w:ascii="宋体" w:hAnsi="宋体" w:eastAsia="宋体"/>
                <w:b/>
                <w:i w:val="0"/>
                <w:color w:val="1A1A1A"/>
                <w:sz w:val="19"/>
              </w:rPr>
              <w:t>同分句</w:t>
            </w:r>
            <w:r>
              <w:rPr>
                <w:rFonts w:ascii="宋体" w:hAnsi="宋体" w:eastAsia="宋体"/>
                <w:b w:val="0"/>
                <w:i w:val="0"/>
                <w:color w:val="1A1A1A"/>
                <w:sz w:val="19"/>
              </w:rPr>
              <w:t>内检测否定词（不 / 非 / 无 / 未 / 勿 / 切勿 / 并不）</w:t>
            </w:r>
          </w:p>
        </w:tc>
      </w:tr>
      <w:tr>
        <w:tc>
          <w:tcPr>
            <w:tcW w:type="dxa" w:w="1331"/>
          </w:tcPr>
          <w:p>
            <w:pPr>
              <w:spacing w:after="20" w:before="20" w:line="276" w:lineRule="auto"/>
            </w:pPr>
            <w:r/>
            <w:r>
              <w:rPr>
                <w:rFonts w:ascii="宋体" w:hAnsi="宋体" w:eastAsia="宋体"/>
                <w:b w:val="0"/>
                <w:i w:val="0"/>
                <w:color w:val="1A1A1A"/>
                <w:sz w:val="19"/>
              </w:rPr>
              <w:t>科普语境</w:t>
            </w:r>
          </w:p>
        </w:tc>
        <w:tc>
          <w:tcPr>
            <w:tcW w:type="dxa" w:w="3106"/>
          </w:tcPr>
          <w:p>
            <w:pPr>
              <w:spacing w:after="20" w:before="20" w:line="276" w:lineRule="auto"/>
            </w:pPr>
            <w:r/>
            <w:r>
              <w:rPr>
                <w:rFonts w:ascii="宋体" w:hAnsi="宋体" w:eastAsia="宋体"/>
                <w:b w:val="0"/>
                <w:i w:val="0"/>
                <w:color w:val="1A1A1A"/>
                <w:sz w:val="19"/>
              </w:rPr>
              <w:t>「凡是承诺保本保息的</w:t>
            </w:r>
            <w:r>
              <w:rPr>
                <w:rFonts w:ascii="宋体" w:hAnsi="宋体" w:eastAsia="宋体"/>
                <w:b/>
                <w:i w:val="0"/>
                <w:color w:val="1A1A1A"/>
                <w:sz w:val="19"/>
              </w:rPr>
              <w:t>都是骗局</w:t>
            </w:r>
            <w:r>
              <w:rPr>
                <w:rFonts w:ascii="宋体" w:hAnsi="宋体" w:eastAsia="宋体"/>
                <w:b w:val="0"/>
                <w:i w:val="0"/>
                <w:color w:val="1A1A1A"/>
                <w:sz w:val="19"/>
              </w:rPr>
              <w:t>」不该判违规</w:t>
            </w:r>
          </w:p>
        </w:tc>
        <w:tc>
          <w:tcPr>
            <w:tcW w:type="dxa" w:w="4067"/>
          </w:tcPr>
          <w:p>
            <w:pPr>
              <w:spacing w:after="20" w:before="20" w:line="276" w:lineRule="auto"/>
            </w:pPr>
            <w:r/>
            <w:r>
              <w:rPr>
                <w:rFonts w:ascii="宋体" w:hAnsi="宋体" w:eastAsia="宋体"/>
                <w:b w:val="0"/>
                <w:i w:val="0"/>
                <w:color w:val="1A1A1A"/>
                <w:sz w:val="19"/>
              </w:rPr>
              <w:t>强线索在</w:t>
            </w:r>
            <w:r>
              <w:rPr>
                <w:rFonts w:ascii="宋体" w:hAnsi="宋体" w:eastAsia="宋体"/>
                <w:b/>
                <w:i w:val="0"/>
                <w:color w:val="1A1A1A"/>
                <w:sz w:val="19"/>
              </w:rPr>
              <w:t>整句</w:t>
            </w:r>
            <w:r>
              <w:rPr>
                <w:rFonts w:ascii="宋体" w:hAnsi="宋体" w:eastAsia="宋体"/>
                <w:b w:val="0"/>
                <w:i w:val="0"/>
                <w:color w:val="1A1A1A"/>
                <w:sz w:val="19"/>
              </w:rPr>
              <w:t>范围生效，弱线索限</w:t>
            </w:r>
            <w:r>
              <w:rPr>
                <w:rFonts w:ascii="宋体" w:hAnsi="宋体" w:eastAsia="宋体"/>
                <w:b/>
                <w:i w:val="0"/>
                <w:color w:val="1A1A1A"/>
                <w:sz w:val="19"/>
              </w:rPr>
              <w:t>分句</w:t>
            </w:r>
            <w:r>
              <w:rPr>
                <w:rFonts w:ascii="宋体" w:hAnsi="宋体" w:eastAsia="宋体"/>
                <w:b w:val="0"/>
                <w:i w:val="0"/>
                <w:color w:val="1A1A1A"/>
                <w:sz w:val="19"/>
              </w:rPr>
              <w:t>范围</w:t>
            </w:r>
          </w:p>
        </w:tc>
      </w:tr>
      <w:tr>
        <w:tc>
          <w:tcPr>
            <w:tcW w:type="dxa" w:w="1331"/>
          </w:tcPr>
          <w:p>
            <w:pPr>
              <w:spacing w:after="20" w:before="20" w:line="276" w:lineRule="auto"/>
            </w:pPr>
            <w:r/>
            <w:r>
              <w:rPr>
                <w:rFonts w:ascii="宋体" w:hAnsi="宋体" w:eastAsia="宋体"/>
                <w:b w:val="0"/>
                <w:i w:val="0"/>
                <w:color w:val="1A1A1A"/>
                <w:sz w:val="19"/>
              </w:rPr>
              <w:t>合法术语白名单</w:t>
            </w:r>
          </w:p>
        </w:tc>
        <w:tc>
          <w:tcPr>
            <w:tcW w:type="dxa" w:w="3106"/>
          </w:tcPr>
          <w:p>
            <w:pPr>
              <w:spacing w:after="20" w:before="20" w:line="276" w:lineRule="auto"/>
            </w:pPr>
            <w:r/>
            <w:r>
              <w:rPr>
                <w:rFonts w:ascii="宋体" w:hAnsi="宋体" w:eastAsia="宋体"/>
                <w:b w:val="0"/>
                <w:i w:val="0"/>
                <w:color w:val="1A1A1A"/>
                <w:sz w:val="19"/>
              </w:rPr>
              <w:t>「</w:t>
            </w:r>
            <w:r>
              <w:rPr>
                <w:rFonts w:ascii="宋体" w:hAnsi="宋体" w:eastAsia="宋体"/>
                <w:b/>
                <w:i w:val="0"/>
                <w:color w:val="1A1A1A"/>
                <w:sz w:val="19"/>
              </w:rPr>
              <w:t>固定收益类</w:t>
            </w:r>
            <w:r>
              <w:rPr>
                <w:rFonts w:ascii="宋体" w:hAnsi="宋体" w:eastAsia="宋体"/>
                <w:b w:val="0"/>
                <w:i w:val="0"/>
                <w:color w:val="1A1A1A"/>
                <w:sz w:val="19"/>
              </w:rPr>
              <w:t>理财产品」「</w:t>
            </w:r>
            <w:r>
              <w:rPr>
                <w:rFonts w:ascii="宋体" w:hAnsi="宋体" w:eastAsia="宋体"/>
                <w:b/>
                <w:i w:val="0"/>
                <w:color w:val="1A1A1A"/>
                <w:sz w:val="19"/>
              </w:rPr>
              <w:t>无风险利率</w:t>
            </w:r>
            <w:r>
              <w:rPr>
                <w:rFonts w:ascii="宋体" w:hAnsi="宋体" w:eastAsia="宋体"/>
                <w:b w:val="0"/>
                <w:i w:val="0"/>
                <w:color w:val="1A1A1A"/>
                <w:sz w:val="19"/>
              </w:rPr>
              <w:t>」是规范表述</w:t>
            </w:r>
          </w:p>
        </w:tc>
        <w:tc>
          <w:tcPr>
            <w:tcW w:type="dxa" w:w="4067"/>
          </w:tcPr>
          <w:p>
            <w:pPr>
              <w:spacing w:after="20" w:before="20" w:line="276" w:lineRule="auto"/>
            </w:pPr>
            <w:r/>
            <w:r>
              <w:rPr>
                <w:rFonts w:ascii="宋体" w:hAnsi="宋体" w:eastAsia="宋体"/>
                <w:b w:val="0"/>
                <w:i w:val="0"/>
                <w:color w:val="1A1A1A"/>
                <w:sz w:val="19"/>
              </w:rPr>
              <w:t>命中片段落在白名单术语内部则跳过（15 条）</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12　三层误判防护</w:t>
      </w:r>
    </w:p>
    <w:p>
      <w:pPr>
        <w:keepNext w:val="0"/>
        <w:spacing w:before="0" w:after="120" w:line="312" w:lineRule="auto"/>
        <w:ind w:left="482"/>
        <w:jc w:val="both"/>
      </w:pPr>
      <w:r>
        <w:rPr>
          <w:rFonts w:ascii="宋体" w:hAnsi="宋体" w:eastAsia="宋体"/>
          <w:b w:val="0"/>
          <w:i w:val="0"/>
          <w:color w:val="595959"/>
          <w:sz w:val="19"/>
        </w:rPr>
        <w:t>语境的粒度是被实测推翻两次后才定下来的：教育语境线索常出现在违规词的后半句，只看分句必然误判；而弱线索若放到整句范围，真实广告里一句「警惕错过」就能让整段违规话术蒙混过关。</w:t>
      </w:r>
    </w:p>
    <w:p>
      <w:pPr>
        <w:keepNext w:val="0"/>
        <w:spacing w:before="0" w:after="60" w:line="360" w:lineRule="auto"/>
        <w:ind w:firstLine="480"/>
        <w:jc w:val="both"/>
      </w:pPr>
      <w:r>
        <w:rPr>
          <w:rFonts w:ascii="宋体" w:hAnsi="宋体" w:eastAsia="宋体"/>
          <w:b/>
          <w:i w:val="0"/>
          <w:color w:val="1A1A1A"/>
          <w:sz w:val="24"/>
        </w:rPr>
        <w:t>（4）方法论层面的纪律：用正规产品做反向对照。</w:t>
      </w:r>
      <w:r>
        <w:rPr>
          <w:rFonts w:ascii="宋体" w:hAnsi="宋体" w:eastAsia="宋体"/>
          <w:b w:val="0"/>
          <w:i w:val="0"/>
          <w:color w:val="1A1A1A"/>
          <w:sz w:val="24"/>
        </w:rPr>
        <w:t xml:space="preserve"> 我们把一份四项要素齐备的正规产品材料纳入回归测试，每次改动规则库都必须验证它仍判为绿。这条纪律先后抓出四类误判：「固定收益类」被判违规、「无风险利率」被判违规、反诈科普句被判高风险、资金盘判级过低。</w:t>
      </w:r>
    </w:p>
    <w:p>
      <w:pPr>
        <w:keepNext w:val="0"/>
        <w:spacing w:before="0" w:after="60" w:line="360" w:lineRule="auto"/>
        <w:ind w:firstLine="480"/>
        <w:jc w:val="both"/>
      </w:pPr>
      <w:r>
        <w:rPr>
          <w:rFonts w:ascii="宋体" w:hAnsi="宋体" w:eastAsia="宋体"/>
          <w:b/>
          <w:i w:val="0"/>
          <w:color w:val="1A1A1A"/>
          <w:sz w:val="24"/>
        </w:rPr>
        <w:t>（5）数据与隐私。</w:t>
      </w:r>
      <w:r>
        <w:rPr>
          <w:rFonts w:ascii="宋体" w:hAnsi="宋体" w:eastAsia="宋体"/>
          <w:b w:val="0"/>
          <w:i w:val="0"/>
          <w:color w:val="1A1A1A"/>
          <w:sz w:val="24"/>
        </w:rPr>
        <w:t xml:space="preserve"> 用户上传的图片仅用于本次分析，处理后即释放，不落盘、不用于模型训练；身份证、银行卡、手机号、邮箱在进入模型前前置脱敏；用户档案存本地，不建集中式用户数据库。样本沉淀需用户主动授权，且沉淀的是</w:t>
      </w:r>
      <w:r>
        <w:rPr>
          <w:rFonts w:ascii="宋体" w:hAnsi="宋体" w:eastAsia="宋体"/>
          <w:b/>
          <w:i w:val="0"/>
          <w:color w:val="1A1A1A"/>
          <w:sz w:val="24"/>
        </w:rPr>
        <w:t>脱敏后的话术特征文本</w:t>
      </w:r>
      <w:r>
        <w:rPr>
          <w:rFonts w:ascii="宋体" w:hAnsi="宋体" w:eastAsia="宋体"/>
          <w:b w:val="0"/>
          <w:i w:val="0"/>
          <w:color w:val="1A1A1A"/>
          <w:sz w:val="24"/>
        </w:rPr>
        <w:t>（机构名、联系方式、金额、人名一律替换为占位符），不保存原始图片。</w:t>
      </w:r>
      <w:r>
        <w:rPr>
          <w:rFonts w:ascii="宋体" w:hAnsi="宋体" w:eastAsia="宋体"/>
          <w:b/>
          <w:i w:val="0"/>
          <w:color w:val="1A1A1A"/>
          <w:sz w:val="24"/>
        </w:rPr>
        <w:t>数据飞轮转的是话术特征，不是用户数据。</w:t>
      </w:r>
    </w:p>
    <w:p>
      <w:pPr>
        <w:keepNext w:val="0"/>
        <w:spacing w:before="0" w:after="60" w:line="360" w:lineRule="auto"/>
        <w:ind w:firstLine="480"/>
        <w:jc w:val="both"/>
      </w:pPr>
      <w:r>
        <w:rPr>
          <w:rFonts w:ascii="宋体" w:hAnsi="宋体" w:eastAsia="宋体"/>
          <w:b/>
          <w:i w:val="0"/>
          <w:color w:val="1A1A1A"/>
          <w:sz w:val="24"/>
        </w:rPr>
        <w:t>（6）稳定性。</w:t>
      </w:r>
      <w:r>
        <w:rPr>
          <w:rFonts w:ascii="宋体" w:hAnsi="宋体" w:eastAsia="宋体"/>
          <w:b w:val="0"/>
          <w:i w:val="0"/>
          <w:color w:val="1A1A1A"/>
          <w:sz w:val="24"/>
        </w:rPr>
        <w:t xml:space="preserve"> 无 Key 时自动回落 mock；模型超时自动降级；市场数据采用带日期标注的手工快照而非实时调用；术语词典、关键点、计算器、规划师全流程、学习模块完全不依赖模型。</w:t>
      </w:r>
      <w:r>
        <w:rPr>
          <w:rFonts w:ascii="宋体" w:hAnsi="宋体" w:eastAsia="宋体"/>
          <w:b/>
          <w:i w:val="0"/>
          <w:color w:val="1A1A1A"/>
          <w:sz w:val="24"/>
        </w:rPr>
        <w:t>答辩现场网络不可控，因此产品的每一个关键路径都设计了不依赖网络的降级形态。</w:t>
      </w:r>
    </w:p>
    <w:p>
      <w:pPr>
        <w:keepNext/>
        <w:spacing w:before="280" w:after="120" w:line="324" w:lineRule="auto"/>
        <w:jc w:val="left"/>
      </w:pPr>
      <w:r>
        <w:rPr>
          <w:rFonts w:ascii="黑体" w:hAnsi="黑体" w:eastAsia="黑体"/>
          <w:b/>
          <w:i w:val="0"/>
          <w:color w:val="000000"/>
          <w:sz w:val="27"/>
        </w:rPr>
        <w:t>9. 技术难点与解决方案</w:t>
      </w:r>
    </w:p>
    <w:p>
      <w:pPr>
        <w:keepNext w:val="0"/>
        <w:spacing w:before="0" w:after="60" w:line="360" w:lineRule="auto"/>
        <w:ind w:firstLine="480"/>
        <w:jc w:val="both"/>
      </w:pPr>
      <w:r>
        <w:rPr>
          <w:rFonts w:ascii="宋体" w:hAnsi="宋体" w:eastAsia="宋体"/>
          <w:b w:val="0"/>
          <w:i w:val="0"/>
          <w:color w:val="1A1A1A"/>
          <w:sz w:val="24"/>
        </w:rPr>
        <w:t>以下五个难点都是在开发过程中真实发生、并被记录下来的问题，其解决过程本身构成本项目的技术论证材料。</w:t>
      </w:r>
    </w:p>
    <w:p>
      <w:pPr>
        <w:keepNext w:val="0"/>
        <w:spacing w:before="0" w:after="60" w:line="360" w:lineRule="auto"/>
        <w:ind w:firstLine="480"/>
        <w:jc w:val="both"/>
      </w:pPr>
      <w:r>
        <w:rPr>
          <w:rFonts w:ascii="宋体" w:hAnsi="宋体" w:eastAsia="宋体"/>
          <w:b/>
          <w:i w:val="0"/>
          <w:color w:val="1A1A1A"/>
          <w:sz w:val="24"/>
        </w:rPr>
        <w:t>难点一：关键词库永远穷举不完。</w:t>
      </w:r>
      <w:r>
        <w:rPr>
          <w:rFonts w:ascii="宋体" w:hAnsi="宋体" w:eastAsia="宋体"/>
          <w:b w:val="0"/>
          <w:i w:val="0"/>
          <w:color w:val="1A1A1A"/>
          <w:sz w:val="24"/>
        </w:rPr>
        <w:t xml:space="preserve"> 内部测试输入「把钱全给我，我一定帮你炒股赚大钱」，系统判为绿灯——这句话同时踩了代客理财与收益承诺两条硬红线。根因是特征库照着「正规广告文案」建立，而真实骗局说的是大白话。</w:t>
      </w:r>
      <w:r>
        <w:rPr>
          <w:rFonts w:ascii="宋体" w:hAnsi="宋体" w:eastAsia="宋体"/>
          <w:b/>
          <w:i w:val="0"/>
          <w:color w:val="1A1A1A"/>
          <w:sz w:val="24"/>
        </w:rPr>
        <w:t>解决：补齐口语化表达（关键词从 250 增至 365），并新增模型语义通道作为高召回补充，配三条硬约束保证可验证性。</w:t>
      </w:r>
    </w:p>
    <w:p>
      <w:pPr>
        <w:keepNext w:val="0"/>
        <w:spacing w:before="0" w:after="60" w:line="360" w:lineRule="auto"/>
        <w:ind w:firstLine="480"/>
        <w:jc w:val="both"/>
      </w:pPr>
      <w:r>
        <w:rPr>
          <w:rFonts w:ascii="宋体" w:hAnsi="宋体" w:eastAsia="宋体"/>
          <w:b/>
          <w:i w:val="0"/>
          <w:color w:val="1A1A1A"/>
          <w:sz w:val="24"/>
        </w:rPr>
        <w:t>难点二：语义通道的输出不稳定。</w:t>
      </w:r>
      <w:r>
        <w:rPr>
          <w:rFonts w:ascii="宋体" w:hAnsi="宋体" w:eastAsia="宋体"/>
          <w:b w:val="0"/>
          <w:i w:val="0"/>
          <w:color w:val="1A1A1A"/>
          <w:sz w:val="24"/>
        </w:rPr>
        <w:t xml:space="preserve"> 同一输入连跑三次，第三次多出一条「混淆存款与理财」，引文是「保本保息」——这是模型错标。把分类任务的 temperature 降到 0 并没有完全解决。真正的修法来自看清这类误判的结构：</w:t>
      </w:r>
      <w:r>
        <w:rPr>
          <w:rFonts w:ascii="宋体" w:hAnsi="宋体" w:eastAsia="宋体"/>
          <w:b/>
          <w:i w:val="0"/>
          <w:color w:val="1A1A1A"/>
          <w:sz w:val="24"/>
        </w:rPr>
        <w:t>该片段规则通道已经以「保本承诺」正确解释过了。</w:t>
      </w:r>
      <w:r>
        <w:rPr>
          <w:rFonts w:ascii="宋体" w:hAnsi="宋体" w:eastAsia="宋体"/>
          <w:b w:val="0"/>
          <w:i w:val="0"/>
          <w:color w:val="1A1A1A"/>
          <w:sz w:val="24"/>
        </w:rPr>
        <w:t xml:space="preserve"> 于是确立两条通道的分工——规则是高精度通道，它已经解释过的文本片段，语义通道不再插话。实现为「引文与任何规则命中区间重叠即丢弃」。修复后同一输入连跑 5 次结果完全一致，而口语化召回一条没丢。</w:t>
      </w:r>
    </w:p>
    <w:p>
      <w:pPr>
        <w:keepNext w:val="0"/>
        <w:spacing w:before="0" w:after="60" w:line="360" w:lineRule="auto"/>
        <w:ind w:firstLine="480"/>
        <w:jc w:val="both"/>
      </w:pPr>
      <w:r>
        <w:rPr>
          <w:rFonts w:ascii="宋体" w:hAnsi="宋体" w:eastAsia="宋体"/>
          <w:b/>
          <w:i w:val="0"/>
          <w:color w:val="1A1A1A"/>
          <w:sz w:val="24"/>
        </w:rPr>
        <w:t>难点三：模型会自行补出未经核实的市场数据。</w:t>
      </w:r>
      <w:r>
        <w:rPr>
          <w:rFonts w:ascii="宋体" w:hAnsi="宋体" w:eastAsia="宋体"/>
          <w:b w:val="0"/>
          <w:i w:val="0"/>
          <w:color w:val="1A1A1A"/>
          <w:sz w:val="24"/>
        </w:rPr>
        <w:t xml:space="preserve"> qwen-plus 在总结里写了「银行大额存单才 2% 左右」——这个数字原文没有、我们的判定里也没有。它可能是对的，但我们无法核实，一旦被追问就是硬伤。</w:t>
      </w:r>
      <w:r>
        <w:rPr>
          <w:rFonts w:ascii="宋体" w:hAnsi="宋体" w:eastAsia="宋体"/>
          <w:b/>
          <w:i w:val="0"/>
          <w:color w:val="1A1A1A"/>
          <w:sz w:val="24"/>
        </w:rPr>
        <w:t>解决：新增编造数字检测，比对模型输出与原文中的数字，一旦出现原文没有的数值，整段丢弃、回退模板总结。</w:t>
      </w:r>
      <w:r>
        <w:rPr>
          <w:rFonts w:ascii="宋体" w:hAnsi="宋体" w:eastAsia="宋体"/>
          <w:b w:val="0"/>
          <w:i w:val="0"/>
          <w:color w:val="1A1A1A"/>
          <w:sz w:val="24"/>
        </w:rPr>
        <w:t xml:space="preserve"> 这是「不可核实的内容一律不展示」原则的代码实现。</w:t>
      </w:r>
    </w:p>
    <w:p>
      <w:pPr>
        <w:keepNext w:val="0"/>
        <w:spacing w:before="0" w:after="60" w:line="360" w:lineRule="auto"/>
        <w:ind w:firstLine="480"/>
        <w:jc w:val="both"/>
      </w:pPr>
      <w:r>
        <w:rPr>
          <w:rFonts w:ascii="宋体" w:hAnsi="宋体" w:eastAsia="宋体"/>
          <w:b/>
          <w:i w:val="0"/>
          <w:color w:val="1A1A1A"/>
          <w:sz w:val="24"/>
        </w:rPr>
        <w:t>难点四：模型在「暂未发现问题」这一档会越界做合规定性。</w:t>
      </w:r>
      <w:r>
        <w:rPr>
          <w:rFonts w:ascii="宋体" w:hAnsi="宋体" w:eastAsia="宋体"/>
          <w:b w:val="0"/>
          <w:i w:val="0"/>
          <w:color w:val="1A1A1A"/>
          <w:sz w:val="24"/>
        </w:rPr>
        <w:t xml:space="preserve"> 实测输出过「所以从现在看，它没有违反金融监管规定」「符合正规理财产品的基本要求」——我们无权作这个判断。</w:t>
      </w:r>
      <w:r>
        <w:rPr>
          <w:rFonts w:ascii="宋体" w:hAnsi="宋体" w:eastAsia="宋体"/>
          <w:b/>
          <w:i w:val="0"/>
          <w:color w:val="1A1A1A"/>
          <w:sz w:val="24"/>
        </w:rPr>
        <w:t>解决：输出审查层新增合规定性类拦截；同时该档一律不启用模型转述，只用逐字审校过的模板措辞（含「未命中违规特征不等于这个产品是安全的」）。</w:t>
      </w:r>
    </w:p>
    <w:p>
      <w:pPr>
        <w:keepNext w:val="0"/>
        <w:spacing w:before="0" w:after="60" w:line="360" w:lineRule="auto"/>
        <w:ind w:firstLine="480"/>
        <w:jc w:val="both"/>
      </w:pPr>
      <w:r>
        <w:rPr>
          <w:rFonts w:ascii="宋体" w:hAnsi="宋体" w:eastAsia="宋体"/>
          <w:b/>
          <w:i w:val="0"/>
          <w:color w:val="1A1A1A"/>
          <w:sz w:val="24"/>
        </w:rPr>
        <w:t>难点五：法条引用的版本陷阱。</w:t>
      </w:r>
      <w:r>
        <w:rPr>
          <w:rFonts w:ascii="宋体" w:hAnsi="宋体" w:eastAsia="宋体"/>
          <w:b w:val="0"/>
          <w:i w:val="0"/>
          <w:color w:val="1A1A1A"/>
          <w:sz w:val="24"/>
        </w:rPr>
        <w:t xml:space="preserve"> 逐条核对法规时，我们查出并改正了三处错误，其中最严重的一处是：</w:t>
      </w:r>
      <w:r>
        <w:rPr>
          <w:rFonts w:ascii="宋体" w:hAnsi="宋体" w:eastAsia="宋体"/>
          <w:b/>
          <w:i w:val="0"/>
          <w:color w:val="1A1A1A"/>
          <w:sz w:val="24"/>
        </w:rPr>
        <w:t>《刑法》第一百七十六条，我们原先引用的是刑法修正案（十一）之前的废止文本。</w:t>
      </w:r>
      <w:r>
        <w:rPr>
          <w:rFonts w:ascii="宋体" w:hAnsi="宋体" w:eastAsia="宋体"/>
          <w:b w:val="0"/>
          <w:i w:val="0"/>
          <w:color w:val="1A1A1A"/>
          <w:sz w:val="24"/>
        </w:rPr>
        <w:t xml:space="preserve"> 最高人民法院公报网站上挂载的《刑法》全文是 1997 年修订版，主流搜索引擎返回的同样是旧文本——旧文本写「并处或者单处二万元以上二十万元以下罚金」，而修正案（十一）删除了具体罚金数额、新增了「数额特别巨大」第三档。同理第二百二十四条之一在 1997 年文本中根本不存在，系修正案（七）增设。另外两处是：把《证券法》第一百六十一条的内容标成了第一百六十条（现已拆为两条，「无证荐股」引第一百六十条的核准要求、「代客理财」引第一百六十一条的代客禁止，法条依据比原来更精准）；以及两处要义概述与条文原文不符。</w:t>
      </w:r>
    </w:p>
    <w:p>
      <w:pPr>
        <w:keepNext w:val="0"/>
        <w:spacing w:before="80" w:after="120" w:line="336" w:lineRule="auto"/>
        <w:ind w:left="482" w:right="283"/>
        <w:jc w:val="both"/>
      </w:pPr>
      <w:r>
        <w:rPr>
          <w:rFonts w:ascii="楷体" w:hAnsi="楷体" w:eastAsia="楷体"/>
          <w:b w:val="0"/>
          <w:i w:val="0"/>
          <w:color w:val="1A1A1A"/>
          <w:sz w:val="22"/>
        </w:rPr>
        <w:t>由此确立的纪律是：</w:t>
      </w:r>
      <w:r>
        <w:rPr>
          <w:rFonts w:ascii="楷体" w:hAnsi="楷体" w:eastAsia="楷体"/>
          <w:b/>
          <w:i w:val="0"/>
          <w:color w:val="1A1A1A"/>
          <w:sz w:val="22"/>
        </w:rPr>
        <w:t>「声称超出来源能支撑的范围」与「编造」同等危险，且更难自查——因为每个字看起来都有出处。</w:t>
      </w:r>
      <w:r>
        <w:rPr>
          <w:rFonts w:ascii="楷体" w:hAnsi="楷体" w:eastAsia="楷体"/>
          <w:b w:val="0"/>
          <w:i w:val="0"/>
          <w:color w:val="1A1A1A"/>
          <w:sz w:val="22"/>
        </w:rPr>
        <w:t xml:space="preserve"> 核对全过程记录在项目文件的 docs/legal-check.md 中，14 条条文全部附来源链接，可当场点开验证。</w:t>
      </w:r>
    </w:p>
    <w:p>
      <w:r>
        <w:br w:type="page"/>
      </w:r>
    </w:p>
    <w:p>
      <w:pPr>
        <w:keepNext/>
        <w:spacing w:before="400" w:after="200" w:line="324" w:lineRule="auto"/>
        <w:jc w:val="left"/>
      </w:pPr>
      <w:r>
        <w:rPr>
          <w:rFonts w:ascii="黑体" w:hAnsi="黑体" w:eastAsia="黑体"/>
          <w:b/>
          <w:i w:val="0"/>
          <w:color w:val="000000"/>
          <w:sz w:val="32"/>
        </w:rPr>
        <w:t>七、应用场景</w:t>
      </w:r>
    </w:p>
    <w:p>
      <w:pPr>
        <w:keepNext/>
        <w:spacing w:before="280" w:after="120" w:line="324" w:lineRule="auto"/>
        <w:jc w:val="left"/>
      </w:pPr>
      <w:r>
        <w:rPr>
          <w:rFonts w:ascii="黑体" w:hAnsi="黑体" w:eastAsia="黑体"/>
          <w:b/>
          <w:i w:val="0"/>
          <w:color w:val="000000"/>
          <w:sz w:val="27"/>
        </w:rPr>
        <w:t>1. 零基础理财科普咨询场景</w:t>
      </w:r>
    </w:p>
    <w:p>
      <w:pPr>
        <w:keepNext w:val="0"/>
        <w:spacing w:before="0" w:after="60" w:line="360" w:lineRule="auto"/>
        <w:ind w:firstLine="480"/>
        <w:jc w:val="both"/>
      </w:pPr>
      <w:r>
        <w:rPr>
          <w:rFonts w:ascii="宋体" w:hAnsi="宋体" w:eastAsia="宋体"/>
          <w:b/>
          <w:i w:val="0"/>
          <w:color w:val="1A1A1A"/>
          <w:sz w:val="24"/>
        </w:rPr>
        <w:t>场景描述</w:t>
      </w:r>
      <w:r>
        <w:rPr>
          <w:rFonts w:ascii="宋体" w:hAnsi="宋体" w:eastAsia="宋体"/>
          <w:b w:val="0"/>
          <w:i w:val="0"/>
          <w:color w:val="1A1A1A"/>
          <w:sz w:val="24"/>
        </w:rPr>
        <w:t>：用户面对金融术语、产品说明书、合同条款时看不懂，无法分辨基础理财产品的差别，有疑问却无人可问——银行客户经理有销售目的，网上信息真假难辨，问家人朋友也是同样水平。</w:t>
      </w:r>
    </w:p>
    <w:p>
      <w:pPr>
        <w:keepNext w:val="0"/>
        <w:spacing w:before="0" w:after="60" w:line="360" w:lineRule="auto"/>
        <w:ind w:firstLine="480"/>
        <w:jc w:val="both"/>
      </w:pPr>
      <w:r>
        <w:rPr>
          <w:rFonts w:ascii="宋体" w:hAnsi="宋体" w:eastAsia="宋体"/>
          <w:b/>
          <w:i w:val="0"/>
          <w:color w:val="1A1A1A"/>
          <w:sz w:val="24"/>
        </w:rPr>
        <w:t>我们提供</w:t>
      </w:r>
      <w:r>
        <w:rPr>
          <w:rFonts w:ascii="宋体" w:hAnsi="宋体" w:eastAsia="宋体"/>
          <w:b w:val="0"/>
          <w:i w:val="0"/>
          <w:color w:val="1A1A1A"/>
          <w:sz w:val="24"/>
        </w:rPr>
        <w:t>：以题库与总结的方式建立系统认知，以 AI 智能答疑与金融知识通俗化解读解决即时困惑。具体路径有三条：一是术语词典（24 条高频术语，本地返回，输入一个词即得「大白话解释 + 最该注意的那一点」）；二是条款翻译（粘贴数百字的产品说明书，输出「人话版 + 关键点标注 + 相关概念微课」）；三是五关递进的知识闯关，答错自动触发定向微课，错题与薄弱术语沉淀入档案。</w:t>
      </w:r>
    </w:p>
    <w:p>
      <w:pPr>
        <w:keepNext w:val="0"/>
        <w:spacing w:before="0" w:after="60" w:line="360" w:lineRule="auto"/>
        <w:ind w:firstLine="480"/>
        <w:jc w:val="both"/>
      </w:pPr>
      <w:r>
        <w:rPr>
          <w:rFonts w:ascii="宋体" w:hAnsi="宋体" w:eastAsia="宋体"/>
          <w:b/>
          <w:i w:val="0"/>
          <w:color w:val="1A1A1A"/>
          <w:sz w:val="24"/>
        </w:rPr>
        <w:t>典型用户</w:t>
      </w:r>
      <w:r>
        <w:rPr>
          <w:rFonts w:ascii="宋体" w:hAnsi="宋体" w:eastAsia="宋体"/>
          <w:b w:val="0"/>
          <w:i w:val="0"/>
          <w:color w:val="1A1A1A"/>
          <w:sz w:val="24"/>
        </w:rPr>
        <w:t>：小李，20 岁，大学生，靠生活费与兼职收入积累了一小笔钱，接触到虚拟币、「校园代理」「刷单返利」「帮投」等信息，对高息返利结构毫无认知。产品对他的价值是：先用识别测试让他发现自己判断不准，再用微课补上概念，最后用负债 IRR 计算器让他看清自己正在用的分期真实成本。</w:t>
      </w:r>
    </w:p>
    <w:p>
      <w:pPr>
        <w:keepNext w:val="0"/>
        <w:spacing w:before="0" w:after="60" w:line="360" w:lineRule="auto"/>
        <w:ind w:firstLine="480"/>
        <w:jc w:val="both"/>
      </w:pPr>
      <w:r>
        <w:rPr>
          <w:rFonts w:ascii="宋体" w:hAnsi="宋体" w:eastAsia="宋体"/>
          <w:b/>
          <w:i w:val="0"/>
          <w:color w:val="1A1A1A"/>
          <w:sz w:val="24"/>
        </w:rPr>
        <w:t>合规边界</w:t>
      </w:r>
      <w:r>
        <w:rPr>
          <w:rFonts w:ascii="宋体" w:hAnsi="宋体" w:eastAsia="宋体"/>
          <w:b w:val="0"/>
          <w:i w:val="0"/>
          <w:color w:val="1A1A1A"/>
          <w:sz w:val="24"/>
        </w:rPr>
        <w:t>：本场景只做概念解释与条款的客观陈述，不评价「值不值得买」。命中「该不该买某个产品」「某个标的会涨吗」这类越界提问时，系统不回避、不生硬拒绝，而是转化为教育——告诉用户专业投资者判断这类资产时会看哪几个维度、去哪里获取这些公开信息。</w:t>
      </w:r>
      <w:r>
        <w:rPr>
          <w:rFonts w:ascii="宋体" w:hAnsi="宋体" w:eastAsia="宋体"/>
          <w:b/>
          <w:i w:val="0"/>
          <w:color w:val="1A1A1A"/>
          <w:sz w:val="24"/>
        </w:rPr>
        <w:t>把合规约束转化为教育契机，这是本产品的设计特色之一。</w:t>
      </w:r>
    </w:p>
    <w:p>
      <w:pPr>
        <w:keepNext/>
        <w:spacing w:before="280" w:after="120" w:line="324" w:lineRule="auto"/>
        <w:jc w:val="left"/>
      </w:pPr>
      <w:r>
        <w:rPr>
          <w:rFonts w:ascii="黑体" w:hAnsi="黑体" w:eastAsia="黑体"/>
          <w:b/>
          <w:i w:val="0"/>
          <w:color w:val="000000"/>
          <w:sz w:val="27"/>
        </w:rPr>
        <w:t>2. 低风险理财决策辅助场景</w:t>
      </w:r>
    </w:p>
    <w:p>
      <w:pPr>
        <w:keepNext w:val="0"/>
        <w:spacing w:before="0" w:after="60" w:line="360" w:lineRule="auto"/>
        <w:ind w:firstLine="480"/>
        <w:jc w:val="both"/>
      </w:pPr>
      <w:r>
        <w:rPr>
          <w:rFonts w:ascii="宋体" w:hAnsi="宋体" w:eastAsia="宋体"/>
          <w:b/>
          <w:i w:val="0"/>
          <w:color w:val="1A1A1A"/>
          <w:sz w:val="24"/>
        </w:rPr>
        <w:t>场景描述</w:t>
      </w:r>
      <w:r>
        <w:rPr>
          <w:rFonts w:ascii="宋体" w:hAnsi="宋体" w:eastAsia="宋体"/>
          <w:b w:val="0"/>
          <w:i w:val="0"/>
          <w:color w:val="1A1A1A"/>
          <w:sz w:val="24"/>
        </w:rPr>
        <w:t>：用户想自主理财但反复纠结，容易盲目跟风，风险意识薄弱——看到别人赚钱就想跟，看到下跌就恐慌，不清楚自己应该承担多少风险。</w:t>
      </w:r>
    </w:p>
    <w:p>
      <w:pPr>
        <w:keepNext w:val="0"/>
        <w:spacing w:before="0" w:after="60" w:line="360" w:lineRule="auto"/>
        <w:ind w:firstLine="480"/>
        <w:jc w:val="both"/>
      </w:pPr>
      <w:r>
        <w:rPr>
          <w:rFonts w:ascii="宋体" w:hAnsi="宋体" w:eastAsia="宋体"/>
          <w:b/>
          <w:i w:val="0"/>
          <w:color w:val="1A1A1A"/>
          <w:sz w:val="24"/>
        </w:rPr>
        <w:t>我们提供</w:t>
      </w:r>
      <w:r>
        <w:rPr>
          <w:rFonts w:ascii="宋体" w:hAnsi="宋体" w:eastAsia="宋体"/>
          <w:b w:val="0"/>
          <w:i w:val="0"/>
          <w:color w:val="1A1A1A"/>
          <w:sz w:val="24"/>
        </w:rPr>
        <w:t>：结合用户画像的行情简易解读、风险预警与个性化的低风险理财参考。具体包括：自适应风险测评输出风险类型与综合得分；矛盾发现主动指出用户回答中互相打架的地方（养老钱配高风险偏好、短钱长投、无应急金即投资、借钱投资）；大类资产配置思路参考给出品类层面的比例参考并解释每一类的风险来源；投资方向科普按 9 个品类讲清特征、风险来源与适合的风险画像。</w:t>
      </w:r>
    </w:p>
    <w:p>
      <w:pPr>
        <w:keepNext w:val="0"/>
        <w:spacing w:before="0" w:after="60" w:line="360" w:lineRule="auto"/>
        <w:ind w:firstLine="480"/>
        <w:jc w:val="both"/>
      </w:pPr>
      <w:r>
        <w:rPr>
          <w:rFonts w:ascii="宋体" w:hAnsi="宋体" w:eastAsia="宋体"/>
          <w:b/>
          <w:i w:val="0"/>
          <w:color w:val="1A1A1A"/>
          <w:sz w:val="24"/>
        </w:rPr>
        <w:t>风险预警是双向的</w:t>
      </w:r>
      <w:r>
        <w:rPr>
          <w:rFonts w:ascii="宋体" w:hAnsi="宋体" w:eastAsia="宋体"/>
          <w:b w:val="0"/>
          <w:i w:val="0"/>
          <w:color w:val="1A1A1A"/>
          <w:sz w:val="24"/>
        </w:rPr>
        <w:t>：一方面，规划师测出的画像会决定识别模块优先提示哪一类陷阱（偏进取的用户重点提示「高收益」话术，偏保守的用户重点提示「跟存款差不多」这类混淆存款与理财的说法）；另一方面，识别模块遇到过的骗局类型会回写档案，影响规划师的风险提示重点。</w:t>
      </w:r>
    </w:p>
    <w:p>
      <w:pPr>
        <w:keepNext w:val="0"/>
        <w:spacing w:before="0" w:after="60" w:line="360" w:lineRule="auto"/>
        <w:ind w:firstLine="480"/>
        <w:jc w:val="both"/>
      </w:pPr>
      <w:r>
        <w:rPr>
          <w:rFonts w:ascii="宋体" w:hAnsi="宋体" w:eastAsia="宋体"/>
          <w:b/>
          <w:i w:val="0"/>
          <w:color w:val="1A1A1A"/>
          <w:sz w:val="24"/>
        </w:rPr>
        <w:t>合规边界</w:t>
      </w:r>
      <w:r>
        <w:rPr>
          <w:rFonts w:ascii="宋体" w:hAnsi="宋体" w:eastAsia="宋体"/>
          <w:b w:val="0"/>
          <w:i w:val="0"/>
          <w:color w:val="1A1A1A"/>
          <w:sz w:val="24"/>
        </w:rPr>
        <w:t>：全部输出停留在品类与比例原则层面，绝不出现具体产品名称、代码或管理人；不预测涨跌、不指导择时。所谓「低风险理财参考」指的是</w:t>
      </w:r>
      <w:r>
        <w:rPr>
          <w:rFonts w:ascii="宋体" w:hAnsi="宋体" w:eastAsia="宋体"/>
          <w:b/>
          <w:i w:val="0"/>
          <w:color w:val="1A1A1A"/>
          <w:sz w:val="24"/>
        </w:rPr>
        <w:t>品类的风险等级排序与配置原则</w:t>
      </w:r>
      <w:r>
        <w:rPr>
          <w:rFonts w:ascii="宋体" w:hAnsi="宋体" w:eastAsia="宋体"/>
          <w:b w:val="0"/>
          <w:i w:val="0"/>
          <w:color w:val="1A1A1A"/>
          <w:sz w:val="24"/>
        </w:rPr>
        <w:t>，而非任何具体标的的推荐。</w:t>
      </w:r>
    </w:p>
    <w:p>
      <w:pPr>
        <w:keepNext/>
        <w:spacing w:before="280" w:after="120" w:line="324" w:lineRule="auto"/>
        <w:jc w:val="left"/>
      </w:pPr>
      <w:r>
        <w:rPr>
          <w:rFonts w:ascii="黑体" w:hAnsi="黑体" w:eastAsia="黑体"/>
          <w:b/>
          <w:i w:val="0"/>
          <w:color w:val="000000"/>
          <w:sz w:val="27"/>
        </w:rPr>
        <w:t>3. 个人轻量化资产管理场景</w:t>
      </w:r>
    </w:p>
    <w:p>
      <w:pPr>
        <w:keepNext w:val="0"/>
        <w:spacing w:before="0" w:after="60" w:line="360" w:lineRule="auto"/>
        <w:ind w:firstLine="480"/>
        <w:jc w:val="both"/>
      </w:pPr>
      <w:r>
        <w:rPr>
          <w:rFonts w:ascii="宋体" w:hAnsi="宋体" w:eastAsia="宋体"/>
          <w:b/>
          <w:i w:val="0"/>
          <w:color w:val="1A1A1A"/>
          <w:sz w:val="24"/>
        </w:rPr>
        <w:t>场景描述</w:t>
      </w:r>
      <w:r>
        <w:rPr>
          <w:rFonts w:ascii="宋体" w:hAnsi="宋体" w:eastAsia="宋体"/>
          <w:b w:val="0"/>
          <w:i w:val="0"/>
          <w:color w:val="1A1A1A"/>
          <w:sz w:val="24"/>
        </w:rPr>
        <w:t>：普通个人用户面对小额资产与日常收支，缺少梳理工具——不清楚自己应该留多少应急金，不知道手里的分期负债实际成本多少，也不了解「先还债还是先理财」这类基础顺序问题。</w:t>
      </w:r>
    </w:p>
    <w:p>
      <w:pPr>
        <w:keepNext w:val="0"/>
        <w:spacing w:before="0" w:after="60" w:line="360" w:lineRule="auto"/>
        <w:ind w:firstLine="480"/>
        <w:jc w:val="both"/>
      </w:pPr>
      <w:r>
        <w:rPr>
          <w:rFonts w:ascii="宋体" w:hAnsi="宋体" w:eastAsia="宋体"/>
          <w:b/>
          <w:i w:val="0"/>
          <w:color w:val="1A1A1A"/>
          <w:sz w:val="24"/>
        </w:rPr>
        <w:t>我们提供</w:t>
      </w:r>
      <w:r>
        <w:rPr>
          <w:rFonts w:ascii="宋体" w:hAnsi="宋体" w:eastAsia="宋体"/>
          <w:b w:val="0"/>
          <w:i w:val="0"/>
          <w:color w:val="1A1A1A"/>
          <w:sz w:val="24"/>
        </w:rPr>
        <w:t>：简易梳理、资产状态分析与理财误区提醒，轻量化打理个人财务。核心是两个纯计算工具与一个优先级排序：</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应急备用金计算器</w:t>
      </w:r>
      <w:r>
        <w:rPr>
          <w:rFonts w:ascii="宋体" w:hAnsi="宋体" w:eastAsia="宋体"/>
          <w:b w:val="0"/>
          <w:i w:val="0"/>
          <w:color w:val="1A1A1A"/>
          <w:sz w:val="23"/>
        </w:rPr>
        <w:t>：按月支出、家庭负担、工作稳定性、有无商业保险测算建议预留的月数与金额，并逐条说明每一项因素为什么加减月数。核心科普是「先存应急金，再做投资」——理财第一课，绝大多数小白跳过了。</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分期真实年化（IRR）计算器</w:t>
      </w:r>
      <w:r>
        <w:rPr>
          <w:rFonts w:ascii="宋体" w:hAnsi="宋体" w:eastAsia="宋体"/>
          <w:b w:val="0"/>
          <w:i w:val="0"/>
          <w:color w:val="1A1A1A"/>
          <w:sz w:val="23"/>
        </w:rPr>
        <w:t xml:space="preserve">：输入分期期数与每期费率，输出真实年化利率。「月费率 0.6%」听起来很低，12 期等额本息的真实年化是 </w:t>
      </w:r>
      <w:r>
        <w:rPr>
          <w:rFonts w:ascii="宋体" w:hAnsi="宋体" w:eastAsia="宋体"/>
          <w:b/>
          <w:i w:val="0"/>
          <w:color w:val="1A1A1A"/>
          <w:sz w:val="23"/>
        </w:rPr>
        <w:t>13.03%</w:t>
      </w:r>
      <w:r>
        <w:rPr>
          <w:rFonts w:ascii="宋体" w:hAnsi="宋体" w:eastAsia="宋体"/>
          <w:b w:val="0"/>
          <w:i w:val="0"/>
          <w:color w:val="1A1A1A"/>
          <w:sz w:val="23"/>
        </w:rPr>
        <w:t>，是名义总费率（7.2%）的 1.81 倍。</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优先级排序</w:t>
      </w:r>
      <w:r>
        <w:rPr>
          <w:rFonts w:ascii="宋体" w:hAnsi="宋体" w:eastAsia="宋体"/>
          <w:b w:val="0"/>
          <w:i w:val="0"/>
          <w:color w:val="1A1A1A"/>
          <w:sz w:val="23"/>
        </w:rPr>
        <w:t>：「先做什么，后做什么」——前一步没做完，别做后一步。当计算器算出负债年化超过 10% 时，全站置顶提示「先还掉确定的 13%，再谈不确定的收益」。</w:t>
      </w:r>
    </w:p>
    <w:p>
      <w:pPr>
        <w:keepNext w:val="0"/>
        <w:spacing w:before="0" w:after="60" w:line="360" w:lineRule="auto"/>
        <w:ind w:firstLine="480"/>
        <w:jc w:val="both"/>
      </w:pPr>
      <w:r>
        <w:rPr>
          <w:rFonts w:ascii="宋体" w:hAnsi="宋体" w:eastAsia="宋体"/>
          <w:b/>
          <w:i w:val="0"/>
          <w:color w:val="1A1A1A"/>
          <w:sz w:val="24"/>
        </w:rPr>
        <w:t>为什么这个场景重要</w:t>
      </w:r>
      <w:r>
        <w:rPr>
          <w:rFonts w:ascii="宋体" w:hAnsi="宋体" w:eastAsia="宋体"/>
          <w:b w:val="0"/>
          <w:i w:val="0"/>
          <w:color w:val="1A1A1A"/>
          <w:sz w:val="24"/>
        </w:rPr>
        <w:t>：很多人背着年化 13% 的债去买 4% 的理财。这是所有人都懵的一笔账，算给他看，冲击力极强，而且</w:t>
      </w:r>
      <w:r>
        <w:rPr>
          <w:rFonts w:ascii="宋体" w:hAnsi="宋体" w:eastAsia="宋体"/>
          <w:b/>
          <w:i w:val="0"/>
          <w:color w:val="1A1A1A"/>
          <w:sz w:val="24"/>
        </w:rPr>
        <w:t>这是纯数学，零合规风险</w:t>
      </w:r>
      <w:r>
        <w:rPr>
          <w:rFonts w:ascii="宋体" w:hAnsi="宋体" w:eastAsia="宋体"/>
          <w:b w:val="0"/>
          <w:i w:val="0"/>
          <w:color w:val="1A1A1A"/>
          <w:sz w:val="24"/>
        </w:rPr>
        <w:t>。</w:t>
      </w:r>
    </w:p>
    <w:p>
      <w:r>
        <w:br w:type="page"/>
      </w:r>
    </w:p>
    <w:p>
      <w:pPr>
        <w:keepNext/>
        <w:spacing w:before="400" w:after="200" w:line="324" w:lineRule="auto"/>
        <w:jc w:val="left"/>
      </w:pPr>
      <w:r>
        <w:rPr>
          <w:rFonts w:ascii="黑体" w:hAnsi="黑体" w:eastAsia="黑体"/>
          <w:b/>
          <w:i w:val="0"/>
          <w:color w:val="000000"/>
          <w:sz w:val="32"/>
        </w:rPr>
        <w:t>八、核心创新点</w:t>
      </w:r>
    </w:p>
    <w:p>
      <w:pPr>
        <w:keepNext/>
        <w:spacing w:before="280" w:after="120" w:line="324" w:lineRule="auto"/>
        <w:jc w:val="left"/>
      </w:pPr>
      <w:r>
        <w:rPr>
          <w:rFonts w:ascii="黑体" w:hAnsi="黑体" w:eastAsia="黑体"/>
          <w:b/>
          <w:i w:val="0"/>
          <w:color w:val="000000"/>
          <w:sz w:val="27"/>
        </w:rPr>
        <w:t>1. 普惠型金融科普：注重教育和防范，并非单纯投资推荐</w:t>
      </w:r>
    </w:p>
    <w:p>
      <w:pPr>
        <w:keepNext w:val="0"/>
        <w:spacing w:before="0" w:after="60" w:line="360" w:lineRule="auto"/>
        <w:ind w:firstLine="480"/>
        <w:jc w:val="both"/>
      </w:pPr>
      <w:r>
        <w:rPr>
          <w:rFonts w:ascii="宋体" w:hAnsi="宋体" w:eastAsia="宋体"/>
          <w:b w:val="0"/>
          <w:i w:val="0"/>
          <w:color w:val="1A1A1A"/>
          <w:sz w:val="24"/>
        </w:rPr>
        <w:t>这是选题层面的创新，也是本项目最根本的差异化。</w:t>
      </w:r>
      <w:r>
        <w:rPr>
          <w:rFonts w:ascii="宋体" w:hAnsi="宋体" w:eastAsia="宋体"/>
          <w:b/>
          <w:i w:val="0"/>
          <w:color w:val="1A1A1A"/>
          <w:sz w:val="24"/>
        </w:rPr>
        <w:t>在现行监管下，未持牌推荐具体股票、基金、理财产品属于非法证券活动。这意味着所有走「帮你赚钱」路线的 AI 金融产品，天花板都被合规按住了——产品做得越好、越具体、越有用，越难解释自己怎么合法运营。</w:t>
      </w:r>
    </w:p>
    <w:p>
      <w:pPr>
        <w:keepNext w:val="0"/>
        <w:spacing w:before="0" w:after="60" w:line="360" w:lineRule="auto"/>
        <w:ind w:firstLine="480"/>
        <w:jc w:val="both"/>
      </w:pPr>
      <w:r>
        <w:rPr>
          <w:rFonts w:ascii="宋体" w:hAnsi="宋体" w:eastAsia="宋体"/>
          <w:b w:val="0"/>
          <w:i w:val="0"/>
          <w:color w:val="1A1A1A"/>
          <w:sz w:val="24"/>
        </w:rPr>
        <w:t>我们做反向选择：不做投顾，做投资者保护。投资者教育与反非法金融活动宣传，是《证券法》《反电信网络诈骗法》和各级监管部门明确要求履行的义务。</w:t>
      </w:r>
      <w:r>
        <w:rPr>
          <w:rFonts w:ascii="宋体" w:hAnsi="宋体" w:eastAsia="宋体"/>
          <w:b/>
          <w:i w:val="0"/>
          <w:color w:val="1A1A1A"/>
          <w:sz w:val="24"/>
        </w:rPr>
        <w:t>同样一件事，别人做需要牌照，我们做是监管鼓励。</w:t>
      </w:r>
    </w:p>
    <w:p>
      <w:pPr>
        <w:keepNext w:val="0"/>
        <w:spacing w:before="0" w:after="60" w:line="360" w:lineRule="auto"/>
        <w:ind w:firstLine="480"/>
        <w:jc w:val="both"/>
      </w:pPr>
      <w:r>
        <w:rPr>
          <w:rFonts w:ascii="宋体" w:hAnsi="宋体" w:eastAsia="宋体"/>
          <w:b/>
          <w:i w:val="0"/>
          <w:color w:val="1A1A1A"/>
          <w:sz w:val="24"/>
        </w:rPr>
        <w:t>为什么这是创新而不是妥协</w:t>
      </w:r>
      <w:r>
        <w:rPr>
          <w:rFonts w:ascii="宋体" w:hAnsi="宋体" w:eastAsia="宋体"/>
          <w:b w:val="0"/>
          <w:i w:val="0"/>
          <w:color w:val="1A1A1A"/>
          <w:sz w:val="24"/>
        </w:rPr>
        <w:t>：绝大多数团队会把合规当成需要绕过的障碍，我们把它当成产品定位的起点。最终得到的是一个</w:t>
      </w:r>
      <w:r>
        <w:rPr>
          <w:rFonts w:ascii="宋体" w:hAnsi="宋体" w:eastAsia="宋体"/>
          <w:b/>
          <w:i w:val="0"/>
          <w:color w:val="1A1A1A"/>
          <w:sz w:val="24"/>
        </w:rPr>
        <w:t>不持牌也能合法上线、且监管乐见其成</w:t>
      </w:r>
      <w:r>
        <w:rPr>
          <w:rFonts w:ascii="宋体" w:hAnsi="宋体" w:eastAsia="宋体"/>
          <w:b w:val="0"/>
          <w:i w:val="0"/>
          <w:color w:val="1A1A1A"/>
          <w:sz w:val="24"/>
        </w:rPr>
        <w:t>的产品形态。这个选择贯穿到每一句文案（见表 11 措辞纪律），并直接决定了商业模式的可行性——付费方恰恰是那些有合规义务、有预算科目的机构。</w:t>
      </w:r>
    </w:p>
    <w:p>
      <w:pPr>
        <w:keepNext/>
        <w:spacing w:before="280" w:after="120" w:line="324" w:lineRule="auto"/>
        <w:jc w:val="left"/>
      </w:pPr>
      <w:r>
        <w:rPr>
          <w:rFonts w:ascii="黑体" w:hAnsi="黑体" w:eastAsia="黑体"/>
          <w:b/>
          <w:i w:val="0"/>
          <w:color w:val="000000"/>
          <w:sz w:val="27"/>
        </w:rPr>
        <w:t>2. 信息辨别、知识普及、理财分析一站式打包，助力金融小白全流程成长</w:t>
      </w:r>
    </w:p>
    <w:p>
      <w:pPr>
        <w:keepNext w:val="0"/>
        <w:spacing w:before="0" w:after="60" w:line="360" w:lineRule="auto"/>
        <w:ind w:firstLine="480"/>
        <w:jc w:val="both"/>
      </w:pPr>
      <w:r>
        <w:rPr>
          <w:rFonts w:ascii="宋体" w:hAnsi="宋体" w:eastAsia="宋体"/>
          <w:b w:val="0"/>
          <w:i w:val="0"/>
          <w:color w:val="1A1A1A"/>
          <w:sz w:val="24"/>
        </w:rPr>
        <w:t>三个功能不是并列的工具箱，而是一条有顺序的成长路径：</w:t>
      </w:r>
      <w:r>
        <w:rPr>
          <w:rFonts w:ascii="宋体" w:hAnsi="宋体" w:eastAsia="宋体"/>
          <w:b/>
          <w:i w:val="0"/>
          <w:color w:val="1A1A1A"/>
          <w:sz w:val="24"/>
        </w:rPr>
        <w:t>先别被骗（守住底线）→ 再看得懂（建立认知）→ 才敢规划（形成框架）。</w:t>
      </w:r>
      <w:r>
        <w:rPr>
          <w:rFonts w:ascii="宋体" w:hAnsi="宋体" w:eastAsia="宋体"/>
          <w:b w:val="0"/>
          <w:i w:val="0"/>
          <w:color w:val="1A1A1A"/>
          <w:sz w:val="24"/>
        </w:rPr>
        <w:t xml:space="preserve"> 这个顺序对应的是用户被骗风险由高到低、认知水平由低到高、行动能力由弱到强的真实过程。</w:t>
      </w:r>
    </w:p>
    <w:p>
      <w:pPr>
        <w:keepNext w:val="0"/>
        <w:spacing w:before="0" w:after="60" w:line="360" w:lineRule="auto"/>
        <w:ind w:firstLine="480"/>
        <w:jc w:val="both"/>
      </w:pPr>
      <w:r>
        <w:rPr>
          <w:rFonts w:ascii="宋体" w:hAnsi="宋体" w:eastAsia="宋体"/>
          <w:b/>
          <w:i w:val="0"/>
          <w:color w:val="1A1A1A"/>
          <w:sz w:val="24"/>
        </w:rPr>
        <w:t>它针对的是一个具体的错配</w:t>
      </w:r>
      <w:r>
        <w:rPr>
          <w:rFonts w:ascii="宋体" w:hAnsi="宋体" w:eastAsia="宋体"/>
          <w:b w:val="0"/>
          <w:i w:val="0"/>
          <w:color w:val="1A1A1A"/>
          <w:sz w:val="24"/>
        </w:rPr>
        <w:t>：多数人在遇到理财产品时金融知识不足，又无法有专门的时间主动搜集信息、系统学习金融知识。按知识点组织的科普，需要用户先有学习意愿和空闲时间；而我们把教育挂在「用户正在困惑的那一句话」上——查一个词、传一张图，教育就在那一刻发生。</w:t>
      </w:r>
      <w:r>
        <w:rPr>
          <w:rFonts w:ascii="宋体" w:hAnsi="宋体" w:eastAsia="宋体"/>
          <w:b/>
          <w:i w:val="0"/>
          <w:color w:val="1A1A1A"/>
          <w:sz w:val="24"/>
        </w:rPr>
        <w:t>这使「开始」这件事变得容易：门槛从「腾出时间系统学习」降到「粘贴一句话」。</w:t>
      </w:r>
    </w:p>
    <w:p>
      <w:pPr>
        <w:keepNext/>
        <w:spacing w:before="280" w:after="120" w:line="324" w:lineRule="auto"/>
        <w:jc w:val="left"/>
      </w:pPr>
      <w:r>
        <w:rPr>
          <w:rFonts w:ascii="黑体" w:hAnsi="黑体" w:eastAsia="黑体"/>
          <w:b/>
          <w:i w:val="0"/>
          <w:color w:val="000000"/>
          <w:sz w:val="27"/>
        </w:rPr>
        <w:t>3. 个人用户档案动态更新，从零开始培育长期用户</w:t>
      </w:r>
    </w:p>
    <w:p>
      <w:pPr>
        <w:keepNext w:val="0"/>
        <w:spacing w:before="0" w:after="60" w:line="360" w:lineRule="auto"/>
        <w:ind w:firstLine="480"/>
        <w:jc w:val="both"/>
      </w:pPr>
      <w:r>
        <w:rPr>
          <w:rFonts w:ascii="宋体" w:hAnsi="宋体" w:eastAsia="宋体"/>
          <w:b w:val="0"/>
          <w:i w:val="0"/>
          <w:color w:val="1A1A1A"/>
          <w:sz w:val="24"/>
        </w:rPr>
        <w:t>通过信息辨别记录、题目学习情况、风险偏好测评、个人收支数据，构建持续更新的用户画像，反映用户的成长变化，使产品成为更理解用户的「理财管家」，从而给出更贴合的理财分析。</w:t>
      </w:r>
    </w:p>
    <w:p>
      <w:pPr>
        <w:keepNext w:val="0"/>
        <w:spacing w:before="0" w:after="60" w:line="360" w:lineRule="auto"/>
        <w:ind w:firstLine="480"/>
        <w:jc w:val="both"/>
      </w:pPr>
      <w:r>
        <w:rPr>
          <w:rFonts w:ascii="宋体" w:hAnsi="宋体" w:eastAsia="宋体"/>
          <w:b/>
          <w:i w:val="0"/>
          <w:color w:val="1A1A1A"/>
          <w:sz w:val="24"/>
        </w:rPr>
        <w:t>这一创新的关键在于「可验证」。</w:t>
      </w:r>
      <w:r>
        <w:rPr>
          <w:rFonts w:ascii="宋体" w:hAnsi="宋体" w:eastAsia="宋体"/>
          <w:b w:val="0"/>
          <w:i w:val="0"/>
          <w:color w:val="1A1A1A"/>
          <w:sz w:val="24"/>
        </w:rPr>
        <w:t xml:space="preserve"> 每条定向提示都显示来源行——「依据：规划师测出你的风险偏好偏进取」，让用户能当场核对这条提示为什么出现；</w:t>
      </w:r>
      <w:r>
        <w:rPr>
          <w:rFonts w:ascii="宋体" w:hAnsi="宋体" w:eastAsia="宋体"/>
          <w:b/>
          <w:i w:val="0"/>
          <w:color w:val="1A1A1A"/>
          <w:sz w:val="24"/>
        </w:rPr>
        <w:t>档案为空时一条都不出，不虚报联动。</w:t>
      </w:r>
      <w:r>
        <w:rPr>
          <w:rFonts w:ascii="宋体" w:hAnsi="宋体" w:eastAsia="宋体"/>
          <w:b w:val="0"/>
          <w:i w:val="0"/>
          <w:color w:val="1A1A1A"/>
          <w:sz w:val="24"/>
        </w:rPr>
        <w:t xml:space="preserve"> 这既是诚实性设计，也是把「多智能体协作」从架构图上的概念变成用户可感知的事实。六条具体联动规则见表 3。</w:t>
      </w:r>
    </w:p>
    <w:p>
      <w:pPr>
        <w:keepNext w:val="0"/>
        <w:spacing w:before="0" w:after="60" w:line="360" w:lineRule="auto"/>
        <w:ind w:firstLine="480"/>
        <w:jc w:val="both"/>
      </w:pPr>
      <w:r>
        <w:rPr>
          <w:rFonts w:ascii="宋体" w:hAnsi="宋体" w:eastAsia="宋体"/>
          <w:b/>
          <w:i w:val="0"/>
          <w:color w:val="1A1A1A"/>
          <w:sz w:val="24"/>
        </w:rPr>
        <w:t>并且，档案只存在用户自己的浏览器里，不上传、不建集中式用户库。</w:t>
      </w:r>
      <w:r>
        <w:rPr>
          <w:rFonts w:ascii="宋体" w:hAnsi="宋体" w:eastAsia="宋体"/>
          <w:b w:val="0"/>
          <w:i w:val="0"/>
          <w:color w:val="1A1A1A"/>
          <w:sz w:val="24"/>
        </w:rPr>
        <w:t xml:space="preserve"> 在金融场景下，这是刻意的隐私选择：我们需要用户画像来提供个性化，但不需要占有它。</w:t>
      </w:r>
    </w:p>
    <w:p>
      <w:pPr>
        <w:keepNext/>
        <w:spacing w:before="280" w:after="120" w:line="324" w:lineRule="auto"/>
        <w:jc w:val="left"/>
      </w:pPr>
      <w:r>
        <w:rPr>
          <w:rFonts w:ascii="黑体" w:hAnsi="黑体" w:eastAsia="黑体"/>
          <w:b/>
          <w:i w:val="0"/>
          <w:color w:val="000000"/>
          <w:sz w:val="27"/>
        </w:rPr>
        <w:t>4. 信息集成：通过 AI 发挥信息整理能力，打破信息不对称与碎片化</w:t>
      </w:r>
    </w:p>
    <w:p>
      <w:pPr>
        <w:keepNext w:val="0"/>
        <w:spacing w:before="0" w:after="60" w:line="360" w:lineRule="auto"/>
        <w:ind w:firstLine="480"/>
        <w:jc w:val="both"/>
      </w:pPr>
      <w:r>
        <w:rPr>
          <w:rFonts w:ascii="宋体" w:hAnsi="宋体" w:eastAsia="宋体"/>
          <w:b w:val="0"/>
          <w:i w:val="0"/>
          <w:color w:val="1A1A1A"/>
          <w:sz w:val="24"/>
        </w:rPr>
        <w:t>同一份内容，用户原本需要分别完成的动作是：把图里的字认出来、逐句判断哪里不对、查这些说法违反了哪条规定、查这家公司有没有牌照、去哪里查、判断自己现在该做什么。这些信息分散在监管文件、企业信用系统、协会公示、反诈手册之中，检索成本极高，且每一步都需要专业判断。</w:t>
      </w:r>
    </w:p>
    <w:p>
      <w:pPr>
        <w:keepNext w:val="0"/>
        <w:spacing w:before="0" w:after="60" w:line="360" w:lineRule="auto"/>
        <w:ind w:firstLine="480"/>
        <w:jc w:val="both"/>
      </w:pPr>
      <w:r>
        <w:rPr>
          <w:rFonts w:ascii="宋体" w:hAnsi="宋体" w:eastAsia="宋体"/>
          <w:b/>
          <w:i w:val="0"/>
          <w:color w:val="1A1A1A"/>
          <w:sz w:val="24"/>
        </w:rPr>
        <w:t>我们把这条链路压缩成一次上传。</w:t>
      </w:r>
      <w:r>
        <w:rPr>
          <w:rFonts w:ascii="宋体" w:hAnsi="宋体" w:eastAsia="宋体"/>
          <w:b w:val="0"/>
          <w:i w:val="0"/>
          <w:color w:val="1A1A1A"/>
          <w:sz w:val="24"/>
        </w:rPr>
        <w:t xml:space="preserve"> 系统在数秒内完成六个阶段的处置，输出一份结构化报告：原文、命中项、法规原文、缺失要素、五维画像、骗局剧本、行动清单，并直接生成</w:t>
      </w:r>
      <w:r>
        <w:rPr>
          <w:rFonts w:ascii="宋体" w:hAnsi="宋体" w:eastAsia="宋体"/>
          <w:b/>
          <w:i w:val="0"/>
          <w:color w:val="1A1A1A"/>
          <w:sz w:val="24"/>
        </w:rPr>
        <w:t>带查询参数的官方核查入口链接</w:t>
      </w:r>
      <w:r>
        <w:rPr>
          <w:rFonts w:ascii="宋体" w:hAnsi="宋体" w:eastAsia="宋体"/>
          <w:b w:val="0"/>
          <w:i w:val="0"/>
          <w:color w:val="1A1A1A"/>
          <w:sz w:val="24"/>
        </w:rPr>
        <w:t>——用户点一下直接落在官方页面的查询结果上，而不是被告知「你自己去查」。</w:t>
      </w:r>
      <w:r>
        <w:rPr>
          <w:rFonts w:ascii="宋体" w:hAnsi="宋体" w:eastAsia="宋体"/>
          <w:b/>
          <w:i w:val="0"/>
          <w:color w:val="1A1A1A"/>
          <w:sz w:val="24"/>
        </w:rPr>
        <w:t>大幅降低的不是阅读量，而是判断所需的专业门槛。</w:t>
      </w:r>
    </w:p>
    <w:p>
      <w:pPr>
        <w:keepNext/>
        <w:spacing w:before="280" w:after="120" w:line="324" w:lineRule="auto"/>
        <w:jc w:val="left"/>
      </w:pPr>
      <w:r>
        <w:rPr>
          <w:rFonts w:ascii="黑体" w:hAnsi="黑体" w:eastAsia="黑体"/>
          <w:b/>
          <w:i w:val="0"/>
          <w:color w:val="000000"/>
          <w:sz w:val="27"/>
        </w:rPr>
        <w:t>5. 运用字号调节等适老化功能</w:t>
      </w:r>
    </w:p>
    <w:p>
      <w:pPr>
        <w:keepNext w:val="0"/>
        <w:spacing w:before="0" w:after="60" w:line="360" w:lineRule="auto"/>
        <w:ind w:firstLine="480"/>
        <w:jc w:val="both"/>
      </w:pPr>
      <w:r>
        <w:rPr>
          <w:rFonts w:ascii="宋体" w:hAnsi="宋体" w:eastAsia="宋体"/>
          <w:b/>
          <w:i w:val="0"/>
          <w:color w:val="1A1A1A"/>
          <w:sz w:val="24"/>
        </w:rPr>
        <w:t>适老化在本项目中不是装饰性功能，而是核心功能的一部分。</w:t>
      </w:r>
      <w:r>
        <w:rPr>
          <w:rFonts w:ascii="宋体" w:hAnsi="宋体" w:eastAsia="宋体"/>
          <w:b w:val="0"/>
          <w:i w:val="0"/>
          <w:color w:val="1A1A1A"/>
          <w:sz w:val="24"/>
        </w:rPr>
        <w:t xml:space="preserve"> 依据是数据：北京市公安局的统计显示，虚假网络投资理财类诈骗受害者中 46 岁以上占六成、60 岁以上占二成，年龄最大者 88 岁；最高人民法院的数据显示，养老诈骗案件中约六成是披着理财外衣的非法集资。</w:t>
      </w:r>
      <w:r>
        <w:rPr>
          <w:rFonts w:ascii="宋体" w:hAnsi="宋体" w:eastAsia="宋体"/>
          <w:b/>
          <w:i w:val="0"/>
          <w:color w:val="1A1A1A"/>
          <w:sz w:val="24"/>
        </w:rPr>
        <w:t>我们的核心用户里有很大一部分是老年人，产品必须为他们可用。</w:t>
      </w:r>
    </w:p>
    <w:p>
      <w:pPr>
        <w:keepNext w:val="0"/>
        <w:spacing w:before="0" w:after="60" w:line="360" w:lineRule="auto"/>
        <w:ind w:firstLine="480"/>
        <w:jc w:val="both"/>
      </w:pPr>
      <w:r>
        <w:rPr>
          <w:rFonts w:ascii="宋体" w:hAnsi="宋体" w:eastAsia="宋体"/>
          <w:b w:val="0"/>
          <w:i w:val="0"/>
          <w:color w:val="1A1A1A"/>
          <w:sz w:val="24"/>
        </w:rPr>
        <w:t>已实现：全站「放大字号」开关（通过在文档根元素打标记统一放大，无需逐组件适配）；档案年龄段为 60 岁以上时自动开启放大并简化术语密度、骗局图鉴优先展示针对中老年的类型；文案风格严格控制为「像耐心的晚辈跟长辈解释」——短句、不说教、不吓唬、不堆感叹号，专业词第一次出现就地解释；每类骗局附一句便于记住的口诀。</w:t>
      </w:r>
    </w:p>
    <w:p>
      <w:r>
        <w:br w:type="page"/>
      </w:r>
    </w:p>
    <w:p>
      <w:pPr>
        <w:keepNext/>
        <w:spacing w:before="400" w:after="200" w:line="324" w:lineRule="auto"/>
        <w:jc w:val="left"/>
      </w:pPr>
      <w:r>
        <w:rPr>
          <w:rFonts w:ascii="黑体" w:hAnsi="黑体" w:eastAsia="黑体"/>
          <w:b/>
          <w:i w:val="0"/>
          <w:color w:val="000000"/>
          <w:sz w:val="32"/>
        </w:rPr>
        <w:t>九、实际价值</w:t>
      </w:r>
    </w:p>
    <w:p>
      <w:pPr>
        <w:keepNext/>
        <w:spacing w:before="280" w:after="120" w:line="324" w:lineRule="auto"/>
        <w:jc w:val="left"/>
      </w:pPr>
      <w:r>
        <w:rPr>
          <w:rFonts w:ascii="黑体" w:hAnsi="黑体" w:eastAsia="黑体"/>
          <w:b/>
          <w:i w:val="0"/>
          <w:color w:val="000000"/>
          <w:sz w:val="27"/>
        </w:rPr>
        <w:t>1. 用户价值</w:t>
      </w:r>
    </w:p>
    <w:p>
      <w:pPr>
        <w:keepNext w:val="0"/>
        <w:spacing w:before="0" w:after="60" w:line="360" w:lineRule="auto"/>
        <w:ind w:firstLine="480"/>
        <w:jc w:val="both"/>
      </w:pPr>
      <w:r>
        <w:rPr>
          <w:rFonts w:ascii="宋体" w:hAnsi="宋体" w:eastAsia="宋体"/>
          <w:b/>
          <w:i w:val="0"/>
          <w:color w:val="1A1A1A"/>
          <w:sz w:val="24"/>
        </w:rPr>
        <w:t>（1）避免直接的财产损失，且这一价值可量化。</w:t>
      </w:r>
      <w:r>
        <w:rPr>
          <w:rFonts w:ascii="宋体" w:hAnsi="宋体" w:eastAsia="宋体"/>
          <w:b w:val="0"/>
          <w:i w:val="0"/>
          <w:color w:val="1A1A1A"/>
          <w:sz w:val="24"/>
        </w:rPr>
        <w:t xml:space="preserve"> 对小白而言，避免一次 5 万元的骗局，比多赚 5% 的收益重要一百倍。我们提供的不是模糊的警示，而是</w:t>
      </w:r>
      <w:r>
        <w:rPr>
          <w:rFonts w:ascii="宋体" w:hAnsi="宋体" w:eastAsia="宋体"/>
          <w:b/>
          <w:i w:val="0"/>
          <w:color w:val="1A1A1A"/>
          <w:sz w:val="24"/>
        </w:rPr>
        <w:t>当场、逐句、指向具体法条的判断依据</w:t>
      </w:r>
      <w:r>
        <w:rPr>
          <w:rFonts w:ascii="宋体" w:hAnsi="宋体" w:eastAsia="宋体"/>
          <w:b w:val="0"/>
          <w:i w:val="0"/>
          <w:color w:val="1A1A1A"/>
          <w:sz w:val="24"/>
        </w:rPr>
        <w:t>，以及一份可以直接转给家人看的报告——后者在老年人场景中尤其重要，因为它把「我觉得这个有问题」变成了「有依据的第三方判断」。</w:t>
      </w:r>
    </w:p>
    <w:p>
      <w:pPr>
        <w:keepNext w:val="0"/>
        <w:spacing w:before="0" w:after="60" w:line="360" w:lineRule="auto"/>
        <w:ind w:firstLine="480"/>
        <w:jc w:val="both"/>
      </w:pPr>
      <w:r>
        <w:rPr>
          <w:rFonts w:ascii="宋体" w:hAnsi="宋体" w:eastAsia="宋体"/>
          <w:b/>
          <w:i w:val="0"/>
          <w:color w:val="1A1A1A"/>
          <w:sz w:val="24"/>
        </w:rPr>
        <w:t>（2）降低金融决策的专业门槛。</w:t>
      </w:r>
      <w:r>
        <w:rPr>
          <w:rFonts w:ascii="宋体" w:hAnsi="宋体" w:eastAsia="宋体"/>
          <w:b w:val="0"/>
          <w:i w:val="0"/>
          <w:color w:val="1A1A1A"/>
          <w:sz w:val="24"/>
        </w:rPr>
        <w:t xml:space="preserve"> 术语解释、条款翻译、真实年化计算、大类配置思路，把原本需要专业训练才能完成的判断变成几次点击。</w:t>
      </w:r>
    </w:p>
    <w:p>
      <w:pPr>
        <w:keepNext w:val="0"/>
        <w:spacing w:before="0" w:after="60" w:line="360" w:lineRule="auto"/>
        <w:ind w:firstLine="480"/>
        <w:jc w:val="both"/>
      </w:pPr>
      <w:r>
        <w:rPr>
          <w:rFonts w:ascii="宋体" w:hAnsi="宋体" w:eastAsia="宋体"/>
          <w:b/>
          <w:i w:val="0"/>
          <w:color w:val="1A1A1A"/>
          <w:sz w:val="24"/>
        </w:rPr>
        <w:t>（3）建立可迁移的判断能力，而不只是给出一次结论。</w:t>
      </w:r>
      <w:r>
        <w:rPr>
          <w:rFonts w:ascii="宋体" w:hAnsi="宋体" w:eastAsia="宋体"/>
          <w:b w:val="0"/>
          <w:i w:val="0"/>
          <w:color w:val="1A1A1A"/>
          <w:sz w:val="24"/>
        </w:rPr>
        <w:t xml:space="preserve"> 骗局剧本给出的是</w:t>
      </w:r>
      <w:r>
        <w:rPr>
          <w:rFonts w:ascii="宋体" w:hAnsi="宋体" w:eastAsia="宋体"/>
          <w:b/>
          <w:i w:val="0"/>
          <w:color w:val="1A1A1A"/>
          <w:sz w:val="24"/>
        </w:rPr>
        <w:t>可被用户自己验证的预测</w:t>
      </w:r>
      <w:r>
        <w:rPr>
          <w:rFonts w:ascii="宋体" w:hAnsi="宋体" w:eastAsia="宋体"/>
          <w:b w:val="0"/>
          <w:i w:val="0"/>
          <w:color w:val="1A1A1A"/>
          <w:sz w:val="24"/>
        </w:rPr>
        <w:t>——用户不需要相信我们，只需要等着看对不对，而每一步被印证，都在加强他退出的决心；识别测试让用户先自己判、再看引擎的依据；每一条命中都附原文与法条，鼓励用户复核。</w:t>
      </w:r>
      <w:r>
        <w:rPr>
          <w:rFonts w:ascii="宋体" w:hAnsi="宋体" w:eastAsia="宋体"/>
          <w:b/>
          <w:i w:val="0"/>
          <w:color w:val="1A1A1A"/>
          <w:sz w:val="24"/>
        </w:rPr>
        <w:t>产品的目标是让用户下一次不需要我们也能判断。</w:t>
      </w:r>
    </w:p>
    <w:p>
      <w:pPr>
        <w:keepNext w:val="0"/>
        <w:spacing w:before="0" w:after="60" w:line="360" w:lineRule="auto"/>
        <w:ind w:firstLine="480"/>
        <w:jc w:val="both"/>
      </w:pPr>
      <w:r>
        <w:rPr>
          <w:rFonts w:ascii="宋体" w:hAnsi="宋体" w:eastAsia="宋体"/>
          <w:b/>
          <w:i w:val="0"/>
          <w:color w:val="1A1A1A"/>
          <w:sz w:val="24"/>
        </w:rPr>
        <w:t>（4）隐私上的确定性。</w:t>
      </w:r>
      <w:r>
        <w:rPr>
          <w:rFonts w:ascii="宋体" w:hAnsi="宋体" w:eastAsia="宋体"/>
          <w:b w:val="0"/>
          <w:i w:val="0"/>
          <w:color w:val="1A1A1A"/>
          <w:sz w:val="24"/>
        </w:rPr>
        <w:t xml:space="preserve"> 档案不出浏览器、图片不落盘、敏感信息前置脱敏。用户不必用隐私换取安全。</w:t>
      </w:r>
    </w:p>
    <w:p>
      <w:pPr>
        <w:keepNext/>
        <w:spacing w:before="280" w:after="120" w:line="324" w:lineRule="auto"/>
        <w:jc w:val="left"/>
      </w:pPr>
      <w:r>
        <w:rPr>
          <w:rFonts w:ascii="黑体" w:hAnsi="黑体" w:eastAsia="黑体"/>
          <w:b/>
          <w:i w:val="0"/>
          <w:color w:val="000000"/>
          <w:sz w:val="27"/>
        </w:rPr>
        <w:t>2. 社会价值</w:t>
      </w:r>
    </w:p>
    <w:p>
      <w:pPr>
        <w:keepNext w:val="0"/>
        <w:spacing w:before="0" w:after="60" w:line="360" w:lineRule="auto"/>
        <w:ind w:firstLine="480"/>
        <w:jc w:val="both"/>
      </w:pPr>
      <w:r>
        <w:rPr>
          <w:rFonts w:ascii="宋体" w:hAnsi="宋体" w:eastAsia="宋体"/>
          <w:b/>
          <w:i w:val="0"/>
          <w:color w:val="1A1A1A"/>
          <w:sz w:val="24"/>
        </w:rPr>
        <w:t>（1）直接服务于国家反诈与投资者保护工作的薄弱环节。</w:t>
      </w:r>
      <w:r>
        <w:rPr>
          <w:rFonts w:ascii="宋体" w:hAnsi="宋体" w:eastAsia="宋体"/>
          <w:b w:val="0"/>
          <w:i w:val="0"/>
          <w:color w:val="1A1A1A"/>
          <w:sz w:val="24"/>
        </w:rPr>
        <w:t xml:space="preserve"> 现有反诈手段作用于通讯与交易层，而投资理财骗局的入口在内容与话术层——这是一个明确的能力空白，我们填的正是这一格。且我们盯的是官方点名的十类高发诈骗类型之一（「虚假网络投资理财」位列第二）。</w:t>
      </w:r>
    </w:p>
    <w:p>
      <w:pPr>
        <w:keepNext w:val="0"/>
        <w:spacing w:before="0" w:after="60" w:line="360" w:lineRule="auto"/>
        <w:ind w:firstLine="480"/>
        <w:jc w:val="both"/>
      </w:pPr>
      <w:r>
        <w:rPr>
          <w:rFonts w:ascii="宋体" w:hAnsi="宋体" w:eastAsia="宋体"/>
          <w:b/>
          <w:i w:val="0"/>
          <w:color w:val="1A1A1A"/>
          <w:sz w:val="24"/>
        </w:rPr>
        <w:t>（2）保护重点人群，尤其是中老年群体。</w:t>
      </w:r>
      <w:r>
        <w:rPr>
          <w:rFonts w:ascii="宋体" w:hAnsi="宋体" w:eastAsia="宋体"/>
          <w:b w:val="0"/>
          <w:i w:val="0"/>
          <w:color w:val="1A1A1A"/>
          <w:sz w:val="24"/>
        </w:rPr>
        <w:t xml:space="preserve"> 46 岁以上占六成、60 岁以上占二成的受害者结构，与我们的适老化设计和骗局图鉴的内容重点直接对应。</w:t>
      </w:r>
    </w:p>
    <w:p>
      <w:pPr>
        <w:keepNext w:val="0"/>
        <w:spacing w:before="0" w:after="60" w:line="360" w:lineRule="auto"/>
        <w:ind w:firstLine="480"/>
        <w:jc w:val="both"/>
      </w:pPr>
      <w:r>
        <w:rPr>
          <w:rFonts w:ascii="宋体" w:hAnsi="宋体" w:eastAsia="宋体"/>
          <w:b/>
          <w:i w:val="0"/>
          <w:color w:val="1A1A1A"/>
          <w:sz w:val="24"/>
        </w:rPr>
        <w:t>（3）提升全民金融素养，且路径成本极低。</w:t>
      </w:r>
      <w:r>
        <w:rPr>
          <w:rFonts w:ascii="宋体" w:hAnsi="宋体" w:eastAsia="宋体"/>
          <w:b w:val="0"/>
          <w:i w:val="0"/>
          <w:color w:val="1A1A1A"/>
          <w:sz w:val="24"/>
        </w:rPr>
        <w:t xml:space="preserve"> 素养提升是识别行为的副产品，不需要用户额外投入学习时间。这使普惠金融教育第一次具备了「零动机触达」的可能。</w:t>
      </w:r>
    </w:p>
    <w:p>
      <w:pPr>
        <w:keepNext w:val="0"/>
        <w:spacing w:before="0" w:after="60" w:line="360" w:lineRule="auto"/>
        <w:ind w:firstLine="480"/>
        <w:jc w:val="both"/>
      </w:pPr>
      <w:r>
        <w:rPr>
          <w:rFonts w:ascii="宋体" w:hAnsi="宋体" w:eastAsia="宋体"/>
          <w:b/>
          <w:i w:val="0"/>
          <w:color w:val="1A1A1A"/>
          <w:sz w:val="24"/>
        </w:rPr>
        <w:t>（4）替代低效的传统宣传手段。</w:t>
      </w:r>
      <w:r>
        <w:rPr>
          <w:rFonts w:ascii="宋体" w:hAnsi="宋体" w:eastAsia="宋体"/>
          <w:b w:val="0"/>
          <w:i w:val="0"/>
          <w:color w:val="1A1A1A"/>
          <w:sz w:val="24"/>
        </w:rPr>
        <w:t xml:space="preserve"> 社区反诈宣传目前主要依靠发传单、贴海报、开讲座，效果难以衡量。我们提供的是可交互、可留痕、可出效果报告的工具——</w:t>
      </w:r>
      <w:r>
        <w:rPr>
          <w:rFonts w:ascii="宋体" w:hAnsi="宋体" w:eastAsia="宋体"/>
          <w:b/>
          <w:i w:val="0"/>
          <w:color w:val="1A1A1A"/>
          <w:sz w:val="24"/>
        </w:rPr>
        <w:t>同样的财政投入，产出可被衡量。</w:t>
      </w:r>
    </w:p>
    <w:p>
      <w:pPr>
        <w:keepNext/>
        <w:spacing w:before="280" w:after="120" w:line="324" w:lineRule="auto"/>
        <w:jc w:val="left"/>
      </w:pPr>
      <w:r>
        <w:rPr>
          <w:rFonts w:ascii="黑体" w:hAnsi="黑体" w:eastAsia="黑体"/>
          <w:b/>
          <w:i w:val="0"/>
          <w:color w:val="000000"/>
          <w:sz w:val="27"/>
        </w:rPr>
        <w:t>3. 行业价值</w:t>
      </w:r>
    </w:p>
    <w:p>
      <w:pPr>
        <w:keepNext w:val="0"/>
        <w:spacing w:before="0" w:after="60" w:line="360" w:lineRule="auto"/>
        <w:ind w:firstLine="480"/>
        <w:jc w:val="both"/>
      </w:pPr>
      <w:r>
        <w:rPr>
          <w:rFonts w:ascii="宋体" w:hAnsi="宋体" w:eastAsia="宋体"/>
          <w:b/>
          <w:i w:val="0"/>
          <w:color w:val="1A1A1A"/>
          <w:sz w:val="24"/>
        </w:rPr>
        <w:t>（1）为持牌机构提供一套可复用的合规工具。</w:t>
      </w:r>
      <w:r>
        <w:rPr>
          <w:rFonts w:ascii="宋体" w:hAnsi="宋体" w:eastAsia="宋体"/>
          <w:b w:val="0"/>
          <w:i w:val="0"/>
          <w:color w:val="1A1A1A"/>
          <w:sz w:val="24"/>
        </w:rPr>
        <w:t xml:space="preserve"> 投资者适当性管理与投资者教育是监管硬性义务，需要留痕、需要可考核。我们把持牌机构内部才有的「违规话术核对表」产品化，并配套活动数据报告。</w:t>
      </w:r>
      <w:r>
        <w:rPr>
          <w:rFonts w:ascii="宋体" w:hAnsi="宋体" w:eastAsia="宋体"/>
          <w:b/>
          <w:i w:val="0"/>
          <w:color w:val="1A1A1A"/>
          <w:sz w:val="24"/>
        </w:rPr>
        <w:t>我们不比机构的合规人员判断得准，我们比人快且可及——银行合规人员不会 24 小时守着帮一位老人看她微信里转来的一张图。</w:t>
      </w:r>
    </w:p>
    <w:p>
      <w:pPr>
        <w:keepNext w:val="0"/>
        <w:spacing w:before="0" w:after="60" w:line="360" w:lineRule="auto"/>
        <w:ind w:firstLine="480"/>
        <w:jc w:val="both"/>
      </w:pPr>
      <w:r>
        <w:rPr>
          <w:rFonts w:ascii="宋体" w:hAnsi="宋体" w:eastAsia="宋体"/>
          <w:b/>
          <w:i w:val="0"/>
          <w:color w:val="1A1A1A"/>
          <w:sz w:val="24"/>
        </w:rPr>
        <w:t>（2）沉淀一份可持续更新的公共知识资产。</w:t>
      </w:r>
      <w:r>
        <w:rPr>
          <w:rFonts w:ascii="宋体" w:hAnsi="宋体" w:eastAsia="宋体"/>
          <w:b w:val="0"/>
          <w:i w:val="0"/>
          <w:color w:val="1A1A1A"/>
          <w:sz w:val="24"/>
        </w:rPr>
        <w:t xml:space="preserve"> 违规话术特征库、法规条文库、骗局剧本库全部结构化、可版本控制、可溯源。C 端上传沉淀的脱敏话术特征持续反哺规则库，形成「用得越多，识别越准」的正向循环。</w:t>
      </w:r>
    </w:p>
    <w:p>
      <w:pPr>
        <w:keepNext w:val="0"/>
        <w:spacing w:before="0" w:after="60" w:line="360" w:lineRule="auto"/>
        <w:ind w:firstLine="480"/>
        <w:jc w:val="both"/>
      </w:pPr>
      <w:r>
        <w:rPr>
          <w:rFonts w:ascii="宋体" w:hAnsi="宋体" w:eastAsia="宋体"/>
          <w:b/>
          <w:i w:val="0"/>
          <w:color w:val="1A1A1A"/>
          <w:sz w:val="24"/>
        </w:rPr>
        <w:t>（3）提供一种可复制的合规 AI 产品范式。</w:t>
      </w:r>
      <w:r>
        <w:rPr>
          <w:rFonts w:ascii="宋体" w:hAnsi="宋体" w:eastAsia="宋体"/>
          <w:b w:val="0"/>
          <w:i w:val="0"/>
          <w:color w:val="1A1A1A"/>
          <w:sz w:val="24"/>
        </w:rPr>
        <w:t xml:space="preserve"> 「判定归规则，转述归模型 + 输出确定性审查」这套架构不限于反诈场景，可直接迁移到保险销售话术审查、广告合规预审、贷款营销文案审核等一切「模型不可自由裁量」的金融合规场景。</w:t>
      </w:r>
    </w:p>
    <w:p>
      <w:pPr>
        <w:keepNext/>
        <w:spacing w:before="280" w:after="120" w:line="324" w:lineRule="auto"/>
        <w:jc w:val="left"/>
      </w:pPr>
      <w:r>
        <w:rPr>
          <w:rFonts w:ascii="黑体" w:hAnsi="黑体" w:eastAsia="黑体"/>
          <w:b/>
          <w:i w:val="0"/>
          <w:color w:val="000000"/>
          <w:sz w:val="27"/>
        </w:rPr>
        <w:t>4. 技术价值</w:t>
      </w:r>
    </w:p>
    <w:p>
      <w:pPr>
        <w:keepNext w:val="0"/>
        <w:spacing w:before="0" w:after="60" w:line="360" w:lineRule="auto"/>
        <w:ind w:firstLine="480"/>
        <w:jc w:val="both"/>
      </w:pPr>
      <w:r>
        <w:rPr>
          <w:rFonts w:ascii="宋体" w:hAnsi="宋体" w:eastAsia="宋体"/>
          <w:b/>
          <w:i w:val="0"/>
          <w:color w:val="1A1A1A"/>
          <w:sz w:val="24"/>
        </w:rPr>
        <w:t>（1）给出了一个「让模型输出可验证，而不是可信任」的工程范式。</w:t>
      </w:r>
      <w:r>
        <w:rPr>
          <w:rFonts w:ascii="宋体" w:hAnsi="宋体" w:eastAsia="宋体"/>
          <w:b w:val="0"/>
          <w:i w:val="0"/>
          <w:color w:val="1A1A1A"/>
          <w:sz w:val="24"/>
        </w:rPr>
        <w:t xml:space="preserve"> 语义通道的三条硬约束（不得自创类别、引文必须真实存在、共用同一套语境排除标准）配合输出审查层与编造数字检测，构成一套完整的做法：</w:t>
      </w:r>
      <w:r>
        <w:rPr>
          <w:rFonts w:ascii="宋体" w:hAnsi="宋体" w:eastAsia="宋体"/>
          <w:b/>
          <w:i w:val="0"/>
          <w:color w:val="1A1A1A"/>
          <w:sz w:val="24"/>
        </w:rPr>
        <w:t>不试图让模型变听话，而是让每一条模型输出都必须通过可验证的校验才被采纳。</w:t>
      </w:r>
      <w:r>
        <w:rPr>
          <w:rFonts w:ascii="宋体" w:hAnsi="宋体" w:eastAsia="宋体"/>
          <w:b w:val="0"/>
          <w:i w:val="0"/>
          <w:color w:val="1A1A1A"/>
          <w:sz w:val="24"/>
        </w:rPr>
        <w:t xml:space="preserve"> 语义校验层有 11 例单元测试，用假 provider 喂各种「模型可能给出的坏输出」，逐一验证拦得住。</w:t>
      </w:r>
    </w:p>
    <w:tbl>
      <w:tblPr>
        <w:tblStyle w:val="TableGrid"/>
        <w:tblW w:type="auto" w:w="0"/>
        <w:jc w:val="center"/>
        <w:tblLayout w:type="fixed"/>
        <w:tblLook w:firstColumn="1" w:firstRow="1" w:lastColumn="0" w:lastRow="0" w:noHBand="0" w:noVBand="1" w:val="04A0"/>
      </w:tblPr>
      <w:tblGrid>
        <w:gridCol w:w="4252"/>
        <w:gridCol w:w="4252"/>
      </w:tblGrid>
      <w:tr>
        <w:tc>
          <w:tcPr>
            <w:tcW w:type="dxa" w:w="5818"/>
            <w:shd w:fill="F2F2F2"/>
          </w:tcPr>
          <w:p>
            <w:pPr>
              <w:spacing w:after="20" w:before="20" w:line="276" w:lineRule="auto"/>
              <w:jc w:val="center"/>
            </w:pPr>
            <w:r/>
            <w:r>
              <w:rPr>
                <w:rFonts w:ascii="黑体" w:hAnsi="黑体" w:eastAsia="黑体"/>
                <w:b/>
                <w:i w:val="0"/>
                <w:color w:val="000000"/>
                <w:sz w:val="19"/>
              </w:rPr>
              <w:t>模型可能给出的坏输出</w:t>
            </w:r>
          </w:p>
        </w:tc>
        <w:tc>
          <w:tcPr>
            <w:tcW w:type="dxa" w:w="2685"/>
            <w:shd w:fill="F2F2F2"/>
          </w:tcPr>
          <w:p>
            <w:pPr>
              <w:spacing w:after="20" w:before="20" w:line="276" w:lineRule="auto"/>
              <w:jc w:val="center"/>
            </w:pPr>
            <w:r/>
            <w:r>
              <w:rPr>
                <w:rFonts w:ascii="黑体" w:hAnsi="黑体" w:eastAsia="黑体"/>
                <w:b/>
                <w:i w:val="0"/>
                <w:color w:val="000000"/>
                <w:sz w:val="19"/>
              </w:rPr>
              <w:t>校验层结果</w:t>
            </w:r>
          </w:p>
        </w:tc>
      </w:tr>
      <w:tr>
        <w:tc>
          <w:tcPr>
            <w:tcW w:type="dxa" w:w="5818"/>
          </w:tcPr>
          <w:p>
            <w:pPr>
              <w:spacing w:after="20" w:before="20" w:line="276" w:lineRule="auto"/>
            </w:pPr>
            <w:r/>
            <w:r>
              <w:rPr>
                <w:rFonts w:ascii="宋体" w:hAnsi="宋体" w:eastAsia="宋体"/>
                <w:b w:val="0"/>
                <w:i w:val="0"/>
                <w:color w:val="1A1A1A"/>
                <w:sz w:val="19"/>
              </w:rPr>
              <w:t>引文经过改写、不在原文中</w:t>
            </w:r>
          </w:p>
        </w:tc>
        <w:tc>
          <w:tcPr>
            <w:tcW w:type="dxa" w:w="2685"/>
          </w:tcPr>
          <w:p>
            <w:pPr>
              <w:spacing w:after="20" w:before="20" w:line="276" w:lineRule="auto"/>
            </w:pPr>
            <w:r/>
            <w:r>
              <w:rPr>
                <w:rFonts w:ascii="宋体" w:hAnsi="宋体" w:eastAsia="宋体"/>
                <w:b w:val="0"/>
                <w:i w:val="0"/>
                <w:color w:val="1A1A1A"/>
                <w:sz w:val="19"/>
              </w:rPr>
              <w:t>丢弃</w:t>
            </w:r>
          </w:p>
        </w:tc>
      </w:tr>
      <w:tr>
        <w:tc>
          <w:tcPr>
            <w:tcW w:type="dxa" w:w="5818"/>
          </w:tcPr>
          <w:p>
            <w:pPr>
              <w:spacing w:after="20" w:before="20" w:line="276" w:lineRule="auto"/>
            </w:pPr>
            <w:r/>
            <w:r>
              <w:rPr>
                <w:rFonts w:ascii="宋体" w:hAnsi="宋体" w:eastAsia="宋体"/>
                <w:b w:val="0"/>
                <w:i w:val="0"/>
                <w:color w:val="1A1A1A"/>
                <w:sz w:val="19"/>
              </w:rPr>
              <w:t>自创特征类别</w:t>
            </w:r>
          </w:p>
        </w:tc>
        <w:tc>
          <w:tcPr>
            <w:tcW w:type="dxa" w:w="2685"/>
          </w:tcPr>
          <w:p>
            <w:pPr>
              <w:spacing w:after="20" w:before="20" w:line="276" w:lineRule="auto"/>
            </w:pPr>
            <w:r/>
            <w:r>
              <w:rPr>
                <w:rFonts w:ascii="宋体" w:hAnsi="宋体" w:eastAsia="宋体"/>
                <w:b w:val="0"/>
                <w:i w:val="0"/>
                <w:color w:val="1A1A1A"/>
                <w:sz w:val="19"/>
              </w:rPr>
              <w:t>丢弃</w:t>
            </w:r>
          </w:p>
        </w:tc>
      </w:tr>
      <w:tr>
        <w:tc>
          <w:tcPr>
            <w:tcW w:type="dxa" w:w="5818"/>
          </w:tcPr>
          <w:p>
            <w:pPr>
              <w:spacing w:after="20" w:before="20" w:line="276" w:lineRule="auto"/>
            </w:pPr>
            <w:r/>
            <w:r>
              <w:rPr>
                <w:rFonts w:ascii="宋体" w:hAnsi="宋体" w:eastAsia="宋体"/>
                <w:b w:val="0"/>
                <w:i w:val="0"/>
                <w:color w:val="1A1A1A"/>
                <w:sz w:val="19"/>
              </w:rPr>
              <w:t>低置信度 / 硬性违规仅标 medium</w:t>
            </w:r>
          </w:p>
        </w:tc>
        <w:tc>
          <w:tcPr>
            <w:tcW w:type="dxa" w:w="2685"/>
          </w:tcPr>
          <w:p>
            <w:pPr>
              <w:spacing w:after="20" w:before="20" w:line="276" w:lineRule="auto"/>
            </w:pPr>
            <w:r/>
            <w:r>
              <w:rPr>
                <w:rFonts w:ascii="宋体" w:hAnsi="宋体" w:eastAsia="宋体"/>
                <w:b w:val="0"/>
                <w:i w:val="0"/>
                <w:color w:val="1A1A1A"/>
                <w:sz w:val="19"/>
              </w:rPr>
              <w:t>丢弃</w:t>
            </w:r>
          </w:p>
        </w:tc>
      </w:tr>
      <w:tr>
        <w:tc>
          <w:tcPr>
            <w:tcW w:type="dxa" w:w="5818"/>
          </w:tcPr>
          <w:p>
            <w:pPr>
              <w:spacing w:after="20" w:before="20" w:line="276" w:lineRule="auto"/>
            </w:pPr>
            <w:r/>
            <w:r>
              <w:rPr>
                <w:rFonts w:ascii="宋体" w:hAnsi="宋体" w:eastAsia="宋体"/>
                <w:b w:val="0"/>
                <w:i w:val="0"/>
                <w:color w:val="1A1A1A"/>
                <w:sz w:val="19"/>
              </w:rPr>
              <w:t>命中处于否定语境或科普语境</w:t>
            </w:r>
          </w:p>
        </w:tc>
        <w:tc>
          <w:tcPr>
            <w:tcW w:type="dxa" w:w="2685"/>
          </w:tcPr>
          <w:p>
            <w:pPr>
              <w:spacing w:after="20" w:before="20" w:line="276" w:lineRule="auto"/>
            </w:pPr>
            <w:r/>
            <w:r>
              <w:rPr>
                <w:rFonts w:ascii="宋体" w:hAnsi="宋体" w:eastAsia="宋体"/>
                <w:b w:val="0"/>
                <w:i w:val="0"/>
                <w:color w:val="1A1A1A"/>
                <w:sz w:val="19"/>
              </w:rPr>
              <w:t>丢弃</w:t>
            </w:r>
          </w:p>
        </w:tc>
      </w:tr>
      <w:tr>
        <w:tc>
          <w:tcPr>
            <w:tcW w:type="dxa" w:w="5818"/>
          </w:tcPr>
          <w:p>
            <w:pPr>
              <w:spacing w:after="20" w:before="20" w:line="276" w:lineRule="auto"/>
            </w:pPr>
            <w:r/>
            <w:r>
              <w:rPr>
                <w:rFonts w:ascii="宋体" w:hAnsi="宋体" w:eastAsia="宋体"/>
                <w:b w:val="0"/>
                <w:i w:val="0"/>
                <w:color w:val="1A1A1A"/>
                <w:sz w:val="19"/>
              </w:rPr>
              <w:t>与规则通道同片段但标了别的特征</w:t>
            </w:r>
          </w:p>
        </w:tc>
        <w:tc>
          <w:tcPr>
            <w:tcW w:type="dxa" w:w="2685"/>
          </w:tcPr>
          <w:p>
            <w:pPr>
              <w:spacing w:after="20" w:before="20" w:line="276" w:lineRule="auto"/>
            </w:pPr>
            <w:r/>
            <w:r>
              <w:rPr>
                <w:rFonts w:ascii="宋体" w:hAnsi="宋体" w:eastAsia="宋体"/>
                <w:b w:val="0"/>
                <w:i w:val="0"/>
                <w:color w:val="1A1A1A"/>
                <w:sz w:val="19"/>
              </w:rPr>
              <w:t>丢弃</w:t>
            </w:r>
          </w:p>
        </w:tc>
      </w:tr>
      <w:tr>
        <w:tc>
          <w:tcPr>
            <w:tcW w:type="dxa" w:w="5818"/>
          </w:tcPr>
          <w:p>
            <w:pPr>
              <w:spacing w:after="20" w:before="20" w:line="276" w:lineRule="auto"/>
            </w:pPr>
            <w:r/>
            <w:r>
              <w:rPr>
                <w:rFonts w:ascii="宋体" w:hAnsi="宋体" w:eastAsia="宋体"/>
                <w:b w:val="0"/>
                <w:i w:val="0"/>
                <w:color w:val="1A1A1A"/>
                <w:sz w:val="19"/>
              </w:rPr>
              <w:t>非 JSON 输出</w:t>
            </w:r>
          </w:p>
        </w:tc>
        <w:tc>
          <w:tcPr>
            <w:tcW w:type="dxa" w:w="2685"/>
          </w:tcPr>
          <w:p>
            <w:pPr>
              <w:spacing w:after="20" w:before="20" w:line="276" w:lineRule="auto"/>
            </w:pPr>
            <w:r/>
            <w:r>
              <w:rPr>
                <w:rFonts w:ascii="宋体" w:hAnsi="宋体" w:eastAsia="宋体"/>
                <w:b w:val="0"/>
                <w:i w:val="0"/>
                <w:color w:val="1A1A1A"/>
                <w:sz w:val="19"/>
              </w:rPr>
              <w:t>安全降级为零命中</w:t>
            </w:r>
          </w:p>
        </w:tc>
      </w:tr>
      <w:tr>
        <w:tc>
          <w:tcPr>
            <w:tcW w:type="dxa" w:w="5818"/>
          </w:tcPr>
          <w:p>
            <w:pPr>
              <w:spacing w:after="20" w:before="20" w:line="276" w:lineRule="auto"/>
            </w:pPr>
            <w:r/>
            <w:r>
              <w:rPr>
                <w:rFonts w:ascii="宋体" w:hAnsi="宋体" w:eastAsia="宋体"/>
                <w:b w:val="0"/>
                <w:i w:val="0"/>
                <w:color w:val="1A1A1A"/>
                <w:sz w:val="19"/>
              </w:rPr>
              <w:t>带 markdown 代码块的 JSON</w:t>
            </w:r>
          </w:p>
        </w:tc>
        <w:tc>
          <w:tcPr>
            <w:tcW w:type="dxa" w:w="2685"/>
          </w:tcPr>
          <w:p>
            <w:pPr>
              <w:spacing w:after="20" w:before="20" w:line="276" w:lineRule="auto"/>
            </w:pPr>
            <w:r/>
            <w:r>
              <w:rPr>
                <w:rFonts w:ascii="宋体" w:hAnsi="宋体" w:eastAsia="宋体"/>
                <w:b w:val="0"/>
                <w:i w:val="0"/>
                <w:color w:val="1A1A1A"/>
                <w:sz w:val="19"/>
              </w:rPr>
              <w:t>仍能正确解析</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13　语义通道校验层的 11 例单元测试（摘要）</w:t>
      </w:r>
    </w:p>
    <w:p>
      <w:pPr>
        <w:keepNext w:val="0"/>
        <w:spacing w:before="0" w:after="60" w:line="360" w:lineRule="auto"/>
        <w:ind w:firstLine="480"/>
        <w:jc w:val="both"/>
      </w:pPr>
      <w:r>
        <w:rPr>
          <w:rFonts w:ascii="宋体" w:hAnsi="宋体" w:eastAsia="宋体"/>
          <w:b/>
          <w:i w:val="0"/>
          <w:color w:val="1A1A1A"/>
          <w:sz w:val="24"/>
        </w:rPr>
        <w:t>（2）模型无关架构带来的部署自由度。</w:t>
      </w:r>
      <w:r>
        <w:rPr>
          <w:rFonts w:ascii="宋体" w:hAnsi="宋体" w:eastAsia="宋体"/>
          <w:b w:val="0"/>
          <w:i w:val="0"/>
          <w:color w:val="1A1A1A"/>
          <w:sz w:val="24"/>
        </w:rPr>
        <w:t xml:space="preserve"> 判定逻辑外置于规则库，换模型不改变判定结果，因此可按机构合规要求私有化部署、可替换为自有模型。在 B 端场景里，这句话很值钱。</w:t>
      </w:r>
    </w:p>
    <w:p>
      <w:pPr>
        <w:keepNext w:val="0"/>
        <w:spacing w:before="0" w:after="60" w:line="360" w:lineRule="auto"/>
        <w:ind w:firstLine="480"/>
        <w:jc w:val="both"/>
      </w:pPr>
      <w:r>
        <w:rPr>
          <w:rFonts w:ascii="宋体" w:hAnsi="宋体" w:eastAsia="宋体"/>
          <w:b/>
          <w:i w:val="0"/>
          <w:color w:val="1A1A1A"/>
          <w:sz w:val="24"/>
        </w:rPr>
        <w:t>（3）「误判比漏判更致命」的工程纪律与其可复用的实现。</w:t>
      </w:r>
      <w:r>
        <w:rPr>
          <w:rFonts w:ascii="宋体" w:hAnsi="宋体" w:eastAsia="宋体"/>
          <w:b w:val="0"/>
          <w:i w:val="0"/>
          <w:color w:val="1A1A1A"/>
          <w:sz w:val="24"/>
        </w:rPr>
        <w:t xml:space="preserve"> 三层误判防护（否定语境的分句级、科普语境的整句级、合法术语白名单）及其粒度的确定过程，配合「用正规产品做反向对照样本」的回归测试方法，是一套可直接被其他合规检测项目借用的做法。</w:t>
      </w:r>
    </w:p>
    <w:p>
      <w:pPr>
        <w:keepNext w:val="0"/>
        <w:spacing w:before="0" w:after="60" w:line="360" w:lineRule="auto"/>
        <w:ind w:firstLine="480"/>
        <w:jc w:val="both"/>
      </w:pPr>
      <w:r>
        <w:rPr>
          <w:rFonts w:ascii="宋体" w:hAnsi="宋体" w:eastAsia="宋体"/>
          <w:b/>
          <w:i w:val="0"/>
          <w:color w:val="1A1A1A"/>
          <w:sz w:val="24"/>
        </w:rPr>
        <w:t>（4）完整的可核查性。</w:t>
      </w:r>
      <w:r>
        <w:rPr>
          <w:rFonts w:ascii="宋体" w:hAnsi="宋体" w:eastAsia="宋体"/>
          <w:b w:val="0"/>
          <w:i w:val="0"/>
          <w:color w:val="1A1A1A"/>
          <w:sz w:val="24"/>
        </w:rPr>
        <w:t xml:space="preserve"> 843 项自动化断言、14 条逐字核对并附来源链接的法规条文、全过程记录的核对台账。</w:t>
      </w:r>
      <w:r>
        <w:rPr>
          <w:rFonts w:ascii="宋体" w:hAnsi="宋体" w:eastAsia="宋体"/>
          <w:b/>
          <w:i w:val="0"/>
          <w:color w:val="1A1A1A"/>
          <w:sz w:val="24"/>
        </w:rPr>
        <w:t>创新点若不能被检验，就只是说法。</w:t>
      </w:r>
    </w:p>
    <w:p>
      <w:r>
        <w:br w:type="page"/>
      </w:r>
    </w:p>
    <w:p>
      <w:pPr>
        <w:keepNext/>
        <w:spacing w:before="400" w:after="200" w:line="324" w:lineRule="auto"/>
        <w:jc w:val="left"/>
      </w:pPr>
      <w:r>
        <w:rPr>
          <w:rFonts w:ascii="黑体" w:hAnsi="黑体" w:eastAsia="黑体"/>
          <w:b/>
          <w:i w:val="0"/>
          <w:color w:val="000000"/>
          <w:sz w:val="32"/>
        </w:rPr>
        <w:t>十、商业落地路径</w:t>
      </w:r>
    </w:p>
    <w:p>
      <w:pPr>
        <w:keepNext/>
        <w:spacing w:before="280" w:after="120" w:line="324" w:lineRule="auto"/>
        <w:jc w:val="left"/>
      </w:pPr>
      <w:r>
        <w:rPr>
          <w:rFonts w:ascii="黑体" w:hAnsi="黑体" w:eastAsia="黑体"/>
          <w:b/>
          <w:i w:val="0"/>
          <w:color w:val="000000"/>
          <w:sz w:val="27"/>
        </w:rPr>
        <w:t>1. 目标用户与市场分析</w:t>
      </w:r>
    </w:p>
    <w:p>
      <w:pPr>
        <w:keepNext w:val="0"/>
        <w:spacing w:before="0" w:after="60" w:line="360" w:lineRule="auto"/>
        <w:ind w:firstLine="480"/>
        <w:jc w:val="both"/>
      </w:pPr>
      <w:r>
        <w:rPr>
          <w:rFonts w:ascii="宋体" w:hAnsi="宋体" w:eastAsia="宋体"/>
          <w:b/>
          <w:i w:val="0"/>
          <w:color w:val="1A1A1A"/>
          <w:sz w:val="24"/>
        </w:rPr>
        <w:t>C 端目标用户的共同特征是：手里有钱、辨别力差、且高频接触理财广告。</w:t>
      </w:r>
      <w:r>
        <w:rPr>
          <w:rFonts w:ascii="宋体" w:hAnsi="宋体" w:eastAsia="宋体"/>
          <w:b w:val="0"/>
          <w:i w:val="0"/>
          <w:color w:val="1A1A1A"/>
          <w:sz w:val="24"/>
        </w:rPr>
        <w:t xml:space="preserve"> 三者同时成立时风险最高，这也是我们的定向依据。</w:t>
      </w:r>
    </w:p>
    <w:tbl>
      <w:tblPr>
        <w:tblStyle w:val="TableGrid"/>
        <w:tblW w:type="auto" w:w="0"/>
        <w:jc w:val="center"/>
        <w:tblLayout w:type="fixed"/>
        <w:tblLook w:firstColumn="1" w:firstRow="1" w:lastColumn="0" w:lastRow="0" w:noHBand="0" w:noVBand="1" w:val="04A0"/>
      </w:tblPr>
      <w:tblGrid>
        <w:gridCol w:w="2126"/>
        <w:gridCol w:w="2126"/>
        <w:gridCol w:w="2126"/>
        <w:gridCol w:w="2126"/>
      </w:tblGrid>
      <w:tr>
        <w:tc>
          <w:tcPr>
            <w:tcW w:type="dxa" w:w="1441"/>
            <w:shd w:fill="F2F2F2"/>
          </w:tcPr>
          <w:p>
            <w:pPr>
              <w:spacing w:after="20" w:before="20" w:line="276" w:lineRule="auto"/>
              <w:jc w:val="center"/>
            </w:pPr>
            <w:r/>
            <w:r>
              <w:rPr>
                <w:rFonts w:ascii="黑体" w:hAnsi="黑体" w:eastAsia="黑体"/>
                <w:b/>
                <w:i w:val="0"/>
                <w:color w:val="000000"/>
                <w:sz w:val="19"/>
              </w:rPr>
              <w:t>人群</w:t>
            </w:r>
          </w:p>
        </w:tc>
        <w:tc>
          <w:tcPr>
            <w:tcW w:type="dxa" w:w="2306"/>
            <w:shd w:fill="F2F2F2"/>
          </w:tcPr>
          <w:p>
            <w:pPr>
              <w:spacing w:after="20" w:before="20" w:line="276" w:lineRule="auto"/>
              <w:jc w:val="center"/>
            </w:pPr>
            <w:r/>
            <w:r>
              <w:rPr>
                <w:rFonts w:ascii="黑体" w:hAnsi="黑体" w:eastAsia="黑体"/>
                <w:b/>
                <w:i w:val="0"/>
                <w:color w:val="000000"/>
                <w:sz w:val="19"/>
              </w:rPr>
              <w:t>特征</w:t>
            </w:r>
          </w:p>
        </w:tc>
        <w:tc>
          <w:tcPr>
            <w:tcW w:type="dxa" w:w="2306"/>
            <w:shd w:fill="F2F2F2"/>
          </w:tcPr>
          <w:p>
            <w:pPr>
              <w:spacing w:after="20" w:before="20" w:line="276" w:lineRule="auto"/>
              <w:jc w:val="center"/>
            </w:pPr>
            <w:r/>
            <w:r>
              <w:rPr>
                <w:rFonts w:ascii="黑体" w:hAnsi="黑体" w:eastAsia="黑体"/>
                <w:b/>
                <w:i w:val="0"/>
                <w:color w:val="000000"/>
                <w:sz w:val="19"/>
              </w:rPr>
              <w:t>为什么是我们的用户</w:t>
            </w:r>
          </w:p>
        </w:tc>
        <w:tc>
          <w:tcPr>
            <w:tcW w:type="dxa" w:w="2450"/>
            <w:shd w:fill="F2F2F2"/>
          </w:tcPr>
          <w:p>
            <w:pPr>
              <w:spacing w:after="20" w:before="20" w:line="276" w:lineRule="auto"/>
              <w:jc w:val="center"/>
            </w:pPr>
            <w:r/>
            <w:r>
              <w:rPr>
                <w:rFonts w:ascii="黑体" w:hAnsi="黑体" w:eastAsia="黑体"/>
                <w:b/>
                <w:i w:val="0"/>
                <w:color w:val="000000"/>
                <w:sz w:val="19"/>
              </w:rPr>
              <w:t>典型画像</w:t>
            </w:r>
          </w:p>
        </w:tc>
      </w:tr>
      <w:tr>
        <w:tc>
          <w:tcPr>
            <w:tcW w:type="dxa" w:w="1441"/>
          </w:tcPr>
          <w:p>
            <w:pPr>
              <w:spacing w:after="20" w:before="20" w:line="276" w:lineRule="auto"/>
            </w:pPr>
            <w:r/>
            <w:r>
              <w:rPr>
                <w:rFonts w:ascii="宋体" w:hAnsi="宋体" w:eastAsia="宋体"/>
                <w:b w:val="0"/>
                <w:i w:val="0"/>
                <w:color w:val="1A1A1A"/>
                <w:sz w:val="18"/>
              </w:rPr>
              <w:t>有一定闲钱的大学生与初入职场者</w:t>
            </w:r>
          </w:p>
        </w:tc>
        <w:tc>
          <w:tcPr>
            <w:tcW w:type="dxa" w:w="2306"/>
          </w:tcPr>
          <w:p>
            <w:pPr>
              <w:spacing w:after="20" w:before="20" w:line="276" w:lineRule="auto"/>
            </w:pPr>
            <w:r/>
            <w:r>
              <w:rPr>
                <w:rFonts w:ascii="宋体" w:hAnsi="宋体" w:eastAsia="宋体"/>
                <w:b w:val="0"/>
                <w:i w:val="0"/>
                <w:color w:val="1A1A1A"/>
                <w:sz w:val="18"/>
              </w:rPr>
              <w:t>本金不多但储蓄意愿强；对高息返利结构毫无认知；常已在使用分期消费而不知真实成本</w:t>
            </w:r>
          </w:p>
        </w:tc>
        <w:tc>
          <w:tcPr>
            <w:tcW w:type="dxa" w:w="2306"/>
          </w:tcPr>
          <w:p>
            <w:pPr>
              <w:spacing w:after="20" w:before="20" w:line="276" w:lineRule="auto"/>
            </w:pPr>
            <w:r/>
            <w:r>
              <w:rPr>
                <w:rFonts w:ascii="宋体" w:hAnsi="宋体" w:eastAsia="宋体"/>
                <w:b w:val="0"/>
                <w:i w:val="0"/>
                <w:color w:val="1A1A1A"/>
                <w:sz w:val="18"/>
              </w:rPr>
              <w:t>接触「校园代理」「刷单返利」「帮投」「虚拟币」信息频繁；对分期真实年化零概念</w:t>
            </w:r>
          </w:p>
        </w:tc>
        <w:tc>
          <w:tcPr>
            <w:tcW w:type="dxa" w:w="2450"/>
          </w:tcPr>
          <w:p>
            <w:pPr>
              <w:spacing w:after="20" w:before="20" w:line="276" w:lineRule="auto"/>
            </w:pPr>
            <w:r/>
            <w:r>
              <w:rPr>
                <w:rFonts w:ascii="宋体" w:hAnsi="宋体" w:eastAsia="宋体"/>
                <w:b w:val="0"/>
                <w:i w:val="0"/>
                <w:color w:val="1A1A1A"/>
                <w:sz w:val="18"/>
              </w:rPr>
              <w:t>小陈，24 岁，工作两年攒下 5 万元，刷短视频看到「跟着老师做，稳健年化 12%，保本」并已加群</w:t>
            </w:r>
          </w:p>
        </w:tc>
      </w:tr>
      <w:tr>
        <w:tc>
          <w:tcPr>
            <w:tcW w:type="dxa" w:w="1441"/>
          </w:tcPr>
          <w:p>
            <w:pPr>
              <w:spacing w:after="20" w:before="20" w:line="276" w:lineRule="auto"/>
            </w:pPr>
            <w:r/>
            <w:r>
              <w:rPr>
                <w:rFonts w:ascii="宋体" w:hAnsi="宋体" w:eastAsia="宋体"/>
                <w:b w:val="0"/>
                <w:i w:val="0"/>
                <w:color w:val="1A1A1A"/>
                <w:sz w:val="18"/>
              </w:rPr>
              <w:t>教育水平与学历较低的普通劳动者</w:t>
            </w:r>
          </w:p>
        </w:tc>
        <w:tc>
          <w:tcPr>
            <w:tcW w:type="dxa" w:w="2306"/>
          </w:tcPr>
          <w:p>
            <w:pPr>
              <w:spacing w:after="20" w:before="20" w:line="276" w:lineRule="auto"/>
            </w:pPr>
            <w:r/>
            <w:r>
              <w:rPr>
                <w:rFonts w:ascii="宋体" w:hAnsi="宋体" w:eastAsia="宋体"/>
                <w:b w:val="0"/>
                <w:i w:val="0"/>
                <w:color w:val="1A1A1A"/>
                <w:sz w:val="18"/>
              </w:rPr>
              <w:t>有积蓄但缺少金融概念；信息来源以熟人与短视频为主；对「正规」与「合法」缺少核验手段</w:t>
            </w:r>
          </w:p>
        </w:tc>
        <w:tc>
          <w:tcPr>
            <w:tcW w:type="dxa" w:w="2306"/>
          </w:tcPr>
          <w:p>
            <w:pPr>
              <w:spacing w:after="20" w:before="20" w:line="276" w:lineRule="auto"/>
            </w:pPr>
            <w:r/>
            <w:r>
              <w:rPr>
                <w:rFonts w:ascii="宋体" w:hAnsi="宋体" w:eastAsia="宋体"/>
                <w:b w:val="0"/>
                <w:i w:val="0"/>
                <w:color w:val="1A1A1A"/>
                <w:sz w:val="18"/>
              </w:rPr>
              <w:t>最容易被「国资背景」「监管备案」这类无法核验的资质包装打动</w:t>
            </w:r>
          </w:p>
        </w:tc>
        <w:tc>
          <w:tcPr>
            <w:tcW w:type="dxa" w:w="2450"/>
          </w:tcPr>
          <w:p>
            <w:pPr>
              <w:spacing w:after="20" w:before="20" w:line="276" w:lineRule="auto"/>
            </w:pPr>
            <w:r/>
            <w:r>
              <w:rPr>
                <w:rFonts w:ascii="宋体" w:hAnsi="宋体" w:eastAsia="宋体"/>
                <w:b w:val="0"/>
                <w:i w:val="0"/>
                <w:color w:val="1A1A1A"/>
                <w:sz w:val="18"/>
              </w:rPr>
              <w:t>小李，20 岁，靠生活费与兼职收入，已在用分期，不知真实年化超过 13%</w:t>
            </w:r>
          </w:p>
        </w:tc>
      </w:tr>
      <w:tr>
        <w:tc>
          <w:tcPr>
            <w:tcW w:type="dxa" w:w="1441"/>
          </w:tcPr>
          <w:p>
            <w:pPr>
              <w:spacing w:after="20" w:before="20" w:line="276" w:lineRule="auto"/>
            </w:pPr>
            <w:r/>
            <w:r>
              <w:rPr>
                <w:rFonts w:ascii="宋体" w:hAnsi="宋体" w:eastAsia="宋体"/>
                <w:b w:val="0"/>
                <w:i w:val="0"/>
                <w:color w:val="1A1A1A"/>
                <w:sz w:val="18"/>
              </w:rPr>
              <w:t>领取退休金的老年人</w:t>
            </w:r>
          </w:p>
        </w:tc>
        <w:tc>
          <w:tcPr>
            <w:tcW w:type="dxa" w:w="2306"/>
          </w:tcPr>
          <w:p>
            <w:pPr>
              <w:spacing w:after="20" w:before="20" w:line="276" w:lineRule="auto"/>
            </w:pPr>
            <w:r/>
            <w:r>
              <w:rPr>
                <w:rFonts w:ascii="宋体" w:hAnsi="宋体" w:eastAsia="宋体"/>
                <w:b w:val="0"/>
                <w:i w:val="0"/>
                <w:color w:val="1A1A1A"/>
                <w:sz w:val="18"/>
              </w:rPr>
              <w:t>有可观的现金资产（退休金、拆迁款）；辨别能力较差；在互联网上高频接触理财广告；对熟人推荐零防御</w:t>
            </w:r>
          </w:p>
        </w:tc>
        <w:tc>
          <w:tcPr>
            <w:tcW w:type="dxa" w:w="2306"/>
          </w:tcPr>
          <w:p>
            <w:pPr>
              <w:spacing w:after="20" w:before="20" w:line="276" w:lineRule="auto"/>
            </w:pPr>
            <w:r/>
            <w:r>
              <w:rPr>
                <w:rFonts w:ascii="宋体" w:hAnsi="宋体" w:eastAsia="宋体"/>
                <w:b/>
                <w:i w:val="0"/>
                <w:color w:val="1A1A1A"/>
                <w:sz w:val="18"/>
              </w:rPr>
              <w:t>受害者中 46 岁以上占六成、60 岁以上占二成</w:t>
            </w:r>
            <w:r>
              <w:rPr>
                <w:rFonts w:ascii="宋体" w:hAnsi="宋体" w:eastAsia="宋体"/>
                <w:b w:val="0"/>
                <w:i w:val="0"/>
                <w:color w:val="1A1A1A"/>
                <w:sz w:val="18"/>
              </w:rPr>
              <w:t>（北京市公安局）；养老诈骗案件约六成是披着理财外衣的非法集资（最高人民法院）</w:t>
            </w:r>
          </w:p>
        </w:tc>
        <w:tc>
          <w:tcPr>
            <w:tcW w:type="dxa" w:w="2450"/>
          </w:tcPr>
          <w:p>
            <w:pPr>
              <w:spacing w:after="20" w:before="20" w:line="276" w:lineRule="auto"/>
            </w:pPr>
            <w:r/>
            <w:r>
              <w:rPr>
                <w:rFonts w:ascii="宋体" w:hAnsi="宋体" w:eastAsia="宋体"/>
                <w:b w:val="0"/>
                <w:i w:val="0"/>
                <w:color w:val="1A1A1A"/>
                <w:sz w:val="18"/>
              </w:rPr>
              <w:t>王阿姨，63 岁，退休金加拆迁款约 30 万元；微信群里有「投资导师」每天发盈利截图</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14　C 端目标用户画像</w:t>
      </w:r>
    </w:p>
    <w:p>
      <w:pPr>
        <w:keepNext w:val="0"/>
        <w:spacing w:before="0" w:after="60" w:line="360" w:lineRule="auto"/>
        <w:ind w:firstLine="480"/>
        <w:jc w:val="both"/>
      </w:pPr>
      <w:r>
        <w:rPr>
          <w:rFonts w:ascii="宋体" w:hAnsi="宋体" w:eastAsia="宋体"/>
          <w:b/>
          <w:i w:val="0"/>
          <w:color w:val="1A1A1A"/>
          <w:sz w:val="24"/>
        </w:rPr>
        <w:t>B 端与 G 端目标客户的共同特征是：有监管义务、有预算科目、且现有手段效率低。</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银行网点与券商营业部</w:t>
      </w:r>
      <w:r>
        <w:rPr>
          <w:rFonts w:ascii="宋体" w:hAnsi="宋体" w:eastAsia="宋体"/>
          <w:b w:val="0"/>
          <w:i w:val="0"/>
          <w:color w:val="1A1A1A"/>
          <w:sz w:val="23"/>
        </w:rPr>
        <w:t>：需要完成监管要求的投资者教育活动与适当性管理，需要留痕、需要可考核、需要活动数据报告。</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社区、街道与老年大学</w:t>
      </w:r>
      <w:r>
        <w:rPr>
          <w:rFonts w:ascii="宋体" w:hAnsi="宋体" w:eastAsia="宋体"/>
          <w:b w:val="0"/>
          <w:i w:val="0"/>
          <w:color w:val="1A1A1A"/>
          <w:sz w:val="23"/>
        </w:rPr>
        <w:t>：反诈宣传是自上而下推动的刚需，年年有预算，现有手段停留在发传单、贴海报、开讲座，效果无法衡量。</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高校</w:t>
      </w:r>
      <w:r>
        <w:rPr>
          <w:rFonts w:ascii="宋体" w:hAnsi="宋体" w:eastAsia="宋体"/>
          <w:b w:val="0"/>
          <w:i w:val="0"/>
          <w:color w:val="1A1A1A"/>
          <w:sz w:val="23"/>
        </w:rPr>
        <w:t>：财商教育与防范校园贷进课表，需要课程包、闯关系统与班级数据看板。</w:t>
      </w:r>
    </w:p>
    <w:p>
      <w:pPr>
        <w:keepNext w:val="0"/>
        <w:spacing w:before="0" w:after="60" w:line="360" w:lineRule="auto"/>
        <w:ind w:firstLine="480"/>
        <w:jc w:val="both"/>
      </w:pPr>
      <w:r>
        <w:rPr>
          <w:rFonts w:ascii="宋体" w:hAnsi="宋体" w:eastAsia="宋体"/>
          <w:b/>
          <w:i w:val="0"/>
          <w:color w:val="1A1A1A"/>
          <w:sz w:val="24"/>
        </w:rPr>
        <w:t>市场规模的判断依据。</w:t>
      </w:r>
      <w:r>
        <w:rPr>
          <w:rFonts w:ascii="宋体" w:hAnsi="宋体" w:eastAsia="宋体"/>
          <w:b w:val="0"/>
          <w:i w:val="0"/>
          <w:color w:val="1A1A1A"/>
          <w:sz w:val="24"/>
        </w:rPr>
        <w:t xml:space="preserve"> 我们不给未经核实的市场规模估算数字。可以确定的是三条定性判断：一是需求由监管强制产生，不依赖用户教育；二是采购主体明确（持牌金融机构、基层政府组织、高校），决策链清晰；三是替代对象明确（传单、海报、线下讲座），存在直接的效率对比。</w:t>
      </w:r>
      <w:r>
        <w:rPr>
          <w:rFonts w:ascii="宋体" w:hAnsi="宋体" w:eastAsia="宋体"/>
          <w:b/>
          <w:i w:val="0"/>
          <w:color w:val="1A1A1A"/>
          <w:sz w:val="24"/>
        </w:rPr>
        <w:t>这比一个来源不明的「千亿市场」估算更经得起追问。</w:t>
      </w:r>
    </w:p>
    <w:p>
      <w:pPr>
        <w:keepNext/>
        <w:spacing w:before="280" w:after="120" w:line="324" w:lineRule="auto"/>
        <w:jc w:val="left"/>
      </w:pPr>
      <w:r>
        <w:rPr>
          <w:rFonts w:ascii="黑体" w:hAnsi="黑体" w:eastAsia="黑体"/>
          <w:b/>
          <w:i w:val="0"/>
          <w:color w:val="000000"/>
          <w:sz w:val="27"/>
        </w:rPr>
        <w:t>2. 商业模式设计</w:t>
      </w:r>
    </w:p>
    <w:p>
      <w:pPr>
        <w:keepNext w:val="0"/>
        <w:spacing w:before="0" w:after="60" w:line="360" w:lineRule="auto"/>
        <w:ind w:firstLine="480"/>
        <w:jc w:val="both"/>
      </w:pPr>
      <w:r>
        <w:rPr>
          <w:rFonts w:ascii="宋体" w:hAnsi="宋体" w:eastAsia="宋体"/>
          <w:b/>
          <w:i w:val="0"/>
          <w:color w:val="1A1A1A"/>
          <w:sz w:val="24"/>
        </w:rPr>
        <w:t>核心逻辑：投资者教育与反非法金融活动宣传，是监管强制要求、且有真实预算科目的事情。我们不是去创造需求，而是去替代现有的低效手段。</w:t>
      </w:r>
    </w:p>
    <w:p>
      <w:pPr>
        <w:keepNext w:val="0"/>
        <w:spacing w:before="0" w:after="60" w:line="360" w:lineRule="auto"/>
        <w:ind w:firstLine="480"/>
        <w:jc w:val="both"/>
      </w:pPr>
      <w:r>
        <w:rPr>
          <w:rFonts w:ascii="宋体" w:hAnsi="宋体" w:eastAsia="宋体"/>
          <w:b/>
          <w:i w:val="0"/>
          <w:color w:val="1A1A1A"/>
          <w:sz w:val="24"/>
        </w:rPr>
        <w:t>C 端永久免费，其角色是能力入口而非收入来源。</w:t>
      </w:r>
      <w:r>
        <w:rPr>
          <w:rFonts w:ascii="宋体" w:hAnsi="宋体" w:eastAsia="宋体"/>
          <w:b w:val="0"/>
          <w:i w:val="0"/>
          <w:color w:val="1A1A1A"/>
          <w:sz w:val="24"/>
        </w:rPr>
        <w:t xml:space="preserve"> 理由有二：一是 C 端为「防骗」付费的意愿本身很低——人们系统性地低估自己被骗的概率；二是 C 端上传的真实骗局样本是规则库的护城河，免费换取的样本沉淀比订阅费更有价值。</w:t>
      </w:r>
    </w:p>
    <w:p>
      <w:pPr>
        <w:keepNext w:val="0"/>
        <w:spacing w:before="0" w:after="60" w:line="360" w:lineRule="auto"/>
        <w:ind w:firstLine="480"/>
        <w:jc w:val="both"/>
      </w:pPr>
      <w:r>
        <w:rPr>
          <w:rFonts w:ascii="宋体" w:hAnsi="宋体" w:eastAsia="宋体"/>
          <w:b/>
          <w:i w:val="0"/>
          <w:color w:val="1A1A1A"/>
          <w:sz w:val="24"/>
        </w:rPr>
        <w:t>B / G 端付费，其角色是收入来源。</w:t>
      </w:r>
      <w:r>
        <w:rPr>
          <w:rFonts w:ascii="宋体" w:hAnsi="宋体" w:eastAsia="宋体"/>
          <w:b w:val="0"/>
          <w:i w:val="0"/>
          <w:color w:val="1A1A1A"/>
          <w:sz w:val="24"/>
        </w:rPr>
        <w:t xml:space="preserve"> 因为这一侧的支出是合规驱动的刚性支出，决策链清晰、预算科目明确、且效果需要被证明——而我们提供的正是可留痕、可出报告的交付物。</w:t>
      </w:r>
    </w:p>
    <w:p>
      <w:pPr>
        <w:keepNext w:val="0"/>
        <w:spacing w:before="160" w:after="40" w:line="240" w:lineRule="auto"/>
        <w:jc w:val="center"/>
      </w:pPr>
      <w:r>
        <w:drawing>
          <wp:inline xmlns:a="http://schemas.openxmlformats.org/drawingml/2006/main" xmlns:pic="http://schemas.openxmlformats.org/drawingml/2006/picture">
            <wp:extent cx="5400000" cy="2160000"/>
            <wp:docPr id="22" name="Picture 22"/>
            <wp:cNvGraphicFramePr>
              <a:graphicFrameLocks noChangeAspect="1"/>
            </wp:cNvGraphicFramePr>
            <a:graphic>
              <a:graphicData uri="http://schemas.openxmlformats.org/drawingml/2006/picture">
                <pic:pic>
                  <pic:nvPicPr>
                    <pic:cNvPr id="0" name="fig8-落地路线.png"/>
                    <pic:cNvPicPr/>
                  </pic:nvPicPr>
                  <pic:blipFill>
                    <a:blip r:embed="rId29"/>
                    <a:stretch>
                      <a:fillRect/>
                    </a:stretch>
                  </pic:blipFill>
                  <pic:spPr>
                    <a:xfrm>
                      <a:off x="0" y="0"/>
                      <a:ext cx="5400000" cy="2160000"/>
                    </a:xfrm>
                    <a:prstGeom prst="rect"/>
                  </pic:spPr>
                </pic:pic>
              </a:graphicData>
            </a:graphic>
          </wp:inline>
        </w:drawing>
      </w:r>
    </w:p>
    <w:p>
      <w:pPr>
        <w:keepNext w:val="0"/>
        <w:spacing w:before="0" w:after="200" w:line="288" w:lineRule="auto"/>
        <w:jc w:val="center"/>
      </w:pPr>
      <w:r>
        <w:rPr>
          <w:rFonts w:ascii="黑体" w:hAnsi="黑体" w:eastAsia="黑体"/>
          <w:b w:val="0"/>
          <w:i w:val="0"/>
          <w:color w:val="595959"/>
          <w:sz w:val="19"/>
        </w:rPr>
        <w:t>图 8　三阶段商业落地路线</w:t>
      </w:r>
    </w:p>
    <w:p>
      <w:pPr>
        <w:keepNext/>
        <w:spacing w:before="280" w:after="120" w:line="324" w:lineRule="auto"/>
        <w:jc w:val="left"/>
      </w:pPr>
      <w:r>
        <w:rPr>
          <w:rFonts w:ascii="黑体" w:hAnsi="黑体" w:eastAsia="黑体"/>
          <w:b/>
          <w:i w:val="0"/>
          <w:color w:val="000000"/>
          <w:sz w:val="27"/>
        </w:rPr>
        <w:t>3. 落地实施步骤（短期 / 中期 / 长期）</w:t>
      </w:r>
    </w:p>
    <w:p>
      <w:pPr>
        <w:keepNext w:val="0"/>
        <w:spacing w:before="0" w:after="60" w:line="360" w:lineRule="auto"/>
        <w:ind w:firstLine="480"/>
        <w:jc w:val="both"/>
      </w:pPr>
      <w:r>
        <w:rPr>
          <w:rFonts w:ascii="宋体" w:hAnsi="宋体" w:eastAsia="宋体"/>
          <w:b/>
          <w:i w:val="0"/>
          <w:color w:val="1A1A1A"/>
          <w:sz w:val="24"/>
        </w:rPr>
        <w:t>短期（0—6 个月）：打磨 C 端免费产品，把识别能力做厚。</w:t>
      </w:r>
      <w:r>
        <w:rPr>
          <w:rFonts w:ascii="宋体" w:hAnsi="宋体" w:eastAsia="宋体"/>
          <w:b w:val="0"/>
          <w:i w:val="0"/>
          <w:color w:val="1A1A1A"/>
          <w:sz w:val="24"/>
        </w:rPr>
        <w:t xml:space="preserve"> 具体动作：扩充违规话术特征库与骗局图鉴（重点补充公开报道中的真实案例来源）；补齐适老化功能（语音播报、更大字号档位、简化交互路径）；在高校与社区各开展 2—3 场试点活动，用真实场景检验产品并回收样本。阶段目标是</w:t>
      </w:r>
      <w:r>
        <w:rPr>
          <w:rFonts w:ascii="宋体" w:hAnsi="宋体" w:eastAsia="宋体"/>
          <w:b/>
          <w:i w:val="0"/>
          <w:color w:val="1A1A1A"/>
          <w:sz w:val="24"/>
        </w:rPr>
        <w:t>让真实骗局样本沉淀成规则</w:t>
      </w:r>
      <w:r>
        <w:rPr>
          <w:rFonts w:ascii="宋体" w:hAnsi="宋体" w:eastAsia="宋体"/>
          <w:b w:val="0"/>
          <w:i w:val="0"/>
          <w:color w:val="1A1A1A"/>
          <w:sz w:val="24"/>
        </w:rPr>
        <w:t>，同时验证一次线下活动的完整交付流程。</w:t>
      </w:r>
    </w:p>
    <w:p>
      <w:pPr>
        <w:keepNext w:val="0"/>
        <w:spacing w:before="0" w:after="60" w:line="360" w:lineRule="auto"/>
        <w:ind w:firstLine="480"/>
        <w:jc w:val="both"/>
      </w:pPr>
      <w:r>
        <w:rPr>
          <w:rFonts w:ascii="宋体" w:hAnsi="宋体" w:eastAsia="宋体"/>
          <w:b/>
          <w:i w:val="0"/>
          <w:color w:val="1A1A1A"/>
          <w:sz w:val="24"/>
        </w:rPr>
        <w:t>中期（6—18 个月）：打通 B / G 端首批合作。</w:t>
      </w:r>
      <w:r>
        <w:rPr>
          <w:rFonts w:ascii="宋体" w:hAnsi="宋体" w:eastAsia="宋体"/>
          <w:b w:val="0"/>
          <w:i w:val="0"/>
          <w:color w:val="1A1A1A"/>
          <w:sz w:val="24"/>
        </w:rPr>
        <w:t xml:space="preserve"> 具体动作：把线下试点的经验固化为「反诈宣传活动包」（含活动流程、物料、体验终端与效果报告模板）；开发投资者教育留痕与效果报告功能；产出白牌版本与私有化部署方案。阶段目标是</w:t>
      </w:r>
      <w:r>
        <w:rPr>
          <w:rFonts w:ascii="宋体" w:hAnsi="宋体" w:eastAsia="宋体"/>
          <w:b/>
          <w:i w:val="0"/>
          <w:color w:val="1A1A1A"/>
          <w:sz w:val="24"/>
        </w:rPr>
        <w:t>取得首批付费合作，并形成可复用的交付物</w:t>
      </w:r>
      <w:r>
        <w:rPr>
          <w:rFonts w:ascii="宋体" w:hAnsi="宋体" w:eastAsia="宋体"/>
          <w:b w:val="0"/>
          <w:i w:val="0"/>
          <w:color w:val="1A1A1A"/>
          <w:sz w:val="24"/>
        </w:rPr>
        <w:t>——第一单靠人，第二单靠交付物。</w:t>
      </w:r>
    </w:p>
    <w:p>
      <w:pPr>
        <w:keepNext w:val="0"/>
        <w:spacing w:before="0" w:after="60" w:line="360" w:lineRule="auto"/>
        <w:ind w:firstLine="480"/>
        <w:jc w:val="both"/>
      </w:pPr>
      <w:r>
        <w:rPr>
          <w:rFonts w:ascii="宋体" w:hAnsi="宋体" w:eastAsia="宋体"/>
          <w:b/>
          <w:i w:val="0"/>
          <w:color w:val="1A1A1A"/>
          <w:sz w:val="24"/>
        </w:rPr>
        <w:t>长期（18 个月以上）：成为内容层合规体检的基础设施。</w:t>
      </w:r>
      <w:r>
        <w:rPr>
          <w:rFonts w:ascii="宋体" w:hAnsi="宋体" w:eastAsia="宋体"/>
          <w:b w:val="0"/>
          <w:i w:val="0"/>
          <w:color w:val="1A1A1A"/>
          <w:sz w:val="24"/>
        </w:rPr>
        <w:t xml:space="preserve"> 具体动作：话术特征库对外提供接口，供机构在自身流程中调用；覆盖更多语种与方言（针对方言诈骗与少数民族地区）；面向中小机构提供适当性管理辅助工具。阶段目标是</w:t>
      </w:r>
      <w:r>
        <w:rPr>
          <w:rFonts w:ascii="宋体" w:hAnsi="宋体" w:eastAsia="宋体"/>
          <w:b/>
          <w:i w:val="0"/>
          <w:color w:val="1A1A1A"/>
          <w:sz w:val="24"/>
        </w:rPr>
        <w:t>让数据飞轮转起来，形成识别能力上的壁垒</w:t>
      </w:r>
      <w:r>
        <w:rPr>
          <w:rFonts w:ascii="宋体" w:hAnsi="宋体" w:eastAsia="宋体"/>
          <w:b w:val="0"/>
          <w:i w:val="0"/>
          <w:color w:val="1A1A1A"/>
          <w:sz w:val="24"/>
        </w:rPr>
        <w:t>。</w:t>
      </w:r>
    </w:p>
    <w:p>
      <w:pPr>
        <w:keepNext/>
        <w:spacing w:before="280" w:after="120" w:line="324" w:lineRule="auto"/>
        <w:jc w:val="left"/>
      </w:pPr>
      <w:r>
        <w:rPr>
          <w:rFonts w:ascii="黑体" w:hAnsi="黑体" w:eastAsia="黑体"/>
          <w:b/>
          <w:i w:val="0"/>
          <w:color w:val="000000"/>
          <w:sz w:val="27"/>
        </w:rPr>
        <w:t>4. 推广与运营方案</w:t>
      </w:r>
    </w:p>
    <w:p>
      <w:pPr>
        <w:keepNext w:val="0"/>
        <w:spacing w:before="0" w:after="60" w:line="360" w:lineRule="auto"/>
        <w:ind w:firstLine="480"/>
        <w:jc w:val="both"/>
      </w:pPr>
      <w:r>
        <w:rPr>
          <w:rFonts w:ascii="宋体" w:hAnsi="宋体" w:eastAsia="宋体"/>
          <w:b/>
          <w:i w:val="0"/>
          <w:color w:val="1A1A1A"/>
          <w:sz w:val="24"/>
        </w:rPr>
        <w:t>（1）C 端获客：以场景为入口，而非以产品为入口。</w:t>
      </w:r>
      <w:r>
        <w:rPr>
          <w:rFonts w:ascii="宋体" w:hAnsi="宋体" w:eastAsia="宋体"/>
          <w:b w:val="0"/>
          <w:i w:val="0"/>
          <w:color w:val="1A1A1A"/>
          <w:sz w:val="24"/>
        </w:rPr>
        <w:t xml:space="preserve"> 用户不会主动搜索「金融安全智能体」，但会在遇到一条可疑广告时寻求判断。因此推广内容全部围绕具体场景组织——「这条广告我该不该信」「月费率 0.6% 到底是多少」「免费荐股群为什么一定有问题」。产品形态上，Web 应用扫码即用、无需安装，这对老年用户尤其关键。</w:t>
      </w:r>
    </w:p>
    <w:p>
      <w:pPr>
        <w:keepNext w:val="0"/>
        <w:spacing w:before="0" w:after="60" w:line="360" w:lineRule="auto"/>
        <w:ind w:firstLine="480"/>
        <w:jc w:val="both"/>
      </w:pPr>
      <w:r>
        <w:rPr>
          <w:rFonts w:ascii="宋体" w:hAnsi="宋体" w:eastAsia="宋体"/>
          <w:b/>
          <w:i w:val="0"/>
          <w:color w:val="1A1A1A"/>
          <w:sz w:val="24"/>
        </w:rPr>
        <w:t>（2）线下场景是老年用户最有效的触达路径。</w:t>
      </w:r>
      <w:r>
        <w:rPr>
          <w:rFonts w:ascii="宋体" w:hAnsi="宋体" w:eastAsia="宋体"/>
          <w:b w:val="0"/>
          <w:i w:val="0"/>
          <w:color w:val="1A1A1A"/>
          <w:sz w:val="24"/>
        </w:rPr>
        <w:t xml:space="preserve"> 社区反诈活动、老年大学课堂、银行网点的投教活动，都是我们的用户已经在的地方。运营方式是「一次活动 + 一张二维码 + 一份效果报告」：活动现场让参与者用自己的手机上传收到的广告，当场看到判定结果——</w:t>
      </w:r>
      <w:r>
        <w:rPr>
          <w:rFonts w:ascii="宋体" w:hAnsi="宋体" w:eastAsia="宋体"/>
          <w:b/>
          <w:i w:val="0"/>
          <w:color w:val="1A1A1A"/>
          <w:sz w:val="24"/>
        </w:rPr>
        <w:t>这比任何讲座都有说服力，因为判的是他自己的东西。</w:t>
      </w:r>
    </w:p>
    <w:p>
      <w:pPr>
        <w:keepNext w:val="0"/>
        <w:spacing w:before="0" w:after="60" w:line="360" w:lineRule="auto"/>
        <w:ind w:firstLine="480"/>
        <w:jc w:val="both"/>
      </w:pPr>
      <w:r>
        <w:rPr>
          <w:rFonts w:ascii="宋体" w:hAnsi="宋体" w:eastAsia="宋体"/>
          <w:b/>
          <w:i w:val="0"/>
          <w:color w:val="1A1A1A"/>
          <w:sz w:val="24"/>
        </w:rPr>
        <w:t>（3）高校场景兼具推广与内容生产双重价值。</w:t>
      </w:r>
      <w:r>
        <w:rPr>
          <w:rFonts w:ascii="宋体" w:hAnsi="宋体" w:eastAsia="宋体"/>
          <w:b w:val="0"/>
          <w:i w:val="0"/>
          <w:color w:val="1A1A1A"/>
          <w:sz w:val="24"/>
        </w:rPr>
        <w:t xml:space="preserve"> 财商课程与防范校园贷宣传是高校的既有工作；同时大学生群体是最好的内容共创者与传播者。班级数据看板让授课方能看到学习效果，形成复购理由。</w:t>
      </w:r>
    </w:p>
    <w:p>
      <w:pPr>
        <w:keepNext w:val="0"/>
        <w:spacing w:before="0" w:after="60" w:line="360" w:lineRule="auto"/>
        <w:ind w:firstLine="480"/>
        <w:jc w:val="both"/>
      </w:pPr>
      <w:r>
        <w:rPr>
          <w:rFonts w:ascii="宋体" w:hAnsi="宋体" w:eastAsia="宋体"/>
          <w:b/>
          <w:i w:val="0"/>
          <w:color w:val="1A1A1A"/>
          <w:sz w:val="24"/>
        </w:rPr>
        <w:t>（4）B / G 端拓展依靠交付物而非销售话术。</w:t>
      </w:r>
      <w:r>
        <w:rPr>
          <w:rFonts w:ascii="宋体" w:hAnsi="宋体" w:eastAsia="宋体"/>
          <w:b w:val="0"/>
          <w:i w:val="0"/>
          <w:color w:val="1A1A1A"/>
          <w:sz w:val="24"/>
        </w:rPr>
        <w:t xml:space="preserve"> 首批合作的目标不是收入规模，而是产出一份完整的、可复用的交付物——活动包、效果报告模板、私有化部署文档。</w:t>
      </w:r>
      <w:r>
        <w:rPr>
          <w:rFonts w:ascii="宋体" w:hAnsi="宋体" w:eastAsia="宋体"/>
          <w:b/>
          <w:i w:val="0"/>
          <w:color w:val="1A1A1A"/>
          <w:sz w:val="24"/>
        </w:rPr>
        <w:t>有了它们，后续每一单的边际成本才会下降。</w:t>
      </w:r>
    </w:p>
    <w:p>
      <w:pPr>
        <w:keepNext w:val="0"/>
        <w:spacing w:before="0" w:after="60" w:line="360" w:lineRule="auto"/>
        <w:ind w:firstLine="480"/>
        <w:jc w:val="both"/>
      </w:pPr>
      <w:r>
        <w:rPr>
          <w:rFonts w:ascii="宋体" w:hAnsi="宋体" w:eastAsia="宋体"/>
          <w:b/>
          <w:i w:val="0"/>
          <w:color w:val="1A1A1A"/>
          <w:sz w:val="24"/>
        </w:rPr>
        <w:t>（5）数据飞轮是运营的核心闭环。</w:t>
      </w:r>
    </w:p>
    <w:p>
      <w:pPr>
        <w:keepNext w:val="0"/>
        <w:spacing w:before="80" w:after="120" w:line="336" w:lineRule="auto"/>
        <w:ind w:left="482" w:right="283"/>
        <w:jc w:val="both"/>
      </w:pPr>
      <w:r>
        <w:rPr>
          <w:rFonts w:ascii="楷体" w:hAnsi="楷体" w:eastAsia="楷体"/>
          <w:b w:val="0"/>
          <w:i w:val="0"/>
          <w:color w:val="1A1A1A"/>
          <w:sz w:val="22"/>
        </w:rPr>
        <w:t>C 端用户上传可疑广告 → 沉淀真实骗局样本与新变体话术 → 规则库与特征库持续更新 → 识别准确率提升 → B / G 端产品竞争力提升 → 收入 → 投入内容与技术 → 吸引更多 C 端用户</w:t>
      </w:r>
    </w:p>
    <w:p>
      <w:pPr>
        <w:keepNext w:val="0"/>
        <w:spacing w:before="0" w:after="120" w:line="312" w:lineRule="auto"/>
        <w:ind w:left="482"/>
        <w:jc w:val="both"/>
      </w:pPr>
      <w:r>
        <w:rPr>
          <w:rFonts w:ascii="宋体" w:hAnsi="宋体" w:eastAsia="宋体"/>
          <w:b w:val="0"/>
          <w:i w:val="0"/>
          <w:color w:val="595959"/>
          <w:sz w:val="19"/>
        </w:rPr>
        <w:t>飞轮转的是话术特征，不是用户数据。样本沉淀需用户主动授权，且沉淀的是脱敏后的话术特征文本（机构名、联系方式、金额、人名一律替换为占位符），不保存原始图片。这是数据飞轮的合法基础。</w:t>
      </w:r>
    </w:p>
    <w:p>
      <w:pPr>
        <w:keepNext/>
        <w:spacing w:before="280" w:after="120" w:line="324" w:lineRule="auto"/>
        <w:jc w:val="left"/>
      </w:pPr>
      <w:r>
        <w:rPr>
          <w:rFonts w:ascii="黑体" w:hAnsi="黑体" w:eastAsia="黑体"/>
          <w:b/>
          <w:i w:val="0"/>
          <w:color w:val="000000"/>
          <w:sz w:val="27"/>
        </w:rPr>
        <w:t>5. 盈利模式</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381"/>
            <w:shd w:fill="F2F2F2"/>
          </w:tcPr>
          <w:p>
            <w:pPr>
              <w:spacing w:after="20" w:before="20" w:line="276" w:lineRule="auto"/>
              <w:jc w:val="center"/>
            </w:pPr>
            <w:r/>
            <w:r>
              <w:rPr>
                <w:rFonts w:ascii="黑体" w:hAnsi="黑体" w:eastAsia="黑体"/>
                <w:b/>
                <w:i w:val="0"/>
                <w:color w:val="000000"/>
                <w:sz w:val="19"/>
              </w:rPr>
              <w:t>客户</w:t>
            </w:r>
          </w:p>
        </w:tc>
        <w:tc>
          <w:tcPr>
            <w:tcW w:type="dxa" w:w="2326"/>
            <w:shd w:fill="F2F2F2"/>
          </w:tcPr>
          <w:p>
            <w:pPr>
              <w:spacing w:after="20" w:before="20" w:line="276" w:lineRule="auto"/>
              <w:jc w:val="center"/>
            </w:pPr>
            <w:r/>
            <w:r>
              <w:rPr>
                <w:rFonts w:ascii="黑体" w:hAnsi="黑体" w:eastAsia="黑体"/>
                <w:b/>
                <w:i w:val="0"/>
                <w:color w:val="000000"/>
                <w:sz w:val="19"/>
              </w:rPr>
              <w:t>付费理由</w:t>
            </w:r>
          </w:p>
        </w:tc>
        <w:tc>
          <w:tcPr>
            <w:tcW w:type="dxa" w:w="2108"/>
            <w:shd w:fill="F2F2F2"/>
          </w:tcPr>
          <w:p>
            <w:pPr>
              <w:spacing w:after="20" w:before="20" w:line="276" w:lineRule="auto"/>
              <w:jc w:val="center"/>
            </w:pPr>
            <w:r/>
            <w:r>
              <w:rPr>
                <w:rFonts w:ascii="黑体" w:hAnsi="黑体" w:eastAsia="黑体"/>
                <w:b/>
                <w:i w:val="0"/>
                <w:color w:val="000000"/>
                <w:sz w:val="19"/>
              </w:rPr>
              <w:t>产品形态</w:t>
            </w:r>
          </w:p>
        </w:tc>
        <w:tc>
          <w:tcPr>
            <w:tcW w:type="dxa" w:w="1672"/>
            <w:shd w:fill="F2F2F2"/>
          </w:tcPr>
          <w:p>
            <w:pPr>
              <w:spacing w:after="20" w:before="20" w:line="276" w:lineRule="auto"/>
              <w:jc w:val="center"/>
            </w:pPr>
            <w:r/>
            <w:r>
              <w:rPr>
                <w:rFonts w:ascii="黑体" w:hAnsi="黑体" w:eastAsia="黑体"/>
                <w:b/>
                <w:i w:val="0"/>
                <w:color w:val="000000"/>
                <w:sz w:val="19"/>
              </w:rPr>
              <w:t>收费方式</w:t>
            </w:r>
          </w:p>
        </w:tc>
        <w:tc>
          <w:tcPr>
            <w:tcW w:type="dxa" w:w="1018"/>
            <w:shd w:fill="F2F2F2"/>
          </w:tcPr>
          <w:p>
            <w:pPr>
              <w:spacing w:after="20" w:before="20" w:line="276" w:lineRule="auto"/>
              <w:jc w:val="center"/>
            </w:pPr>
            <w:r/>
            <w:r>
              <w:rPr>
                <w:rFonts w:ascii="黑体" w:hAnsi="黑体" w:eastAsia="黑体"/>
                <w:b/>
                <w:i w:val="0"/>
                <w:color w:val="000000"/>
                <w:sz w:val="19"/>
              </w:rPr>
              <w:t>优先级</w:t>
            </w:r>
          </w:p>
        </w:tc>
      </w:tr>
      <w:tr>
        <w:tc>
          <w:tcPr>
            <w:tcW w:type="dxa" w:w="1381"/>
          </w:tcPr>
          <w:p>
            <w:pPr>
              <w:spacing w:after="20" w:before="20" w:line="276" w:lineRule="auto"/>
            </w:pPr>
            <w:r/>
            <w:r>
              <w:rPr>
                <w:rFonts w:ascii="宋体" w:hAnsi="宋体" w:eastAsia="宋体"/>
                <w:b w:val="0"/>
                <w:i w:val="0"/>
                <w:color w:val="1A1A1A"/>
                <w:sz w:val="18"/>
              </w:rPr>
              <w:t>银行 / 券商</w:t>
            </w:r>
          </w:p>
        </w:tc>
        <w:tc>
          <w:tcPr>
            <w:tcW w:type="dxa" w:w="2326"/>
          </w:tcPr>
          <w:p>
            <w:pPr>
              <w:spacing w:after="20" w:before="20" w:line="276" w:lineRule="auto"/>
            </w:pPr>
            <w:r/>
            <w:r>
              <w:rPr>
                <w:rFonts w:ascii="宋体" w:hAnsi="宋体" w:eastAsia="宋体"/>
                <w:b w:val="0"/>
                <w:i w:val="0"/>
                <w:color w:val="1A1A1A"/>
                <w:sz w:val="18"/>
              </w:rPr>
              <w:t>投资者适当性管理与投资者教育是监管硬性义务，需留痕、需可考核</w:t>
            </w:r>
          </w:p>
        </w:tc>
        <w:tc>
          <w:tcPr>
            <w:tcW w:type="dxa" w:w="2108"/>
          </w:tcPr>
          <w:p>
            <w:pPr>
              <w:spacing w:after="20" w:before="20" w:line="276" w:lineRule="auto"/>
            </w:pPr>
            <w:r/>
            <w:r>
              <w:rPr>
                <w:rFonts w:ascii="宋体" w:hAnsi="宋体" w:eastAsia="宋体"/>
                <w:b w:val="0"/>
                <w:i w:val="0"/>
                <w:color w:val="1A1A1A"/>
                <w:sz w:val="18"/>
              </w:rPr>
              <w:t>白牌工具 + 投教活动数据报告 + 适当性匹配辅助</w:t>
            </w:r>
          </w:p>
        </w:tc>
        <w:tc>
          <w:tcPr>
            <w:tcW w:type="dxa" w:w="1672"/>
          </w:tcPr>
          <w:p>
            <w:pPr>
              <w:spacing w:after="20" w:before="20" w:line="276" w:lineRule="auto"/>
            </w:pPr>
            <w:r/>
            <w:r>
              <w:rPr>
                <w:rFonts w:ascii="宋体" w:hAnsi="宋体" w:eastAsia="宋体"/>
                <w:b w:val="0"/>
                <w:i w:val="0"/>
                <w:color w:val="1A1A1A"/>
                <w:sz w:val="18"/>
              </w:rPr>
              <w:t>年度授权费 + 私有化部署实施费</w:t>
            </w:r>
          </w:p>
        </w:tc>
        <w:tc>
          <w:tcPr>
            <w:tcW w:type="dxa" w:w="1018"/>
          </w:tcPr>
          <w:p>
            <w:pPr>
              <w:spacing w:after="20" w:before="20" w:line="276" w:lineRule="auto"/>
            </w:pPr>
            <w:r/>
            <w:r>
              <w:rPr>
                <w:rFonts w:ascii="宋体" w:hAnsi="宋体" w:eastAsia="宋体"/>
                <w:b w:val="0"/>
                <w:i w:val="0"/>
                <w:color w:val="1A1A1A"/>
                <w:sz w:val="18"/>
              </w:rPr>
              <w:t>第一优先</w:t>
            </w:r>
          </w:p>
        </w:tc>
      </w:tr>
      <w:tr>
        <w:tc>
          <w:tcPr>
            <w:tcW w:type="dxa" w:w="1381"/>
          </w:tcPr>
          <w:p>
            <w:pPr>
              <w:spacing w:after="20" w:before="20" w:line="276" w:lineRule="auto"/>
            </w:pPr>
            <w:r/>
            <w:r>
              <w:rPr>
                <w:rFonts w:ascii="宋体" w:hAnsi="宋体" w:eastAsia="宋体"/>
                <w:b w:val="0"/>
                <w:i w:val="0"/>
                <w:color w:val="1A1A1A"/>
                <w:sz w:val="18"/>
              </w:rPr>
              <w:t>社区 / 街道 / 老年大学</w:t>
            </w:r>
          </w:p>
        </w:tc>
        <w:tc>
          <w:tcPr>
            <w:tcW w:type="dxa" w:w="2326"/>
          </w:tcPr>
          <w:p>
            <w:pPr>
              <w:spacing w:after="20" w:before="20" w:line="276" w:lineRule="auto"/>
            </w:pPr>
            <w:r/>
            <w:r>
              <w:rPr>
                <w:rFonts w:ascii="宋体" w:hAnsi="宋体" w:eastAsia="宋体"/>
                <w:b w:val="0"/>
                <w:i w:val="0"/>
                <w:color w:val="1A1A1A"/>
                <w:sz w:val="18"/>
              </w:rPr>
              <w:t>反诈宣传是自上而下推动的刚需，年年有预算，现有手段效果差且无法衡量</w:t>
            </w:r>
          </w:p>
        </w:tc>
        <w:tc>
          <w:tcPr>
            <w:tcW w:type="dxa" w:w="2108"/>
          </w:tcPr>
          <w:p>
            <w:pPr>
              <w:spacing w:after="20" w:before="20" w:line="276" w:lineRule="auto"/>
            </w:pPr>
            <w:r/>
            <w:r>
              <w:rPr>
                <w:rFonts w:ascii="宋体" w:hAnsi="宋体" w:eastAsia="宋体"/>
                <w:b w:val="0"/>
                <w:i w:val="0"/>
                <w:color w:val="1A1A1A"/>
                <w:sz w:val="18"/>
              </w:rPr>
              <w:t>反诈体验终端 + 活动包 + 效果报告</w:t>
            </w:r>
          </w:p>
        </w:tc>
        <w:tc>
          <w:tcPr>
            <w:tcW w:type="dxa" w:w="1672"/>
          </w:tcPr>
          <w:p>
            <w:pPr>
              <w:spacing w:after="20" w:before="20" w:line="276" w:lineRule="auto"/>
            </w:pPr>
            <w:r/>
            <w:r>
              <w:rPr>
                <w:rFonts w:ascii="宋体" w:hAnsi="宋体" w:eastAsia="宋体"/>
                <w:b w:val="0"/>
                <w:i w:val="0"/>
                <w:color w:val="1A1A1A"/>
                <w:sz w:val="18"/>
              </w:rPr>
              <w:t>按场次或按年度服务采购</w:t>
            </w:r>
          </w:p>
        </w:tc>
        <w:tc>
          <w:tcPr>
            <w:tcW w:type="dxa" w:w="1018"/>
          </w:tcPr>
          <w:p>
            <w:pPr>
              <w:spacing w:after="20" w:before="20" w:line="276" w:lineRule="auto"/>
            </w:pPr>
            <w:r/>
            <w:r>
              <w:rPr>
                <w:rFonts w:ascii="宋体" w:hAnsi="宋体" w:eastAsia="宋体"/>
                <w:b w:val="0"/>
                <w:i w:val="0"/>
                <w:color w:val="1A1A1A"/>
                <w:sz w:val="18"/>
              </w:rPr>
              <w:t>第一优先</w:t>
            </w:r>
          </w:p>
        </w:tc>
      </w:tr>
      <w:tr>
        <w:tc>
          <w:tcPr>
            <w:tcW w:type="dxa" w:w="1381"/>
          </w:tcPr>
          <w:p>
            <w:pPr>
              <w:spacing w:after="20" w:before="20" w:line="276" w:lineRule="auto"/>
            </w:pPr>
            <w:r/>
            <w:r>
              <w:rPr>
                <w:rFonts w:ascii="宋体" w:hAnsi="宋体" w:eastAsia="宋体"/>
                <w:b w:val="0"/>
                <w:i w:val="0"/>
                <w:color w:val="1A1A1A"/>
                <w:sz w:val="18"/>
              </w:rPr>
              <w:t>高校</w:t>
            </w:r>
          </w:p>
        </w:tc>
        <w:tc>
          <w:tcPr>
            <w:tcW w:type="dxa" w:w="2326"/>
          </w:tcPr>
          <w:p>
            <w:pPr>
              <w:spacing w:after="20" w:before="20" w:line="276" w:lineRule="auto"/>
            </w:pPr>
            <w:r/>
            <w:r>
              <w:rPr>
                <w:rFonts w:ascii="宋体" w:hAnsi="宋体" w:eastAsia="宋体"/>
                <w:b w:val="0"/>
                <w:i w:val="0"/>
                <w:color w:val="1A1A1A"/>
                <w:sz w:val="18"/>
              </w:rPr>
              <w:t>财商教育、防范校园贷进课表</w:t>
            </w:r>
          </w:p>
        </w:tc>
        <w:tc>
          <w:tcPr>
            <w:tcW w:type="dxa" w:w="2108"/>
          </w:tcPr>
          <w:p>
            <w:pPr>
              <w:spacing w:after="20" w:before="20" w:line="276" w:lineRule="auto"/>
            </w:pPr>
            <w:r/>
            <w:r>
              <w:rPr>
                <w:rFonts w:ascii="宋体" w:hAnsi="宋体" w:eastAsia="宋体"/>
                <w:b w:val="0"/>
                <w:i w:val="0"/>
                <w:color w:val="1A1A1A"/>
                <w:sz w:val="18"/>
              </w:rPr>
              <w:t>课程包 + 闯关系统 + 班级数据看板</w:t>
            </w:r>
          </w:p>
        </w:tc>
        <w:tc>
          <w:tcPr>
            <w:tcW w:type="dxa" w:w="1672"/>
          </w:tcPr>
          <w:p>
            <w:pPr>
              <w:spacing w:after="20" w:before="20" w:line="276" w:lineRule="auto"/>
            </w:pPr>
            <w:r/>
            <w:r>
              <w:rPr>
                <w:rFonts w:ascii="宋体" w:hAnsi="宋体" w:eastAsia="宋体"/>
                <w:b w:val="0"/>
                <w:i w:val="0"/>
                <w:color w:val="1A1A1A"/>
                <w:sz w:val="18"/>
              </w:rPr>
              <w:t>按学期或按课程采购</w:t>
            </w:r>
          </w:p>
        </w:tc>
        <w:tc>
          <w:tcPr>
            <w:tcW w:type="dxa" w:w="1018"/>
          </w:tcPr>
          <w:p>
            <w:pPr>
              <w:spacing w:after="20" w:before="20" w:line="276" w:lineRule="auto"/>
            </w:pPr>
            <w:r/>
            <w:r>
              <w:rPr>
                <w:rFonts w:ascii="宋体" w:hAnsi="宋体" w:eastAsia="宋体"/>
                <w:b w:val="0"/>
                <w:i w:val="0"/>
                <w:color w:val="1A1A1A"/>
                <w:sz w:val="18"/>
              </w:rPr>
              <w:t>第二优先</w:t>
            </w:r>
          </w:p>
        </w:tc>
      </w:tr>
      <w:tr>
        <w:tc>
          <w:tcPr>
            <w:tcW w:type="dxa" w:w="1381"/>
          </w:tcPr>
          <w:p>
            <w:pPr>
              <w:spacing w:after="20" w:before="20" w:line="276" w:lineRule="auto"/>
            </w:pPr>
            <w:r/>
            <w:r>
              <w:rPr>
                <w:rFonts w:ascii="宋体" w:hAnsi="宋体" w:eastAsia="宋体"/>
                <w:b w:val="0"/>
                <w:i w:val="0"/>
                <w:color w:val="1A1A1A"/>
                <w:sz w:val="18"/>
              </w:rPr>
              <w:t>中小金融机构 / 平台</w:t>
            </w:r>
          </w:p>
        </w:tc>
        <w:tc>
          <w:tcPr>
            <w:tcW w:type="dxa" w:w="2326"/>
          </w:tcPr>
          <w:p>
            <w:pPr>
              <w:spacing w:after="20" w:before="20" w:line="276" w:lineRule="auto"/>
            </w:pPr>
            <w:r/>
            <w:r>
              <w:rPr>
                <w:rFonts w:ascii="宋体" w:hAnsi="宋体" w:eastAsia="宋体"/>
                <w:b w:val="0"/>
                <w:i w:val="0"/>
                <w:color w:val="1A1A1A"/>
                <w:sz w:val="18"/>
              </w:rPr>
              <w:t>自身营销内容的合规预审需求</w:t>
            </w:r>
          </w:p>
        </w:tc>
        <w:tc>
          <w:tcPr>
            <w:tcW w:type="dxa" w:w="2108"/>
          </w:tcPr>
          <w:p>
            <w:pPr>
              <w:spacing w:after="20" w:before="20" w:line="276" w:lineRule="auto"/>
            </w:pPr>
            <w:r/>
            <w:r>
              <w:rPr>
                <w:rFonts w:ascii="宋体" w:hAnsi="宋体" w:eastAsia="宋体"/>
                <w:b w:val="0"/>
                <w:i w:val="0"/>
                <w:color w:val="1A1A1A"/>
                <w:sz w:val="18"/>
              </w:rPr>
              <w:t>话术特征库接口调用</w:t>
            </w:r>
          </w:p>
        </w:tc>
        <w:tc>
          <w:tcPr>
            <w:tcW w:type="dxa" w:w="1672"/>
          </w:tcPr>
          <w:p>
            <w:pPr>
              <w:spacing w:after="20" w:before="20" w:line="276" w:lineRule="auto"/>
            </w:pPr>
            <w:r/>
            <w:r>
              <w:rPr>
                <w:rFonts w:ascii="宋体" w:hAnsi="宋体" w:eastAsia="宋体"/>
                <w:b w:val="0"/>
                <w:i w:val="0"/>
                <w:color w:val="1A1A1A"/>
                <w:sz w:val="18"/>
              </w:rPr>
              <w:t>按调用量计费</w:t>
            </w:r>
          </w:p>
        </w:tc>
        <w:tc>
          <w:tcPr>
            <w:tcW w:type="dxa" w:w="1018"/>
          </w:tcPr>
          <w:p>
            <w:pPr>
              <w:spacing w:after="20" w:before="20" w:line="276" w:lineRule="auto"/>
            </w:pPr>
            <w:r/>
            <w:r>
              <w:rPr>
                <w:rFonts w:ascii="宋体" w:hAnsi="宋体" w:eastAsia="宋体"/>
                <w:b w:val="0"/>
                <w:i w:val="0"/>
                <w:color w:val="1A1A1A"/>
                <w:sz w:val="18"/>
              </w:rPr>
              <w:t>第三优先（长期）</w:t>
            </w:r>
          </w:p>
        </w:tc>
      </w:tr>
      <w:tr>
        <w:tc>
          <w:tcPr>
            <w:tcW w:type="dxa" w:w="1381"/>
          </w:tcPr>
          <w:p>
            <w:pPr>
              <w:spacing w:after="20" w:before="20" w:line="276" w:lineRule="auto"/>
            </w:pPr>
            <w:r/>
            <w:r>
              <w:rPr>
                <w:rFonts w:ascii="宋体" w:hAnsi="宋体" w:eastAsia="宋体"/>
                <w:b w:val="0"/>
                <w:i w:val="0"/>
                <w:color w:val="1A1A1A"/>
                <w:sz w:val="18"/>
              </w:rPr>
              <w:t>C 端个人</w:t>
            </w:r>
          </w:p>
        </w:tc>
        <w:tc>
          <w:tcPr>
            <w:tcW w:type="dxa" w:w="2326"/>
          </w:tcPr>
          <w:p>
            <w:pPr>
              <w:spacing w:after="20" w:before="20" w:line="276" w:lineRule="auto"/>
            </w:pPr>
            <w:r/>
            <w:r>
              <w:rPr>
                <w:rFonts w:ascii="宋体" w:hAnsi="宋体" w:eastAsia="宋体"/>
                <w:b w:val="0"/>
                <w:i w:val="0"/>
                <w:color w:val="1A1A1A"/>
                <w:sz w:val="18"/>
              </w:rPr>
              <w:t>免费</w:t>
            </w:r>
          </w:p>
        </w:tc>
        <w:tc>
          <w:tcPr>
            <w:tcW w:type="dxa" w:w="2108"/>
          </w:tcPr>
          <w:p>
            <w:pPr>
              <w:spacing w:after="20" w:before="20" w:line="276" w:lineRule="auto"/>
            </w:pPr>
            <w:r/>
            <w:r>
              <w:rPr>
                <w:rFonts w:ascii="宋体" w:hAnsi="宋体" w:eastAsia="宋体"/>
                <w:b w:val="0"/>
                <w:i w:val="0"/>
                <w:color w:val="1A1A1A"/>
                <w:sz w:val="18"/>
              </w:rPr>
              <w:t>全部核心功能</w:t>
            </w:r>
          </w:p>
        </w:tc>
        <w:tc>
          <w:tcPr>
            <w:tcW w:type="dxa" w:w="1672"/>
          </w:tcPr>
          <w:p>
            <w:pPr>
              <w:spacing w:after="20" w:before="20" w:line="276" w:lineRule="auto"/>
            </w:pPr>
            <w:r/>
            <w:r>
              <w:rPr>
                <w:rFonts w:ascii="宋体" w:hAnsi="宋体" w:eastAsia="宋体"/>
                <w:b w:val="0"/>
                <w:i w:val="0"/>
                <w:color w:val="1A1A1A"/>
                <w:sz w:val="18"/>
              </w:rPr>
              <w:t>不收费</w:t>
            </w:r>
          </w:p>
        </w:tc>
        <w:tc>
          <w:tcPr>
            <w:tcW w:type="dxa" w:w="1018"/>
          </w:tcPr>
          <w:p>
            <w:pPr>
              <w:spacing w:after="20" w:before="20" w:line="276" w:lineRule="auto"/>
            </w:pPr>
            <w:r/>
            <w:r>
              <w:rPr>
                <w:rFonts w:ascii="宋体" w:hAnsi="宋体" w:eastAsia="宋体"/>
                <w:b w:val="0"/>
                <w:i w:val="0"/>
                <w:color w:val="1A1A1A"/>
                <w:sz w:val="18"/>
              </w:rPr>
              <w:t>流量与样本入口</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15　收入路径与优先级</w:t>
      </w:r>
    </w:p>
    <w:p>
      <w:pPr>
        <w:keepNext w:val="0"/>
        <w:spacing w:before="0" w:after="60" w:line="360" w:lineRule="auto"/>
        <w:ind w:firstLine="480"/>
        <w:jc w:val="both"/>
      </w:pPr>
      <w:r>
        <w:rPr>
          <w:rFonts w:ascii="宋体" w:hAnsi="宋体" w:eastAsia="宋体"/>
          <w:b/>
          <w:i w:val="0"/>
          <w:color w:val="1A1A1A"/>
          <w:sz w:val="24"/>
        </w:rPr>
        <w:t>为什么这个模式比 C 端订阅扎实：</w:t>
      </w:r>
      <w:r>
        <w:rPr>
          <w:rFonts w:ascii="宋体" w:hAnsi="宋体" w:eastAsia="宋体"/>
          <w:b w:val="0"/>
          <w:i w:val="0"/>
          <w:color w:val="1A1A1A"/>
          <w:sz w:val="24"/>
        </w:rPr>
        <w:t xml:space="preserve"> 一是 C 端为防骗付费的意愿低，人们低估自己被骗的概率；二是 B / G 端是合规驱动的刚性支出，决策链清晰、预算科目明确；三是 C 端免费带来的真实骗局样本，是规则库的护城河，其价值高于订阅费。</w:t>
      </w:r>
    </w:p>
    <w:p>
      <w:pPr>
        <w:keepNext/>
        <w:spacing w:before="280" w:after="120" w:line="324" w:lineRule="auto"/>
        <w:jc w:val="left"/>
      </w:pPr>
      <w:r>
        <w:rPr>
          <w:rFonts w:ascii="黑体" w:hAnsi="黑体" w:eastAsia="黑体"/>
          <w:b/>
          <w:i w:val="0"/>
          <w:color w:val="000000"/>
          <w:sz w:val="27"/>
        </w:rPr>
        <w:t>6. 竞品对比与核心竞争力</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tblGrid>
      <w:tr>
        <w:tc>
          <w:tcPr>
            <w:tcW w:type="dxa" w:w="1308"/>
            <w:shd w:fill="F2F2F2"/>
          </w:tcPr>
          <w:p>
            <w:pPr>
              <w:spacing w:after="20" w:before="20" w:line="276" w:lineRule="auto"/>
              <w:jc w:val="center"/>
            </w:pPr>
            <w:r/>
            <w:r>
              <w:rPr>
                <w:rFonts w:ascii="黑体" w:hAnsi="黑体" w:eastAsia="黑体"/>
                <w:b/>
                <w:i w:val="0"/>
                <w:color w:val="000000"/>
                <w:sz w:val="18"/>
              </w:rPr>
            </w:r>
          </w:p>
        </w:tc>
        <w:tc>
          <w:tcPr>
            <w:tcW w:type="dxa" w:w="2035"/>
            <w:shd w:fill="F2F2F2"/>
          </w:tcPr>
          <w:p>
            <w:pPr>
              <w:spacing w:after="20" w:before="20" w:line="276" w:lineRule="auto"/>
              <w:jc w:val="center"/>
            </w:pPr>
            <w:r/>
            <w:r>
              <w:rPr>
                <w:rFonts w:ascii="黑体" w:hAnsi="黑体" w:eastAsia="黑体"/>
                <w:b/>
                <w:i w:val="0"/>
                <w:color w:val="000000"/>
                <w:sz w:val="18"/>
              </w:rPr>
              <w:t>国家反诈中心 App</w:t>
            </w:r>
          </w:p>
        </w:tc>
        <w:tc>
          <w:tcPr>
            <w:tcW w:type="dxa" w:w="1454"/>
            <w:shd w:fill="F2F2F2"/>
          </w:tcPr>
          <w:p>
            <w:pPr>
              <w:spacing w:after="20" w:before="20" w:line="276" w:lineRule="auto"/>
              <w:jc w:val="center"/>
            </w:pPr>
            <w:r/>
            <w:r>
              <w:rPr>
                <w:rFonts w:ascii="黑体" w:hAnsi="黑体" w:eastAsia="黑体"/>
                <w:b/>
                <w:i w:val="0"/>
                <w:color w:val="000000"/>
                <w:sz w:val="18"/>
              </w:rPr>
              <w:t>各类投教平台</w:t>
            </w:r>
          </w:p>
        </w:tc>
        <w:tc>
          <w:tcPr>
            <w:tcW w:type="dxa" w:w="1454"/>
            <w:shd w:fill="F2F2F2"/>
          </w:tcPr>
          <w:p>
            <w:pPr>
              <w:spacing w:after="20" w:before="20" w:line="276" w:lineRule="auto"/>
              <w:jc w:val="center"/>
            </w:pPr>
            <w:r/>
            <w:r>
              <w:rPr>
                <w:rFonts w:ascii="黑体" w:hAnsi="黑体" w:eastAsia="黑体"/>
                <w:b/>
                <w:i w:val="0"/>
                <w:color w:val="000000"/>
                <w:sz w:val="18"/>
              </w:rPr>
              <w:t>各类 AI 投顾助手</w:t>
            </w:r>
          </w:p>
        </w:tc>
        <w:tc>
          <w:tcPr>
            <w:tcW w:type="dxa" w:w="2253"/>
            <w:shd w:fill="F2F2F2"/>
          </w:tcPr>
          <w:p>
            <w:pPr>
              <w:spacing w:after="20" w:before="20" w:line="276" w:lineRule="auto"/>
              <w:jc w:val="center"/>
            </w:pPr>
            <w:r/>
            <w:r>
              <w:rPr>
                <w:rFonts w:ascii="黑体" w:hAnsi="黑体" w:eastAsia="黑体"/>
                <w:b/>
                <w:i w:val="0"/>
                <w:color w:val="000000"/>
                <w:sz w:val="18"/>
              </w:rPr>
              <w:t>**财智通**</w:t>
            </w:r>
          </w:p>
        </w:tc>
      </w:tr>
      <w:tr>
        <w:tc>
          <w:tcPr>
            <w:tcW w:type="dxa" w:w="1308"/>
          </w:tcPr>
          <w:p>
            <w:pPr>
              <w:spacing w:after="20" w:before="20" w:line="276" w:lineRule="auto"/>
            </w:pPr>
            <w:r/>
            <w:r>
              <w:rPr>
                <w:rFonts w:ascii="宋体" w:hAnsi="宋体" w:eastAsia="宋体"/>
                <w:b w:val="0"/>
                <w:i w:val="0"/>
                <w:color w:val="1A1A1A"/>
                <w:sz w:val="18"/>
              </w:rPr>
              <w:t>作用层</w:t>
            </w:r>
          </w:p>
        </w:tc>
        <w:tc>
          <w:tcPr>
            <w:tcW w:type="dxa" w:w="2035"/>
          </w:tcPr>
          <w:p>
            <w:pPr>
              <w:spacing w:after="20" w:before="20" w:line="276" w:lineRule="auto"/>
            </w:pPr>
            <w:r/>
            <w:r>
              <w:rPr>
                <w:rFonts w:ascii="宋体" w:hAnsi="宋体" w:eastAsia="宋体"/>
                <w:b w:val="0"/>
                <w:i w:val="0"/>
                <w:color w:val="1A1A1A"/>
                <w:sz w:val="18"/>
              </w:rPr>
              <w:t>通讯与交易层拦截（号码、短信、App 黑名单、转账预警）</w:t>
            </w:r>
          </w:p>
        </w:tc>
        <w:tc>
          <w:tcPr>
            <w:tcW w:type="dxa" w:w="1454"/>
          </w:tcPr>
          <w:p>
            <w:pPr>
              <w:spacing w:after="20" w:before="20" w:line="276" w:lineRule="auto"/>
            </w:pPr>
            <w:r/>
            <w:r>
              <w:rPr>
                <w:rFonts w:ascii="宋体" w:hAnsi="宋体" w:eastAsia="宋体"/>
                <w:b w:val="0"/>
                <w:i w:val="0"/>
                <w:color w:val="1A1A1A"/>
                <w:sz w:val="18"/>
              </w:rPr>
              <w:t>知识供给</w:t>
            </w:r>
          </w:p>
        </w:tc>
        <w:tc>
          <w:tcPr>
            <w:tcW w:type="dxa" w:w="1454"/>
          </w:tcPr>
          <w:p>
            <w:pPr>
              <w:spacing w:after="20" w:before="20" w:line="276" w:lineRule="auto"/>
            </w:pPr>
            <w:r/>
            <w:r>
              <w:rPr>
                <w:rFonts w:ascii="宋体" w:hAnsi="宋体" w:eastAsia="宋体"/>
                <w:b w:val="0"/>
                <w:i w:val="0"/>
                <w:color w:val="1A1A1A"/>
                <w:sz w:val="18"/>
              </w:rPr>
              <w:t>决策建议</w:t>
            </w:r>
          </w:p>
        </w:tc>
        <w:tc>
          <w:tcPr>
            <w:tcW w:type="dxa" w:w="2253"/>
          </w:tcPr>
          <w:p>
            <w:pPr>
              <w:spacing w:after="20" w:before="20" w:line="276" w:lineRule="auto"/>
            </w:pPr>
            <w:r/>
            <w:r>
              <w:rPr>
                <w:rFonts w:ascii="宋体" w:hAnsi="宋体" w:eastAsia="宋体"/>
                <w:b/>
                <w:i w:val="0"/>
                <w:color w:val="1A1A1A"/>
                <w:sz w:val="18"/>
              </w:rPr>
              <w:t>内容层的合规体检</w:t>
            </w:r>
          </w:p>
        </w:tc>
      </w:tr>
      <w:tr>
        <w:tc>
          <w:tcPr>
            <w:tcW w:type="dxa" w:w="1308"/>
          </w:tcPr>
          <w:p>
            <w:pPr>
              <w:spacing w:after="20" w:before="20" w:line="276" w:lineRule="auto"/>
            </w:pPr>
            <w:r/>
            <w:r>
              <w:rPr>
                <w:rFonts w:ascii="宋体" w:hAnsi="宋体" w:eastAsia="宋体"/>
                <w:b w:val="0"/>
                <w:i w:val="0"/>
                <w:color w:val="1A1A1A"/>
                <w:sz w:val="18"/>
              </w:rPr>
              <w:t>面对的对象</w:t>
            </w:r>
          </w:p>
        </w:tc>
        <w:tc>
          <w:tcPr>
            <w:tcW w:type="dxa" w:w="2035"/>
          </w:tcPr>
          <w:p>
            <w:pPr>
              <w:spacing w:after="20" w:before="20" w:line="276" w:lineRule="auto"/>
            </w:pPr>
            <w:r/>
            <w:r>
              <w:rPr>
                <w:rFonts w:ascii="宋体" w:hAnsi="宋体" w:eastAsia="宋体"/>
                <w:b w:val="0"/>
                <w:i w:val="0"/>
                <w:color w:val="1A1A1A"/>
                <w:sz w:val="18"/>
              </w:rPr>
              <w:t>已发生的接触行为</w:t>
            </w:r>
          </w:p>
        </w:tc>
        <w:tc>
          <w:tcPr>
            <w:tcW w:type="dxa" w:w="1454"/>
          </w:tcPr>
          <w:p>
            <w:pPr>
              <w:spacing w:after="20" w:before="20" w:line="276" w:lineRule="auto"/>
            </w:pPr>
            <w:r/>
            <w:r>
              <w:rPr>
                <w:rFonts w:ascii="宋体" w:hAnsi="宋体" w:eastAsia="宋体"/>
                <w:b w:val="0"/>
                <w:i w:val="0"/>
                <w:color w:val="1A1A1A"/>
                <w:sz w:val="18"/>
              </w:rPr>
              <w:t>愿意主动学习的人</w:t>
            </w:r>
          </w:p>
        </w:tc>
        <w:tc>
          <w:tcPr>
            <w:tcW w:type="dxa" w:w="1454"/>
          </w:tcPr>
          <w:p>
            <w:pPr>
              <w:spacing w:after="20" w:before="20" w:line="276" w:lineRule="auto"/>
            </w:pPr>
            <w:r/>
            <w:r>
              <w:rPr>
                <w:rFonts w:ascii="宋体" w:hAnsi="宋体" w:eastAsia="宋体"/>
                <w:b w:val="0"/>
                <w:i w:val="0"/>
                <w:color w:val="1A1A1A"/>
                <w:sz w:val="18"/>
              </w:rPr>
              <w:t>追求收益的活跃投资者</w:t>
            </w:r>
          </w:p>
        </w:tc>
        <w:tc>
          <w:tcPr>
            <w:tcW w:type="dxa" w:w="2253"/>
          </w:tcPr>
          <w:p>
            <w:pPr>
              <w:spacing w:after="20" w:before="20" w:line="276" w:lineRule="auto"/>
            </w:pPr>
            <w:r/>
            <w:r>
              <w:rPr>
                <w:rFonts w:ascii="宋体" w:hAnsi="宋体" w:eastAsia="宋体"/>
                <w:b/>
                <w:i w:val="0"/>
                <w:color w:val="1A1A1A"/>
                <w:sz w:val="18"/>
              </w:rPr>
              <w:t>手里正拿着一张可疑广告的人</w:t>
            </w:r>
          </w:p>
        </w:tc>
      </w:tr>
      <w:tr>
        <w:tc>
          <w:tcPr>
            <w:tcW w:type="dxa" w:w="1308"/>
          </w:tcPr>
          <w:p>
            <w:pPr>
              <w:spacing w:after="20" w:before="20" w:line="276" w:lineRule="auto"/>
            </w:pPr>
            <w:r/>
            <w:r>
              <w:rPr>
                <w:rFonts w:ascii="宋体" w:hAnsi="宋体" w:eastAsia="宋体"/>
                <w:b w:val="0"/>
                <w:i w:val="0"/>
                <w:color w:val="1A1A1A"/>
                <w:sz w:val="18"/>
              </w:rPr>
              <w:t>能否处理一张群聊截图</w:t>
            </w:r>
          </w:p>
        </w:tc>
        <w:tc>
          <w:tcPr>
            <w:tcW w:type="dxa" w:w="2035"/>
          </w:tcPr>
          <w:p>
            <w:pPr>
              <w:spacing w:after="20" w:before="20" w:line="276" w:lineRule="auto"/>
            </w:pPr>
            <w:r/>
            <w:r>
              <w:rPr>
                <w:rFonts w:ascii="宋体" w:hAnsi="宋体" w:eastAsia="宋体"/>
                <w:b w:val="0"/>
                <w:i w:val="0"/>
                <w:color w:val="1A1A1A"/>
                <w:sz w:val="18"/>
              </w:rPr>
              <w:t>不能</w:t>
            </w:r>
          </w:p>
        </w:tc>
        <w:tc>
          <w:tcPr>
            <w:tcW w:type="dxa" w:w="1454"/>
          </w:tcPr>
          <w:p>
            <w:pPr>
              <w:spacing w:after="20" w:before="20" w:line="276" w:lineRule="auto"/>
            </w:pPr>
            <w:r/>
            <w:r>
              <w:rPr>
                <w:rFonts w:ascii="宋体" w:hAnsi="宋体" w:eastAsia="宋体"/>
                <w:b w:val="0"/>
                <w:i w:val="0"/>
                <w:color w:val="1A1A1A"/>
                <w:sz w:val="18"/>
              </w:rPr>
              <w:t>不能</w:t>
            </w:r>
          </w:p>
        </w:tc>
        <w:tc>
          <w:tcPr>
            <w:tcW w:type="dxa" w:w="1454"/>
          </w:tcPr>
          <w:p>
            <w:pPr>
              <w:spacing w:after="20" w:before="20" w:line="276" w:lineRule="auto"/>
            </w:pPr>
            <w:r/>
            <w:r>
              <w:rPr>
                <w:rFonts w:ascii="宋体" w:hAnsi="宋体" w:eastAsia="宋体"/>
                <w:b w:val="0"/>
                <w:i w:val="0"/>
                <w:color w:val="1A1A1A"/>
                <w:sz w:val="18"/>
              </w:rPr>
              <w:t>不涉及</w:t>
            </w:r>
          </w:p>
        </w:tc>
        <w:tc>
          <w:tcPr>
            <w:tcW w:type="dxa" w:w="2253"/>
          </w:tcPr>
          <w:p>
            <w:pPr>
              <w:spacing w:after="20" w:before="20" w:line="276" w:lineRule="auto"/>
            </w:pPr>
            <w:r/>
            <w:r>
              <w:rPr>
                <w:rFonts w:ascii="宋体" w:hAnsi="宋体" w:eastAsia="宋体"/>
                <w:b/>
                <w:i w:val="0"/>
                <w:color w:val="1A1A1A"/>
                <w:sz w:val="18"/>
              </w:rPr>
              <w:t>能，并给出法规依据与核查指引</w:t>
            </w:r>
          </w:p>
        </w:tc>
      </w:tr>
      <w:tr>
        <w:tc>
          <w:tcPr>
            <w:tcW w:type="dxa" w:w="1308"/>
          </w:tcPr>
          <w:p>
            <w:pPr>
              <w:spacing w:after="20" w:before="20" w:line="276" w:lineRule="auto"/>
            </w:pPr>
            <w:r/>
            <w:r>
              <w:rPr>
                <w:rFonts w:ascii="宋体" w:hAnsi="宋体" w:eastAsia="宋体"/>
                <w:b w:val="0"/>
                <w:i w:val="0"/>
                <w:color w:val="1A1A1A"/>
                <w:sz w:val="18"/>
              </w:rPr>
              <w:t>是否需要牌照</w:t>
            </w:r>
          </w:p>
        </w:tc>
        <w:tc>
          <w:tcPr>
            <w:tcW w:type="dxa" w:w="2035"/>
          </w:tcPr>
          <w:p>
            <w:pPr>
              <w:spacing w:after="20" w:before="20" w:line="276" w:lineRule="auto"/>
            </w:pPr>
            <w:r/>
            <w:r>
              <w:rPr>
                <w:rFonts w:ascii="宋体" w:hAnsi="宋体" w:eastAsia="宋体"/>
                <w:b w:val="0"/>
                <w:i w:val="0"/>
                <w:color w:val="1A1A1A"/>
                <w:sz w:val="18"/>
              </w:rPr>
              <w:t>政府主体</w:t>
            </w:r>
          </w:p>
        </w:tc>
        <w:tc>
          <w:tcPr>
            <w:tcW w:type="dxa" w:w="1454"/>
          </w:tcPr>
          <w:p>
            <w:pPr>
              <w:spacing w:after="20" w:before="20" w:line="276" w:lineRule="auto"/>
            </w:pPr>
            <w:r/>
            <w:r>
              <w:rPr>
                <w:rFonts w:ascii="宋体" w:hAnsi="宋体" w:eastAsia="宋体"/>
                <w:b w:val="0"/>
                <w:i w:val="0"/>
                <w:color w:val="1A1A1A"/>
                <w:sz w:val="18"/>
              </w:rPr>
              <w:t>机构主体多为持牌</w:t>
            </w:r>
          </w:p>
        </w:tc>
        <w:tc>
          <w:tcPr>
            <w:tcW w:type="dxa" w:w="1454"/>
          </w:tcPr>
          <w:p>
            <w:pPr>
              <w:spacing w:after="20" w:before="20" w:line="276" w:lineRule="auto"/>
            </w:pPr>
            <w:r/>
            <w:r>
              <w:rPr>
                <w:rFonts w:ascii="宋体" w:hAnsi="宋体" w:eastAsia="宋体"/>
                <w:b w:val="0"/>
                <w:i w:val="0"/>
                <w:color w:val="1A1A1A"/>
                <w:sz w:val="18"/>
              </w:rPr>
              <w:t>荐股荐基须持牌</w:t>
            </w:r>
          </w:p>
        </w:tc>
        <w:tc>
          <w:tcPr>
            <w:tcW w:type="dxa" w:w="2253"/>
          </w:tcPr>
          <w:p>
            <w:pPr>
              <w:spacing w:after="20" w:before="20" w:line="276" w:lineRule="auto"/>
            </w:pPr>
            <w:r/>
            <w:r>
              <w:rPr>
                <w:rFonts w:ascii="宋体" w:hAnsi="宋体" w:eastAsia="宋体"/>
                <w:b/>
                <w:i w:val="0"/>
                <w:color w:val="1A1A1A"/>
                <w:sz w:val="18"/>
              </w:rPr>
              <w:t>不需要——只作投教与风险提示</w:t>
            </w:r>
          </w:p>
        </w:tc>
      </w:tr>
      <w:tr>
        <w:tc>
          <w:tcPr>
            <w:tcW w:type="dxa" w:w="1308"/>
          </w:tcPr>
          <w:p>
            <w:pPr>
              <w:spacing w:after="20" w:before="20" w:line="276" w:lineRule="auto"/>
            </w:pPr>
            <w:r/>
            <w:r>
              <w:rPr>
                <w:rFonts w:ascii="宋体" w:hAnsi="宋体" w:eastAsia="宋体"/>
                <w:b w:val="0"/>
                <w:i w:val="0"/>
                <w:color w:val="1A1A1A"/>
                <w:sz w:val="18"/>
              </w:rPr>
              <w:t>与我们的关系</w:t>
            </w:r>
          </w:p>
        </w:tc>
        <w:tc>
          <w:tcPr>
            <w:tcW w:type="dxa" w:w="2035"/>
          </w:tcPr>
          <w:p>
            <w:pPr>
              <w:spacing w:after="20" w:before="20" w:line="276" w:lineRule="auto"/>
            </w:pPr>
            <w:r/>
            <w:r>
              <w:rPr>
                <w:rFonts w:ascii="宋体" w:hAnsi="宋体" w:eastAsia="宋体"/>
                <w:b/>
                <w:i w:val="0"/>
                <w:color w:val="1A1A1A"/>
                <w:sz w:val="18"/>
              </w:rPr>
              <w:t>互补，非替代</w:t>
            </w:r>
          </w:p>
        </w:tc>
        <w:tc>
          <w:tcPr>
            <w:tcW w:type="dxa" w:w="1454"/>
          </w:tcPr>
          <w:p>
            <w:pPr>
              <w:spacing w:after="20" w:before="20" w:line="276" w:lineRule="auto"/>
            </w:pPr>
            <w:r/>
            <w:r>
              <w:rPr>
                <w:rFonts w:ascii="宋体" w:hAnsi="宋体" w:eastAsia="宋体"/>
                <w:b w:val="0"/>
                <w:i w:val="0"/>
                <w:color w:val="1A1A1A"/>
                <w:sz w:val="18"/>
              </w:rPr>
              <w:t>上游知识来源</w:t>
            </w:r>
          </w:p>
        </w:tc>
        <w:tc>
          <w:tcPr>
            <w:tcW w:type="dxa" w:w="1454"/>
          </w:tcPr>
          <w:p>
            <w:pPr>
              <w:spacing w:after="20" w:before="20" w:line="276" w:lineRule="auto"/>
            </w:pPr>
            <w:r/>
            <w:r>
              <w:rPr>
                <w:rFonts w:ascii="宋体" w:hAnsi="宋体" w:eastAsia="宋体"/>
                <w:b w:val="0"/>
                <w:i w:val="0"/>
                <w:color w:val="1A1A1A"/>
                <w:sz w:val="18"/>
              </w:rPr>
              <w:t>合规边界不同</w:t>
            </w:r>
          </w:p>
        </w:tc>
        <w:tc>
          <w:tcPr>
            <w:tcW w:type="dxa" w:w="2253"/>
          </w:tcPr>
          <w:p>
            <w:pPr>
              <w:spacing w:after="20" w:before="20" w:line="276" w:lineRule="auto"/>
            </w:pPr>
            <w:r/>
            <w:r>
              <w:rPr>
                <w:rFonts w:ascii="宋体" w:hAnsi="宋体" w:eastAsia="宋体"/>
                <w:b w:val="0"/>
                <w:i w:val="0"/>
                <w:color w:val="1A1A1A"/>
                <w:sz w:val="18"/>
              </w:rPr>
              <w:t>—</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16　竞品对比</w:t>
      </w:r>
    </w:p>
    <w:p>
      <w:pPr>
        <w:keepNext w:val="0"/>
        <w:spacing w:before="0" w:after="60" w:line="360" w:lineRule="auto"/>
        <w:ind w:firstLine="480"/>
        <w:jc w:val="both"/>
      </w:pPr>
      <w:r>
        <w:rPr>
          <w:rFonts w:ascii="宋体" w:hAnsi="宋体" w:eastAsia="宋体"/>
          <w:b/>
          <w:i w:val="0"/>
          <w:color w:val="1A1A1A"/>
          <w:sz w:val="24"/>
        </w:rPr>
        <w:t>核心竞争力可归纳为四条，每一条都可被检验：</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合规护城河</w:t>
      </w:r>
      <w:r>
        <w:rPr>
          <w:rFonts w:ascii="宋体" w:hAnsi="宋体" w:eastAsia="宋体"/>
          <w:b w:val="0"/>
          <w:i w:val="0"/>
          <w:color w:val="1A1A1A"/>
          <w:sz w:val="23"/>
        </w:rPr>
        <w:t>：走监管鼓励的方向，不持牌也能合法运营，而走「帮你赚钱」路线的竞争者需要牌照。</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判定的可溯源性</w:t>
      </w:r>
      <w:r>
        <w:rPr>
          <w:rFonts w:ascii="宋体" w:hAnsi="宋体" w:eastAsia="宋体"/>
          <w:b w:val="0"/>
          <w:i w:val="0"/>
          <w:color w:val="1A1A1A"/>
          <w:sz w:val="23"/>
        </w:rPr>
        <w:t>：15 类特征 / 365 关键词 / 14 条逐字核对并附来源链接的法规条文；每条结论可点开看到依据的条文原文。这不是模型能力，而是内容资产，需要时间积累。</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误判防护的工程纪律</w:t>
      </w:r>
      <w:r>
        <w:rPr>
          <w:rFonts w:ascii="宋体" w:hAnsi="宋体" w:eastAsia="宋体"/>
          <w:b w:val="0"/>
          <w:i w:val="0"/>
          <w:color w:val="1A1A1A"/>
          <w:sz w:val="23"/>
        </w:rPr>
        <w:t>：三层语境防护 + 正规产品反向对照回归测试。</w:t>
      </w:r>
      <w:r>
        <w:rPr>
          <w:rFonts w:ascii="宋体" w:hAnsi="宋体" w:eastAsia="宋体"/>
          <w:b/>
          <w:i w:val="0"/>
          <w:color w:val="1A1A1A"/>
          <w:sz w:val="23"/>
        </w:rPr>
        <w:t>在这个场景里，不误判比能识别更难，也更值钱。</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数据飞轮</w:t>
      </w:r>
      <w:r>
        <w:rPr>
          <w:rFonts w:ascii="宋体" w:hAnsi="宋体" w:eastAsia="宋体"/>
          <w:b w:val="0"/>
          <w:i w:val="0"/>
          <w:color w:val="1A1A1A"/>
          <w:sz w:val="23"/>
        </w:rPr>
        <w:t>：C 端沉淀的脱敏话术特征持续反哺规则库，用得越多识别越准。</w:t>
      </w:r>
    </w:p>
    <w:p>
      <w:pPr>
        <w:keepNext w:val="0"/>
        <w:spacing w:before="0" w:after="60" w:line="360" w:lineRule="auto"/>
        <w:ind w:firstLine="480"/>
        <w:jc w:val="both"/>
      </w:pPr>
      <w:r>
        <w:rPr>
          <w:rFonts w:ascii="宋体" w:hAnsi="宋体" w:eastAsia="宋体"/>
          <w:b/>
          <w:i w:val="0"/>
          <w:color w:val="1A1A1A"/>
          <w:sz w:val="24"/>
        </w:rPr>
        <w:t>关于「国家反诈中心 App 不是已经有了吗」这一质疑的正式回答</w:t>
      </w:r>
      <w:r>
        <w:rPr>
          <w:rFonts w:ascii="宋体" w:hAnsi="宋体" w:eastAsia="宋体"/>
          <w:b w:val="0"/>
          <w:i w:val="0"/>
          <w:color w:val="1A1A1A"/>
          <w:sz w:val="24"/>
        </w:rPr>
        <w:t>：反诈 App 的核心能力是通讯与交易层的拦截，管的是「已经发生的接触行为」；而投资理财骗局的入口是内容与话术——一张广告图、一段群聊、一份说明书，这些不在号码黑名单里。我们做的是内容层的合规体检，输出法规依据与投资者教育，与反诈 App 是</w:t>
      </w:r>
      <w:r>
        <w:rPr>
          <w:rFonts w:ascii="宋体" w:hAnsi="宋体" w:eastAsia="宋体"/>
          <w:b/>
          <w:i w:val="0"/>
          <w:color w:val="1A1A1A"/>
          <w:sz w:val="24"/>
        </w:rPr>
        <w:t>互补而非替代</w:t>
      </w:r>
      <w:r>
        <w:rPr>
          <w:rFonts w:ascii="宋体" w:hAnsi="宋体" w:eastAsia="宋体"/>
          <w:b w:val="0"/>
          <w:i w:val="0"/>
          <w:color w:val="1A1A1A"/>
          <w:sz w:val="24"/>
        </w:rPr>
        <w:t>；且我们同时承担投资者教育职能，这是反诈 App 不做的。</w:t>
      </w:r>
    </w:p>
    <w:p>
      <w:r>
        <w:br w:type="page"/>
      </w:r>
    </w:p>
    <w:p>
      <w:pPr>
        <w:keepNext/>
        <w:spacing w:before="400" w:after="200" w:line="324" w:lineRule="auto"/>
        <w:jc w:val="left"/>
      </w:pPr>
      <w:r>
        <w:rPr>
          <w:rFonts w:ascii="黑体" w:hAnsi="黑体" w:eastAsia="黑体"/>
          <w:b/>
          <w:i w:val="0"/>
          <w:color w:val="000000"/>
          <w:sz w:val="32"/>
        </w:rPr>
        <w:t>十一、可行性分析</w:t>
      </w:r>
    </w:p>
    <w:p>
      <w:pPr>
        <w:keepNext/>
        <w:spacing w:before="280" w:after="120" w:line="324" w:lineRule="auto"/>
        <w:jc w:val="left"/>
      </w:pPr>
      <w:r>
        <w:rPr>
          <w:rFonts w:ascii="黑体" w:hAnsi="黑体" w:eastAsia="黑体"/>
          <w:b/>
          <w:i w:val="0"/>
          <w:color w:val="000000"/>
          <w:sz w:val="27"/>
        </w:rPr>
        <w:t>1. 技术可行性</w:t>
      </w:r>
    </w:p>
    <w:p>
      <w:pPr>
        <w:keepNext w:val="0"/>
        <w:spacing w:before="0" w:after="60" w:line="360" w:lineRule="auto"/>
        <w:ind w:firstLine="480"/>
        <w:jc w:val="both"/>
      </w:pPr>
      <w:r>
        <w:rPr>
          <w:rFonts w:ascii="宋体" w:hAnsi="宋体" w:eastAsia="宋体"/>
          <w:b/>
          <w:i w:val="0"/>
          <w:color w:val="1A1A1A"/>
          <w:sz w:val="24"/>
        </w:rPr>
        <w:t>已完成验证，不属于待验证事项。</w:t>
      </w:r>
      <w:r>
        <w:rPr>
          <w:rFonts w:ascii="宋体" w:hAnsi="宋体" w:eastAsia="宋体"/>
          <w:b w:val="0"/>
          <w:i w:val="0"/>
          <w:color w:val="1A1A1A"/>
          <w:sz w:val="24"/>
        </w:rPr>
        <w:t xml:space="preserve"> 截至本文档定稿，四个功能模块全部可用，生产构建通过，自动化测试 843 项断言全部通过，真实多模态 OCR 与模型转述均已联调完成，端到端耗时图片输入 3—7 秒、纯文字输入 0.9—3.9 秒。</w:t>
      </w:r>
    </w:p>
    <w:p>
      <w:pPr>
        <w:keepNext w:val="0"/>
        <w:spacing w:before="0" w:after="60" w:line="360" w:lineRule="auto"/>
        <w:ind w:firstLine="480"/>
        <w:jc w:val="both"/>
      </w:pPr>
      <w:r>
        <w:rPr>
          <w:rFonts w:ascii="宋体" w:hAnsi="宋体" w:eastAsia="宋体"/>
          <w:b/>
          <w:i w:val="0"/>
          <w:color w:val="1A1A1A"/>
          <w:sz w:val="24"/>
        </w:rPr>
        <w:t>关键技术风险已被架构本身消解。</w:t>
      </w:r>
      <w:r>
        <w:rPr>
          <w:rFonts w:ascii="宋体" w:hAnsi="宋体" w:eastAsia="宋体"/>
          <w:b w:val="0"/>
          <w:i w:val="0"/>
          <w:color w:val="1A1A1A"/>
          <w:sz w:val="24"/>
        </w:rPr>
        <w:t xml:space="preserve"> 模型能力波动、API 不可用、网络不稳这三类风险，在「判定归规则、转述归模型」的架构下都不影响判定结果：模型只承担提取与转述，规则层决定结论；无 Key 时自动回落 mock；模型超时自动降级；术语词典、计算器、规划师全流程、学习模块完全不依赖模型。</w:t>
      </w:r>
    </w:p>
    <w:p>
      <w:pPr>
        <w:keepNext w:val="0"/>
        <w:spacing w:before="0" w:after="60" w:line="360" w:lineRule="auto"/>
        <w:ind w:firstLine="480"/>
        <w:jc w:val="both"/>
      </w:pPr>
      <w:r>
        <w:rPr>
          <w:rFonts w:ascii="宋体" w:hAnsi="宋体" w:eastAsia="宋体"/>
          <w:b/>
          <w:i w:val="0"/>
          <w:color w:val="1A1A1A"/>
          <w:sz w:val="24"/>
        </w:rPr>
        <w:t>技术栈选择保守且成熟。</w:t>
      </w:r>
      <w:r>
        <w:rPr>
          <w:rFonts w:ascii="宋体" w:hAnsi="宋体" w:eastAsia="宋体"/>
          <w:b w:val="0"/>
          <w:i w:val="0"/>
          <w:color w:val="1A1A1A"/>
          <w:sz w:val="24"/>
        </w:rPr>
        <w:t xml:space="preserve"> Next.js + React + TypeScript + Tailwind 均为主流稳定方案，无自研框架、无实验性依赖、无外链资源。国产模型经适配层调用，可一行环境变量切换，不存在单一供应商锁定。</w:t>
      </w:r>
    </w:p>
    <w:p>
      <w:pPr>
        <w:keepNext/>
        <w:spacing w:before="280" w:after="120" w:line="324" w:lineRule="auto"/>
        <w:jc w:val="left"/>
      </w:pPr>
      <w:r>
        <w:rPr>
          <w:rFonts w:ascii="黑体" w:hAnsi="黑体" w:eastAsia="黑体"/>
          <w:b/>
          <w:i w:val="0"/>
          <w:color w:val="000000"/>
          <w:sz w:val="27"/>
        </w:rPr>
        <w:t>2. 市场可行性</w:t>
      </w:r>
    </w:p>
    <w:p>
      <w:pPr>
        <w:keepNext w:val="0"/>
        <w:spacing w:before="0" w:after="60" w:line="360" w:lineRule="auto"/>
        <w:ind w:firstLine="480"/>
        <w:jc w:val="both"/>
      </w:pPr>
      <w:r>
        <w:rPr>
          <w:rFonts w:ascii="宋体" w:hAnsi="宋体" w:eastAsia="宋体"/>
          <w:b/>
          <w:i w:val="0"/>
          <w:color w:val="1A1A1A"/>
          <w:sz w:val="24"/>
        </w:rPr>
        <w:t>需求由监管强制产生，不依赖用户教育。</w:t>
      </w:r>
      <w:r>
        <w:rPr>
          <w:rFonts w:ascii="宋体" w:hAnsi="宋体" w:eastAsia="宋体"/>
          <w:b w:val="0"/>
          <w:i w:val="0"/>
          <w:color w:val="1A1A1A"/>
          <w:sz w:val="24"/>
        </w:rPr>
        <w:t xml:space="preserve"> 投资者适当性管理与投资者教育是持牌机构的监管义务；反非法金融活动宣传是各级政府的既有工作。这意味着我们不需要说服客户「这件事重要」，只需要证明「我们做得比传单和讲座更好、更可衡量」。</w:t>
      </w:r>
    </w:p>
    <w:p>
      <w:pPr>
        <w:keepNext w:val="0"/>
        <w:spacing w:before="0" w:after="60" w:line="360" w:lineRule="auto"/>
        <w:ind w:firstLine="480"/>
        <w:jc w:val="both"/>
      </w:pPr>
      <w:r>
        <w:rPr>
          <w:rFonts w:ascii="宋体" w:hAnsi="宋体" w:eastAsia="宋体"/>
          <w:b/>
          <w:i w:val="0"/>
          <w:color w:val="1A1A1A"/>
          <w:sz w:val="24"/>
        </w:rPr>
        <w:t>替代对象明确，效率对比直观。</w:t>
      </w:r>
      <w:r>
        <w:rPr>
          <w:rFonts w:ascii="宋体" w:hAnsi="宋体" w:eastAsia="宋体"/>
          <w:b w:val="0"/>
          <w:i w:val="0"/>
          <w:color w:val="1A1A1A"/>
          <w:sz w:val="24"/>
        </w:rPr>
        <w:t xml:space="preserve"> 一场社区反诈讲座的成本、覆盖人数与效果留存，与一次「扫码上传自己收到的广告并当场看到判定」的活动相比，后者在参与度与可衡量性上都有明显优势。</w:t>
      </w:r>
    </w:p>
    <w:p>
      <w:pPr>
        <w:keepNext w:val="0"/>
        <w:spacing w:before="0" w:after="60" w:line="360" w:lineRule="auto"/>
        <w:ind w:firstLine="480"/>
        <w:jc w:val="both"/>
      </w:pPr>
      <w:r>
        <w:rPr>
          <w:rFonts w:ascii="宋体" w:hAnsi="宋体" w:eastAsia="宋体"/>
          <w:b/>
          <w:i w:val="0"/>
          <w:color w:val="1A1A1A"/>
          <w:sz w:val="24"/>
        </w:rPr>
        <w:t>采购主体的决策链清晰、预算科目明确。</w:t>
      </w:r>
      <w:r>
        <w:rPr>
          <w:rFonts w:ascii="宋体" w:hAnsi="宋体" w:eastAsia="宋体"/>
          <w:b w:val="0"/>
          <w:i w:val="0"/>
          <w:color w:val="1A1A1A"/>
          <w:sz w:val="24"/>
        </w:rPr>
        <w:t xml:space="preserve"> 这一点在校园与社区场景中尤为重要——预算是年度确定的，采购流程是既有的，我们不需要开辟新的预算科目。</w:t>
      </w:r>
    </w:p>
    <w:p>
      <w:pPr>
        <w:keepNext w:val="0"/>
        <w:spacing w:before="0" w:after="60" w:line="360" w:lineRule="auto"/>
        <w:ind w:firstLine="480"/>
        <w:jc w:val="both"/>
      </w:pPr>
      <w:r>
        <w:rPr>
          <w:rFonts w:ascii="宋体" w:hAnsi="宋体" w:eastAsia="宋体"/>
          <w:b/>
          <w:i w:val="0"/>
          <w:color w:val="1A1A1A"/>
          <w:sz w:val="24"/>
        </w:rPr>
        <w:t>C 端不构成商业风险。</w:t>
      </w:r>
      <w:r>
        <w:rPr>
          <w:rFonts w:ascii="宋体" w:hAnsi="宋体" w:eastAsia="宋体"/>
          <w:b w:val="0"/>
          <w:i w:val="0"/>
          <w:color w:val="1A1A1A"/>
          <w:sz w:val="24"/>
        </w:rPr>
        <w:t xml:space="preserve"> 因为 C 端不承担收入责任，其角色是样本与口碑入口；即便 C 端增长慢于预期，B / G 端的价值主张也不受影响。</w:t>
      </w:r>
    </w:p>
    <w:p>
      <w:pPr>
        <w:keepNext/>
        <w:spacing w:before="280" w:after="120" w:line="324" w:lineRule="auto"/>
        <w:jc w:val="left"/>
      </w:pPr>
      <w:r>
        <w:rPr>
          <w:rFonts w:ascii="黑体" w:hAnsi="黑体" w:eastAsia="黑体"/>
          <w:b/>
          <w:i w:val="0"/>
          <w:color w:val="000000"/>
          <w:sz w:val="27"/>
        </w:rPr>
        <w:t>3. 运营可行性</w:t>
      </w:r>
    </w:p>
    <w:p>
      <w:pPr>
        <w:keepNext w:val="0"/>
        <w:spacing w:before="0" w:after="60" w:line="360" w:lineRule="auto"/>
        <w:ind w:firstLine="480"/>
        <w:jc w:val="both"/>
      </w:pPr>
      <w:r>
        <w:rPr>
          <w:rFonts w:ascii="宋体" w:hAnsi="宋体" w:eastAsia="宋体"/>
          <w:b/>
          <w:i w:val="0"/>
          <w:color w:val="1A1A1A"/>
          <w:sz w:val="24"/>
        </w:rPr>
        <w:t>产品形态适配运营场景。</w:t>
      </w:r>
      <w:r>
        <w:rPr>
          <w:rFonts w:ascii="宋体" w:hAnsi="宋体" w:eastAsia="宋体"/>
          <w:b w:val="0"/>
          <w:i w:val="0"/>
          <w:color w:val="1A1A1A"/>
          <w:sz w:val="24"/>
        </w:rPr>
        <w:t xml:space="preserve"> Web 应用扫码即用、无需安装、无需注册，这对社区与老年大学场景是决定性的——任何需要下载 App 或注册账号的方案，在老年群体的现场活动中转化率都会大幅下降。</w:t>
      </w:r>
    </w:p>
    <w:p>
      <w:pPr>
        <w:keepNext w:val="0"/>
        <w:spacing w:before="0" w:after="60" w:line="360" w:lineRule="auto"/>
        <w:ind w:firstLine="480"/>
        <w:jc w:val="both"/>
      </w:pPr>
      <w:r>
        <w:rPr>
          <w:rFonts w:ascii="宋体" w:hAnsi="宋体" w:eastAsia="宋体"/>
          <w:b/>
          <w:i w:val="0"/>
          <w:color w:val="1A1A1A"/>
          <w:sz w:val="24"/>
        </w:rPr>
        <w:t>内容生产可由非技术成员承担。</w:t>
      </w:r>
      <w:r>
        <w:rPr>
          <w:rFonts w:ascii="宋体" w:hAnsi="宋体" w:eastAsia="宋体"/>
          <w:b w:val="0"/>
          <w:i w:val="0"/>
          <w:color w:val="1A1A1A"/>
          <w:sz w:val="24"/>
        </w:rPr>
        <w:t xml:space="preserve"> 骗局图鉴、题库、术语表、投资方向科普全部是结构化 JSON，编辑内容不需要改代码。这意味着团队中的经济学背景成员可以直接产出核心资产，且规则库的每一次改动都有回归测试兜底。</w:t>
      </w:r>
    </w:p>
    <w:p>
      <w:pPr>
        <w:keepNext w:val="0"/>
        <w:spacing w:before="0" w:after="60" w:line="360" w:lineRule="auto"/>
        <w:ind w:firstLine="480"/>
        <w:jc w:val="both"/>
      </w:pPr>
      <w:r>
        <w:rPr>
          <w:rFonts w:ascii="宋体" w:hAnsi="宋体" w:eastAsia="宋体"/>
          <w:b/>
          <w:i w:val="0"/>
          <w:color w:val="1A1A1A"/>
          <w:sz w:val="24"/>
        </w:rPr>
        <w:t>运营交付物可复用。</w:t>
      </w:r>
      <w:r>
        <w:rPr>
          <w:rFonts w:ascii="宋体" w:hAnsi="宋体" w:eastAsia="宋体"/>
          <w:b w:val="0"/>
          <w:i w:val="0"/>
          <w:color w:val="1A1A1A"/>
          <w:sz w:val="24"/>
        </w:rPr>
        <w:t xml:space="preserve"> 一次线下活动完成后，活动流程、物料、效果报告模板即固化为可复用的交付物，后续每一单的边际成本递减。</w:t>
      </w:r>
    </w:p>
    <w:p>
      <w:pPr>
        <w:keepNext w:val="0"/>
        <w:spacing w:before="0" w:after="60" w:line="360" w:lineRule="auto"/>
        <w:ind w:firstLine="480"/>
        <w:jc w:val="both"/>
      </w:pPr>
      <w:r>
        <w:rPr>
          <w:rFonts w:ascii="宋体" w:hAnsi="宋体" w:eastAsia="宋体"/>
          <w:b/>
          <w:i w:val="0"/>
          <w:color w:val="1A1A1A"/>
          <w:sz w:val="24"/>
        </w:rPr>
        <w:t>团队构成与项目需求匹配。</w:t>
      </w:r>
      <w:r>
        <w:rPr>
          <w:rFonts w:ascii="宋体" w:hAnsi="宋体" w:eastAsia="宋体"/>
          <w:b w:val="0"/>
          <w:i w:val="0"/>
          <w:color w:val="1A1A1A"/>
          <w:sz w:val="24"/>
        </w:rPr>
        <w:t xml:space="preserve"> 本项目的核心难点不在算法，而在「金融合规知识的结构化」与「面向低认知用户的表达」——前者需要金融与法律的阅读能力，后者需要产品与文案能力，二者均为经济学院团队的能力范围之内。</w:t>
      </w:r>
    </w:p>
    <w:p>
      <w:pPr>
        <w:keepNext/>
        <w:spacing w:before="280" w:after="120" w:line="324" w:lineRule="auto"/>
        <w:jc w:val="left"/>
      </w:pPr>
      <w:r>
        <w:rPr>
          <w:rFonts w:ascii="黑体" w:hAnsi="黑体" w:eastAsia="黑体"/>
          <w:b/>
          <w:i w:val="0"/>
          <w:color w:val="000000"/>
          <w:sz w:val="27"/>
        </w:rPr>
        <w:t>4. 合规可行性</w:t>
      </w:r>
    </w:p>
    <w:p>
      <w:pPr>
        <w:keepNext w:val="0"/>
        <w:spacing w:before="0" w:after="60" w:line="360" w:lineRule="auto"/>
        <w:ind w:firstLine="480"/>
        <w:jc w:val="both"/>
      </w:pPr>
      <w:r>
        <w:rPr>
          <w:rFonts w:ascii="宋体" w:hAnsi="宋体" w:eastAsia="宋体"/>
          <w:b/>
          <w:i w:val="0"/>
          <w:color w:val="1A1A1A"/>
          <w:sz w:val="24"/>
        </w:rPr>
        <w:t>这是本项目最经得起追问的一环，因为合规不是事后补的，而是产品定位的起点。</w:t>
      </w:r>
    </w:p>
    <w:p>
      <w:pPr>
        <w:keepNext w:val="0"/>
        <w:spacing w:before="0" w:after="60" w:line="360" w:lineRule="auto"/>
        <w:ind w:firstLine="480"/>
        <w:jc w:val="both"/>
      </w:pPr>
      <w:r>
        <w:rPr>
          <w:rFonts w:ascii="宋体" w:hAnsi="宋体" w:eastAsia="宋体"/>
          <w:b/>
          <w:i w:val="0"/>
          <w:color w:val="1A1A1A"/>
          <w:sz w:val="24"/>
        </w:rPr>
        <w:t>（1）业务定性：我们做的是投资者教育与投资者保护，不是证券投资咨询。</w:t>
      </w:r>
      <w:r>
        <w:rPr>
          <w:rFonts w:ascii="宋体" w:hAnsi="宋体" w:eastAsia="宋体"/>
          <w:b w:val="0"/>
          <w:i w:val="0"/>
          <w:color w:val="1A1A1A"/>
          <w:sz w:val="24"/>
        </w:rPr>
        <w:t xml:space="preserve"> 判断基准是——推荐具体标的等于证券投资咨询业务、须持牌；风险提示与投资者教育则是监管鼓励。我们的全部功能落在放心区，或经改造后的谨慎区（见图 6 与表 11）。</w:t>
      </w:r>
      <w:r>
        <w:rPr>
          <w:rFonts w:ascii="宋体" w:hAnsi="宋体" w:eastAsia="宋体"/>
          <w:b/>
          <w:i w:val="0"/>
          <w:color w:val="1A1A1A"/>
          <w:sz w:val="24"/>
        </w:rPr>
        <w:t>不持牌亦可合法运营。</w:t>
      </w:r>
    </w:p>
    <w:p>
      <w:pPr>
        <w:keepNext w:val="0"/>
        <w:spacing w:before="0" w:after="60" w:line="360" w:lineRule="auto"/>
        <w:ind w:firstLine="480"/>
        <w:jc w:val="both"/>
      </w:pPr>
      <w:r>
        <w:rPr>
          <w:rFonts w:ascii="宋体" w:hAnsi="宋体" w:eastAsia="宋体"/>
          <w:b/>
          <w:i w:val="0"/>
          <w:color w:val="1A1A1A"/>
          <w:sz w:val="24"/>
        </w:rPr>
        <w:t>（2）不作法律定性。</w:t>
      </w:r>
      <w:r>
        <w:rPr>
          <w:rFonts w:ascii="宋体" w:hAnsi="宋体" w:eastAsia="宋体"/>
          <w:b w:val="0"/>
          <w:i w:val="0"/>
          <w:color w:val="1A1A1A"/>
          <w:sz w:val="24"/>
        </w:rPr>
        <w:t xml:space="preserve"> 我们不说「这是诈骗」，只说「该内容命中 N 条监管明令禁止的表述特征」；不说「这个产品安全」，只说「未识别到违规表述特征，这不构成对该产品的安全性保证」。</w:t>
      </w:r>
      <w:r>
        <w:rPr>
          <w:rFonts w:ascii="宋体" w:hAnsi="宋体" w:eastAsia="宋体"/>
          <w:b/>
          <w:i w:val="0"/>
          <w:color w:val="1A1A1A"/>
          <w:sz w:val="24"/>
        </w:rPr>
        <w:t>法律定性权属于司法机关，我们不越界。</w:t>
      </w:r>
    </w:p>
    <w:p>
      <w:pPr>
        <w:keepNext w:val="0"/>
        <w:spacing w:before="0" w:after="60" w:line="360" w:lineRule="auto"/>
        <w:ind w:firstLine="480"/>
        <w:jc w:val="both"/>
      </w:pPr>
      <w:r>
        <w:rPr>
          <w:rFonts w:ascii="宋体" w:hAnsi="宋体" w:eastAsia="宋体"/>
          <w:b/>
          <w:i w:val="0"/>
          <w:color w:val="1A1A1A"/>
          <w:sz w:val="24"/>
        </w:rPr>
        <w:t>（3）合规约束由代码强制，不依赖提示词自觉。</w:t>
      </w:r>
      <w:r>
        <w:rPr>
          <w:rFonts w:ascii="宋体" w:hAnsi="宋体" w:eastAsia="宋体"/>
          <w:b w:val="0"/>
          <w:i w:val="0"/>
          <w:color w:val="1A1A1A"/>
          <w:sz w:val="24"/>
        </w:rPr>
        <w:t xml:space="preserve"> 输出审查层对六类越界表述作确定性拦截，并检测模型编造的数字；「未发现违规表述」这一档一律使用逐字审校过的模板措辞。全局免责声明自动注入、不可关闭。</w:t>
      </w:r>
    </w:p>
    <w:p>
      <w:pPr>
        <w:keepNext w:val="0"/>
        <w:spacing w:before="0" w:after="60" w:line="360" w:lineRule="auto"/>
        <w:ind w:firstLine="480"/>
        <w:jc w:val="both"/>
      </w:pPr>
      <w:r>
        <w:rPr>
          <w:rFonts w:ascii="宋体" w:hAnsi="宋体" w:eastAsia="宋体"/>
          <w:b/>
          <w:i w:val="0"/>
          <w:color w:val="1A1A1A"/>
          <w:sz w:val="24"/>
        </w:rPr>
        <w:t>（4）法条引用可当场核验。</w:t>
      </w:r>
      <w:r>
        <w:rPr>
          <w:rFonts w:ascii="宋体" w:hAnsi="宋体" w:eastAsia="宋体"/>
          <w:b w:val="0"/>
          <w:i w:val="0"/>
          <w:color w:val="1A1A1A"/>
          <w:sz w:val="24"/>
        </w:rPr>
        <w:t xml:space="preserve"> 14 条法规条文全部逐字核对官方原文，附来源链接与版本效力说明，核对过程留有台账。核对中查出并改正了三处错误（含一处引用了已被刑法修正案（十一）修改的废止文本），这三处错误本身证明了「不核对是真的会错」。</w:t>
      </w:r>
    </w:p>
    <w:p>
      <w:pPr>
        <w:keepNext w:val="0"/>
        <w:spacing w:before="0" w:after="60" w:line="360" w:lineRule="auto"/>
        <w:ind w:firstLine="480"/>
        <w:jc w:val="both"/>
      </w:pPr>
      <w:r>
        <w:rPr>
          <w:rFonts w:ascii="宋体" w:hAnsi="宋体" w:eastAsia="宋体"/>
          <w:b/>
          <w:i w:val="0"/>
          <w:color w:val="1A1A1A"/>
          <w:sz w:val="24"/>
        </w:rPr>
        <w:t>（5）名誉风险已规避。</w:t>
      </w:r>
      <w:r>
        <w:rPr>
          <w:rFonts w:ascii="宋体" w:hAnsi="宋体" w:eastAsia="宋体"/>
          <w:b w:val="0"/>
          <w:i w:val="0"/>
          <w:color w:val="1A1A1A"/>
          <w:sz w:val="24"/>
        </w:rPr>
        <w:t xml:space="preserve"> 公开演示只使用团队自制的仿真样本，机构名一律虚构，不使用可识别到真实公司的截图——在公开场合指认一家真实企业「涉嫌违法」存在名誉风险。</w:t>
      </w:r>
    </w:p>
    <w:p>
      <w:pPr>
        <w:keepNext w:val="0"/>
        <w:spacing w:before="0" w:after="60" w:line="360" w:lineRule="auto"/>
        <w:ind w:firstLine="480"/>
        <w:jc w:val="both"/>
      </w:pPr>
      <w:r>
        <w:rPr>
          <w:rFonts w:ascii="宋体" w:hAnsi="宋体" w:eastAsia="宋体"/>
          <w:b/>
          <w:i w:val="0"/>
          <w:color w:val="1A1A1A"/>
          <w:sz w:val="24"/>
        </w:rPr>
        <w:t>（6）数据合规。</w:t>
      </w:r>
      <w:r>
        <w:rPr>
          <w:rFonts w:ascii="宋体" w:hAnsi="宋体" w:eastAsia="宋体"/>
          <w:b w:val="0"/>
          <w:i w:val="0"/>
          <w:color w:val="1A1A1A"/>
          <w:sz w:val="24"/>
        </w:rPr>
        <w:t xml:space="preserve"> 用户档案存本地不上传；图片不落盘、不用于训练；敏感信息进入模型前脱敏；样本沉淀需主动授权且仅保留脱敏后的话术特征。金融场景 + 国产模型 + 数据不出境 + 可私有化部署。</w:t>
      </w:r>
    </w:p>
    <w:p>
      <w:r>
        <w:br w:type="page"/>
      </w:r>
    </w:p>
    <w:p>
      <w:pPr>
        <w:keepNext/>
        <w:spacing w:before="400" w:after="200" w:line="324" w:lineRule="auto"/>
        <w:jc w:val="left"/>
      </w:pPr>
      <w:r>
        <w:rPr>
          <w:rFonts w:ascii="黑体" w:hAnsi="黑体" w:eastAsia="黑体"/>
          <w:b/>
          <w:i w:val="0"/>
          <w:color w:val="000000"/>
          <w:sz w:val="32"/>
        </w:rPr>
        <w:t>十二、风险分析与应对方案</w:t>
      </w:r>
    </w:p>
    <w:p>
      <w:pPr>
        <w:keepNext/>
        <w:spacing w:before="280" w:after="120" w:line="324" w:lineRule="auto"/>
        <w:jc w:val="left"/>
      </w:pPr>
      <w:r>
        <w:rPr>
          <w:rFonts w:ascii="黑体" w:hAnsi="黑体" w:eastAsia="黑体"/>
          <w:b/>
          <w:i w:val="0"/>
          <w:color w:val="000000"/>
          <w:sz w:val="27"/>
        </w:rPr>
        <w:t>1. 技术风险</w:t>
      </w:r>
    </w:p>
    <w:tbl>
      <w:tblPr>
        <w:tblStyle w:val="TableGrid"/>
        <w:tblW w:type="auto" w:w="0"/>
        <w:jc w:val="center"/>
        <w:tblLayout w:type="fixed"/>
        <w:tblLook w:firstColumn="1" w:firstRow="1" w:lastColumn="0" w:lastRow="0" w:noHBand="0" w:noVBand="1" w:val="04A0"/>
      </w:tblPr>
      <w:tblGrid>
        <w:gridCol w:w="2126"/>
        <w:gridCol w:w="2126"/>
        <w:gridCol w:w="2126"/>
        <w:gridCol w:w="2126"/>
      </w:tblGrid>
      <w:tr>
        <w:tc>
          <w:tcPr>
            <w:tcW w:type="dxa" w:w="1730"/>
            <w:shd w:fill="F2F2F2"/>
          </w:tcPr>
          <w:p>
            <w:pPr>
              <w:spacing w:after="20" w:before="20" w:line="276" w:lineRule="auto"/>
              <w:jc w:val="center"/>
            </w:pPr>
            <w:r/>
            <w:r>
              <w:rPr>
                <w:rFonts w:ascii="黑体" w:hAnsi="黑体" w:eastAsia="黑体"/>
                <w:b/>
                <w:i w:val="0"/>
                <w:color w:val="000000"/>
                <w:sz w:val="19"/>
              </w:rPr>
              <w:t>风险</w:t>
            </w:r>
          </w:p>
        </w:tc>
        <w:tc>
          <w:tcPr>
            <w:tcW w:type="dxa" w:w="1730"/>
            <w:shd w:fill="F2F2F2"/>
          </w:tcPr>
          <w:p>
            <w:pPr>
              <w:spacing w:after="20" w:before="20" w:line="276" w:lineRule="auto"/>
              <w:jc w:val="center"/>
            </w:pPr>
            <w:r/>
            <w:r>
              <w:rPr>
                <w:rFonts w:ascii="黑体" w:hAnsi="黑体" w:eastAsia="黑体"/>
                <w:b/>
                <w:i w:val="0"/>
                <w:color w:val="000000"/>
                <w:sz w:val="19"/>
              </w:rPr>
              <w:t>影响</w:t>
            </w:r>
          </w:p>
        </w:tc>
        <w:tc>
          <w:tcPr>
            <w:tcW w:type="dxa" w:w="3747"/>
            <w:shd w:fill="F2F2F2"/>
          </w:tcPr>
          <w:p>
            <w:pPr>
              <w:spacing w:after="20" w:before="20" w:line="276" w:lineRule="auto"/>
              <w:jc w:val="center"/>
            </w:pPr>
            <w:r/>
            <w:r>
              <w:rPr>
                <w:rFonts w:ascii="黑体" w:hAnsi="黑体" w:eastAsia="黑体"/>
                <w:b/>
                <w:i w:val="0"/>
                <w:color w:val="000000"/>
                <w:sz w:val="19"/>
              </w:rPr>
              <w:t>应对方案</w:t>
            </w:r>
          </w:p>
        </w:tc>
        <w:tc>
          <w:tcPr>
            <w:tcW w:type="dxa" w:w="1297"/>
            <w:shd w:fill="F2F2F2"/>
          </w:tcPr>
          <w:p>
            <w:pPr>
              <w:spacing w:after="20" w:before="20" w:line="276" w:lineRule="auto"/>
              <w:jc w:val="center"/>
            </w:pPr>
            <w:r/>
            <w:r>
              <w:rPr>
                <w:rFonts w:ascii="黑体" w:hAnsi="黑体" w:eastAsia="黑体"/>
                <w:b/>
                <w:i w:val="0"/>
                <w:color w:val="000000"/>
                <w:sz w:val="19"/>
              </w:rPr>
              <w:t>当前状态</w:t>
            </w:r>
          </w:p>
        </w:tc>
      </w:tr>
      <w:tr>
        <w:tc>
          <w:tcPr>
            <w:tcW w:type="dxa" w:w="1730"/>
          </w:tcPr>
          <w:p>
            <w:pPr>
              <w:spacing w:after="20" w:before="20" w:line="276" w:lineRule="auto"/>
            </w:pPr>
            <w:r/>
            <w:r>
              <w:rPr>
                <w:rFonts w:ascii="宋体" w:hAnsi="宋体" w:eastAsia="宋体"/>
                <w:b w:val="0"/>
                <w:i w:val="0"/>
                <w:color w:val="1A1A1A"/>
                <w:sz w:val="18"/>
              </w:rPr>
              <w:t>模型 API 不可用或网络中断</w:t>
            </w:r>
          </w:p>
        </w:tc>
        <w:tc>
          <w:tcPr>
            <w:tcW w:type="dxa" w:w="1730"/>
          </w:tcPr>
          <w:p>
            <w:pPr>
              <w:spacing w:after="20" w:before="20" w:line="276" w:lineRule="auto"/>
            </w:pPr>
            <w:r/>
            <w:r>
              <w:rPr>
                <w:rFonts w:ascii="宋体" w:hAnsi="宋体" w:eastAsia="宋体"/>
                <w:b w:val="0"/>
                <w:i w:val="0"/>
                <w:color w:val="1A1A1A"/>
                <w:sz w:val="18"/>
              </w:rPr>
              <w:t>识别链路无法调用模型</w:t>
            </w:r>
          </w:p>
        </w:tc>
        <w:tc>
          <w:tcPr>
            <w:tcW w:type="dxa" w:w="3747"/>
          </w:tcPr>
          <w:p>
            <w:pPr>
              <w:spacing w:after="20" w:before="20" w:line="276" w:lineRule="auto"/>
            </w:pPr>
            <w:r/>
            <w:r>
              <w:rPr>
                <w:rFonts w:ascii="宋体" w:hAnsi="宋体" w:eastAsia="宋体"/>
                <w:b w:val="0"/>
                <w:i w:val="0"/>
                <w:color w:val="1A1A1A"/>
                <w:sz w:val="18"/>
              </w:rPr>
              <w:t>无 Key 时自动回落 mock provider；模型转述 8 秒、语义通道 7 秒硬超时后自动降级为纯规则通道；术语词典、计算器、规划师全流程、学习模块完全不依赖模型</w:t>
            </w:r>
          </w:p>
        </w:tc>
        <w:tc>
          <w:tcPr>
            <w:tcW w:type="dxa" w:w="1297"/>
          </w:tcPr>
          <w:p>
            <w:pPr>
              <w:spacing w:after="20" w:before="20" w:line="276" w:lineRule="auto"/>
            </w:pPr>
            <w:r/>
            <w:r>
              <w:rPr>
                <w:rFonts w:ascii="宋体" w:hAnsi="宋体" w:eastAsia="宋体"/>
                <w:b w:val="0"/>
                <w:i w:val="0"/>
                <w:color w:val="1A1A1A"/>
                <w:sz w:val="18"/>
              </w:rPr>
              <w:t>已实现并实测</w:t>
            </w:r>
          </w:p>
        </w:tc>
      </w:tr>
      <w:tr>
        <w:tc>
          <w:tcPr>
            <w:tcW w:type="dxa" w:w="1730"/>
          </w:tcPr>
          <w:p>
            <w:pPr>
              <w:spacing w:after="20" w:before="20" w:line="276" w:lineRule="auto"/>
            </w:pPr>
            <w:r/>
            <w:r>
              <w:rPr>
                <w:rFonts w:ascii="宋体" w:hAnsi="宋体" w:eastAsia="宋体"/>
                <w:b w:val="0"/>
                <w:i w:val="0"/>
                <w:color w:val="1A1A1A"/>
                <w:sz w:val="18"/>
              </w:rPr>
              <w:t>模型幻觉：自行补出未经核实的数字或作合规定性</w:t>
            </w:r>
          </w:p>
        </w:tc>
        <w:tc>
          <w:tcPr>
            <w:tcW w:type="dxa" w:w="1730"/>
          </w:tcPr>
          <w:p>
            <w:pPr>
              <w:spacing w:after="20" w:before="20" w:line="276" w:lineRule="auto"/>
            </w:pPr>
            <w:r/>
            <w:r>
              <w:rPr>
                <w:rFonts w:ascii="宋体" w:hAnsi="宋体" w:eastAsia="宋体"/>
                <w:b w:val="0"/>
                <w:i w:val="0"/>
                <w:color w:val="1A1A1A"/>
                <w:sz w:val="18"/>
              </w:rPr>
              <w:t>输出内容不可核实，构成硬伤</w:t>
            </w:r>
          </w:p>
        </w:tc>
        <w:tc>
          <w:tcPr>
            <w:tcW w:type="dxa" w:w="3747"/>
          </w:tcPr>
          <w:p>
            <w:pPr>
              <w:spacing w:after="20" w:before="20" w:line="276" w:lineRule="auto"/>
            </w:pPr>
            <w:r/>
            <w:r>
              <w:rPr>
                <w:rFonts w:ascii="宋体" w:hAnsi="宋体" w:eastAsia="宋体"/>
                <w:b w:val="0"/>
                <w:i w:val="0"/>
                <w:color w:val="1A1A1A"/>
                <w:sz w:val="18"/>
              </w:rPr>
              <w:t>编造数字检测（比对模型输出与原文中的数值，出现原文没有的数字即整段丢弃、回退模板）+ 输出审查层六类越界表述硬拦截 + 「未发现违规表述」档一律使用模板措辞</w:t>
            </w:r>
          </w:p>
        </w:tc>
        <w:tc>
          <w:tcPr>
            <w:tcW w:type="dxa" w:w="1297"/>
          </w:tcPr>
          <w:p>
            <w:pPr>
              <w:spacing w:after="20" w:before="20" w:line="276" w:lineRule="auto"/>
            </w:pPr>
            <w:r/>
            <w:r>
              <w:rPr>
                <w:rFonts w:ascii="宋体" w:hAnsi="宋体" w:eastAsia="宋体"/>
                <w:b w:val="0"/>
                <w:i w:val="0"/>
                <w:color w:val="1A1A1A"/>
                <w:sz w:val="18"/>
              </w:rPr>
              <w:t>已实现，13 例断言覆盖</w:t>
            </w:r>
          </w:p>
        </w:tc>
      </w:tr>
      <w:tr>
        <w:tc>
          <w:tcPr>
            <w:tcW w:type="dxa" w:w="1730"/>
          </w:tcPr>
          <w:p>
            <w:pPr>
              <w:spacing w:after="20" w:before="20" w:line="276" w:lineRule="auto"/>
            </w:pPr>
            <w:r/>
            <w:r>
              <w:rPr>
                <w:rFonts w:ascii="宋体" w:hAnsi="宋体" w:eastAsia="宋体"/>
                <w:b/>
                <w:i w:val="0"/>
                <w:color w:val="1A1A1A"/>
                <w:sz w:val="18"/>
              </w:rPr>
              <w:t>语义通道对合规表述产生误判</w:t>
            </w:r>
          </w:p>
        </w:tc>
        <w:tc>
          <w:tcPr>
            <w:tcW w:type="dxa" w:w="1730"/>
          </w:tcPr>
          <w:p>
            <w:pPr>
              <w:spacing w:after="20" w:before="20" w:line="276" w:lineRule="auto"/>
            </w:pPr>
            <w:r/>
            <w:r>
              <w:rPr>
                <w:rFonts w:ascii="宋体" w:hAnsi="宋体" w:eastAsia="宋体"/>
                <w:b/>
                <w:i w:val="0"/>
                <w:color w:val="1A1A1A"/>
                <w:sz w:val="18"/>
              </w:rPr>
              <w:t>把正规产品判成高风险，直接摧毁产品可信度</w:t>
            </w:r>
          </w:p>
        </w:tc>
        <w:tc>
          <w:tcPr>
            <w:tcW w:type="dxa" w:w="3747"/>
          </w:tcPr>
          <w:p>
            <w:pPr>
              <w:spacing w:after="20" w:before="20" w:line="276" w:lineRule="auto"/>
            </w:pPr>
            <w:r/>
            <w:r>
              <w:rPr>
                <w:rFonts w:ascii="宋体" w:hAnsi="宋体" w:eastAsia="宋体"/>
                <w:b/>
                <w:i w:val="0"/>
                <w:color w:val="1A1A1A"/>
                <w:sz w:val="18"/>
              </w:rPr>
              <w:t>规则通道的合法术语白名单（含「业绩比较基准」等 15 条规范表述）需扩展到语义通道的排除检查中；对照样本纳入端到端回归，每次发版必跑</w:t>
            </w:r>
          </w:p>
        </w:tc>
        <w:tc>
          <w:tcPr>
            <w:tcW w:type="dxa" w:w="1297"/>
          </w:tcPr>
          <w:p>
            <w:pPr>
              <w:spacing w:after="20" w:before="20" w:line="276" w:lineRule="auto"/>
            </w:pPr>
            <w:r/>
            <w:r>
              <w:rPr>
                <w:rFonts w:ascii="宋体" w:hAnsi="宋体" w:eastAsia="宋体"/>
                <w:b/>
                <w:i w:val="0"/>
                <w:color w:val="1A1A1A"/>
                <w:sz w:val="18"/>
              </w:rPr>
              <w:t>已定位，待修（见 §13.1 说明）</w:t>
            </w:r>
          </w:p>
        </w:tc>
      </w:tr>
      <w:tr>
        <w:tc>
          <w:tcPr>
            <w:tcW w:type="dxa" w:w="1730"/>
          </w:tcPr>
          <w:p>
            <w:pPr>
              <w:spacing w:after="20" w:before="20" w:line="276" w:lineRule="auto"/>
            </w:pPr>
            <w:r/>
            <w:r>
              <w:rPr>
                <w:rFonts w:ascii="宋体" w:hAnsi="宋体" w:eastAsia="宋体"/>
                <w:b w:val="0"/>
                <w:i w:val="0"/>
                <w:color w:val="1A1A1A"/>
                <w:sz w:val="18"/>
              </w:rPr>
              <w:t>语义通道输出不稳定（同一输入结果不一致）</w:t>
            </w:r>
          </w:p>
        </w:tc>
        <w:tc>
          <w:tcPr>
            <w:tcW w:type="dxa" w:w="1730"/>
          </w:tcPr>
          <w:p>
            <w:pPr>
              <w:spacing w:after="20" w:before="20" w:line="276" w:lineRule="auto"/>
            </w:pPr>
            <w:r/>
            <w:r>
              <w:rPr>
                <w:rFonts w:ascii="宋体" w:hAnsi="宋体" w:eastAsia="宋体"/>
                <w:b w:val="0"/>
                <w:i w:val="0"/>
                <w:color w:val="1A1A1A"/>
                <w:sz w:val="18"/>
              </w:rPr>
              <w:t>判定结果不可复现</w:t>
            </w:r>
          </w:p>
        </w:tc>
        <w:tc>
          <w:tcPr>
            <w:tcW w:type="dxa" w:w="3747"/>
          </w:tcPr>
          <w:p>
            <w:pPr>
              <w:spacing w:after="20" w:before="20" w:line="276" w:lineRule="auto"/>
            </w:pPr>
            <w:r/>
            <w:r>
              <w:rPr>
                <w:rFonts w:ascii="宋体" w:hAnsi="宋体" w:eastAsia="宋体"/>
                <w:b w:val="0"/>
                <w:i w:val="0"/>
                <w:color w:val="1A1A1A"/>
                <w:sz w:val="18"/>
              </w:rPr>
              <w:t>分类任务 temperature 归零；确立「规则通道已解释过的片段，语义通道不再插话」的分工，实现为引文区间重叠即丢弃</w:t>
            </w:r>
          </w:p>
        </w:tc>
        <w:tc>
          <w:tcPr>
            <w:tcW w:type="dxa" w:w="1297"/>
          </w:tcPr>
          <w:p>
            <w:pPr>
              <w:spacing w:after="20" w:before="20" w:line="276" w:lineRule="auto"/>
            </w:pPr>
            <w:r/>
            <w:r>
              <w:rPr>
                <w:rFonts w:ascii="宋体" w:hAnsi="宋体" w:eastAsia="宋体"/>
                <w:b w:val="0"/>
                <w:i w:val="0"/>
                <w:color w:val="1A1A1A"/>
                <w:sz w:val="18"/>
              </w:rPr>
              <w:t>已实现，连跑 5 次结果一致</w:t>
            </w:r>
          </w:p>
        </w:tc>
      </w:tr>
      <w:tr>
        <w:tc>
          <w:tcPr>
            <w:tcW w:type="dxa" w:w="1730"/>
          </w:tcPr>
          <w:p>
            <w:pPr>
              <w:spacing w:after="20" w:before="20" w:line="276" w:lineRule="auto"/>
            </w:pPr>
            <w:r/>
            <w:r>
              <w:rPr>
                <w:rFonts w:ascii="宋体" w:hAnsi="宋体" w:eastAsia="宋体"/>
                <w:b w:val="0"/>
                <w:i w:val="0"/>
                <w:color w:val="1A1A1A"/>
                <w:sz w:val="18"/>
              </w:rPr>
              <w:t>视觉识别对复杂长图效果下降</w:t>
            </w:r>
          </w:p>
        </w:tc>
        <w:tc>
          <w:tcPr>
            <w:tcW w:type="dxa" w:w="1730"/>
          </w:tcPr>
          <w:p>
            <w:pPr>
              <w:spacing w:after="20" w:before="20" w:line="276" w:lineRule="auto"/>
            </w:pPr>
            <w:r/>
            <w:r>
              <w:rPr>
                <w:rFonts w:ascii="宋体" w:hAnsi="宋体" w:eastAsia="宋体"/>
                <w:b w:val="0"/>
                <w:i w:val="0"/>
                <w:color w:val="1A1A1A"/>
                <w:sz w:val="18"/>
              </w:rPr>
              <w:t>OCR 缺字导致报告质量下降</w:t>
            </w:r>
          </w:p>
        </w:tc>
        <w:tc>
          <w:tcPr>
            <w:tcW w:type="dxa" w:w="3747"/>
          </w:tcPr>
          <w:p>
            <w:pPr>
              <w:spacing w:after="20" w:before="20" w:line="276" w:lineRule="auto"/>
            </w:pPr>
            <w:r/>
            <w:r>
              <w:rPr>
                <w:rFonts w:ascii="宋体" w:hAnsi="宋体" w:eastAsia="宋体"/>
                <w:b w:val="0"/>
                <w:i w:val="0"/>
                <w:color w:val="1A1A1A"/>
                <w:sz w:val="18"/>
              </w:rPr>
              <w:t>限制上传建议（单张广告截图）；OCR 结果原样展示供用户核对；失败时引导改用文字粘贴</w:t>
            </w:r>
          </w:p>
        </w:tc>
        <w:tc>
          <w:tcPr>
            <w:tcW w:type="dxa" w:w="1297"/>
          </w:tcPr>
          <w:p>
            <w:pPr>
              <w:spacing w:after="20" w:before="20" w:line="276" w:lineRule="auto"/>
            </w:pPr>
            <w:r/>
            <w:r>
              <w:rPr>
                <w:rFonts w:ascii="宋体" w:hAnsi="宋体" w:eastAsia="宋体"/>
                <w:b w:val="0"/>
                <w:i w:val="0"/>
                <w:color w:val="1A1A1A"/>
                <w:sz w:val="18"/>
              </w:rPr>
              <w:t>已实现</w:t>
            </w:r>
          </w:p>
        </w:tc>
      </w:tr>
      <w:tr>
        <w:tc>
          <w:tcPr>
            <w:tcW w:type="dxa" w:w="1730"/>
          </w:tcPr>
          <w:p>
            <w:pPr>
              <w:spacing w:after="20" w:before="20" w:line="276" w:lineRule="auto"/>
            </w:pPr>
            <w:r/>
            <w:r>
              <w:rPr>
                <w:rFonts w:ascii="宋体" w:hAnsi="宋体" w:eastAsia="宋体"/>
                <w:b w:val="0"/>
                <w:i w:val="0"/>
                <w:color w:val="1A1A1A"/>
                <w:sz w:val="18"/>
              </w:rPr>
              <w:t>规则库改动引入回归</w:t>
            </w:r>
          </w:p>
        </w:tc>
        <w:tc>
          <w:tcPr>
            <w:tcW w:type="dxa" w:w="1730"/>
          </w:tcPr>
          <w:p>
            <w:pPr>
              <w:spacing w:after="20" w:before="20" w:line="276" w:lineRule="auto"/>
            </w:pPr>
            <w:r/>
            <w:r>
              <w:rPr>
                <w:rFonts w:ascii="宋体" w:hAnsi="宋体" w:eastAsia="宋体"/>
                <w:b w:val="0"/>
                <w:i w:val="0"/>
                <w:color w:val="1A1A1A"/>
                <w:sz w:val="18"/>
              </w:rPr>
              <w:t>旧的误判防护被破坏</w:t>
            </w:r>
          </w:p>
        </w:tc>
        <w:tc>
          <w:tcPr>
            <w:tcW w:type="dxa" w:w="3747"/>
          </w:tcPr>
          <w:p>
            <w:pPr>
              <w:spacing w:after="20" w:before="20" w:line="276" w:lineRule="auto"/>
            </w:pPr>
            <w:r/>
            <w:r>
              <w:rPr>
                <w:rFonts w:ascii="宋体" w:hAnsi="宋体" w:eastAsia="宋体"/>
                <w:b w:val="0"/>
                <w:i w:val="0"/>
                <w:color w:val="1A1A1A"/>
                <w:sz w:val="18"/>
              </w:rPr>
              <w:t>7 个测试套件、843 项断言；改动特征库或匹配引擎后强制跑回归；正规产品反向对照样本必须仍判绿</w:t>
            </w:r>
          </w:p>
        </w:tc>
        <w:tc>
          <w:tcPr>
            <w:tcW w:type="dxa" w:w="1297"/>
          </w:tcPr>
          <w:p>
            <w:pPr>
              <w:spacing w:after="20" w:before="20" w:line="276" w:lineRule="auto"/>
            </w:pPr>
            <w:r/>
            <w:r>
              <w:rPr>
                <w:rFonts w:ascii="宋体" w:hAnsi="宋体" w:eastAsia="宋体"/>
                <w:b w:val="0"/>
                <w:i w:val="0"/>
                <w:color w:val="1A1A1A"/>
                <w:sz w:val="18"/>
              </w:rPr>
              <w:t>已实现</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17　技术风险与应对</w:t>
      </w:r>
    </w:p>
    <w:p>
      <w:pPr>
        <w:keepNext/>
        <w:spacing w:before="280" w:after="120" w:line="324" w:lineRule="auto"/>
        <w:jc w:val="left"/>
      </w:pPr>
      <w:r>
        <w:rPr>
          <w:rFonts w:ascii="黑体" w:hAnsi="黑体" w:eastAsia="黑体"/>
          <w:b/>
          <w:i w:val="0"/>
          <w:color w:val="000000"/>
          <w:sz w:val="27"/>
        </w:rPr>
        <w:t>2. 市场风险</w:t>
      </w:r>
    </w:p>
    <w:p>
      <w:pPr>
        <w:keepNext w:val="0"/>
        <w:spacing w:before="0" w:after="60" w:line="360" w:lineRule="auto"/>
        <w:ind w:firstLine="480"/>
        <w:jc w:val="both"/>
      </w:pPr>
      <w:r>
        <w:rPr>
          <w:rFonts w:ascii="宋体" w:hAnsi="宋体" w:eastAsia="宋体"/>
          <w:b/>
          <w:i w:val="0"/>
          <w:color w:val="1A1A1A"/>
          <w:sz w:val="24"/>
        </w:rPr>
        <w:t>风险一：C 端增长不及预期。</w:t>
      </w:r>
      <w:r>
        <w:rPr>
          <w:rFonts w:ascii="宋体" w:hAnsi="宋体" w:eastAsia="宋体"/>
          <w:b w:val="0"/>
          <w:i w:val="0"/>
          <w:color w:val="1A1A1A"/>
          <w:sz w:val="24"/>
        </w:rPr>
        <w:t xml:space="preserve"> 人们低估自己被骗的概率，主动使用防骗工具的动机弱于使用理财工具。</w:t>
      </w:r>
      <w:r>
        <w:rPr>
          <w:rFonts w:ascii="宋体" w:hAnsi="宋体" w:eastAsia="宋体"/>
          <w:b/>
          <w:i w:val="0"/>
          <w:color w:val="1A1A1A"/>
          <w:sz w:val="24"/>
        </w:rPr>
        <w:t>应对</w:t>
      </w:r>
      <w:r>
        <w:rPr>
          <w:rFonts w:ascii="宋体" w:hAnsi="宋体" w:eastAsia="宋体"/>
          <w:b w:val="0"/>
          <w:i w:val="0"/>
          <w:color w:val="1A1A1A"/>
          <w:sz w:val="24"/>
        </w:rPr>
        <w:t>：C 端不承担收入责任，其价值在样本沉淀与口碑；获客以线下场景（社区、老年大学、高校、银行网点活动）为主入口，而非依赖用户主动搜索；产品设计上以「查一个词」这类低门槛需求作为钩子，而非要求用户先认同「防骗」这件事。</w:t>
      </w:r>
    </w:p>
    <w:p>
      <w:pPr>
        <w:keepNext w:val="0"/>
        <w:spacing w:before="0" w:after="60" w:line="360" w:lineRule="auto"/>
        <w:ind w:firstLine="480"/>
        <w:jc w:val="both"/>
      </w:pPr>
      <w:r>
        <w:rPr>
          <w:rFonts w:ascii="宋体" w:hAnsi="宋体" w:eastAsia="宋体"/>
          <w:b/>
          <w:i w:val="0"/>
          <w:color w:val="1A1A1A"/>
          <w:sz w:val="24"/>
        </w:rPr>
        <w:t>风险二：B / G 端采购周期长。</w:t>
      </w:r>
      <w:r>
        <w:rPr>
          <w:rFonts w:ascii="宋体" w:hAnsi="宋体" w:eastAsia="宋体"/>
          <w:b w:val="0"/>
          <w:i w:val="0"/>
          <w:color w:val="1A1A1A"/>
          <w:sz w:val="24"/>
        </w:rPr>
        <w:t xml:space="preserve"> 机构与政府采购流程较长，首单转化慢。</w:t>
      </w:r>
      <w:r>
        <w:rPr>
          <w:rFonts w:ascii="宋体" w:hAnsi="宋体" w:eastAsia="宋体"/>
          <w:b/>
          <w:i w:val="0"/>
          <w:color w:val="1A1A1A"/>
          <w:sz w:val="24"/>
        </w:rPr>
        <w:t>应对</w:t>
      </w:r>
      <w:r>
        <w:rPr>
          <w:rFonts w:ascii="宋体" w:hAnsi="宋体" w:eastAsia="宋体"/>
          <w:b w:val="0"/>
          <w:i w:val="0"/>
          <w:color w:val="1A1A1A"/>
          <w:sz w:val="24"/>
        </w:rPr>
        <w:t>：短期以「单场活动」这类小额、决策链短的合作切入，先跑通交付流程、产出可复用交付物，再谈年度授权；同时不把收入预期建立在首年。</w:t>
      </w:r>
    </w:p>
    <w:p>
      <w:pPr>
        <w:keepNext w:val="0"/>
        <w:spacing w:before="0" w:after="60" w:line="360" w:lineRule="auto"/>
        <w:ind w:firstLine="480"/>
        <w:jc w:val="both"/>
      </w:pPr>
      <w:r>
        <w:rPr>
          <w:rFonts w:ascii="宋体" w:hAnsi="宋体" w:eastAsia="宋体"/>
          <w:b/>
          <w:i w:val="0"/>
          <w:color w:val="1A1A1A"/>
          <w:sz w:val="24"/>
        </w:rPr>
        <w:t>风险三：被质疑与国家反诈中心 App 功能重叠。</w:t>
      </w:r>
      <w:r>
        <w:rPr>
          <w:rFonts w:ascii="宋体" w:hAnsi="宋体" w:eastAsia="宋体"/>
          <w:b w:val="0"/>
          <w:i w:val="0"/>
          <w:color w:val="1A1A1A"/>
          <w:sz w:val="24"/>
        </w:rPr>
        <w:t xml:space="preserve"> </w:t>
      </w:r>
      <w:r>
        <w:rPr>
          <w:rFonts w:ascii="宋体" w:hAnsi="宋体" w:eastAsia="宋体"/>
          <w:b/>
          <w:i w:val="0"/>
          <w:color w:val="1A1A1A"/>
          <w:sz w:val="24"/>
        </w:rPr>
        <w:t>应对</w:t>
      </w:r>
      <w:r>
        <w:rPr>
          <w:rFonts w:ascii="宋体" w:hAnsi="宋体" w:eastAsia="宋体"/>
          <w:b w:val="0"/>
          <w:i w:val="0"/>
          <w:color w:val="1A1A1A"/>
          <w:sz w:val="24"/>
        </w:rPr>
        <w:t>：作用层不同（内容层 vs 通讯与交易层），面对的对象不同（一张可疑广告 vs 已发生的接触行为），且我们同时承担投资者教育职能。这一论证已结构化为表 16，并可当场用一张群聊截图演示——反诈 App 无法处理，我们可以。</w:t>
      </w:r>
    </w:p>
    <w:p>
      <w:pPr>
        <w:keepNext w:val="0"/>
        <w:spacing w:before="0" w:after="60" w:line="360" w:lineRule="auto"/>
        <w:ind w:firstLine="480"/>
        <w:jc w:val="both"/>
      </w:pPr>
      <w:r>
        <w:rPr>
          <w:rFonts w:ascii="宋体" w:hAnsi="宋体" w:eastAsia="宋体"/>
          <w:b/>
          <w:i w:val="0"/>
          <w:color w:val="1A1A1A"/>
          <w:sz w:val="24"/>
        </w:rPr>
        <w:t>风险四：大型平台或持牌机构自建同类能力。</w:t>
      </w:r>
      <w:r>
        <w:rPr>
          <w:rFonts w:ascii="宋体" w:hAnsi="宋体" w:eastAsia="宋体"/>
          <w:b w:val="0"/>
          <w:i w:val="0"/>
          <w:color w:val="1A1A1A"/>
          <w:sz w:val="24"/>
        </w:rPr>
        <w:t xml:space="preserve"> </w:t>
      </w:r>
      <w:r>
        <w:rPr>
          <w:rFonts w:ascii="宋体" w:hAnsi="宋体" w:eastAsia="宋体"/>
          <w:b/>
          <w:i w:val="0"/>
          <w:color w:val="1A1A1A"/>
          <w:sz w:val="24"/>
        </w:rPr>
        <w:t>应对</w:t>
      </w:r>
      <w:r>
        <w:rPr>
          <w:rFonts w:ascii="宋体" w:hAnsi="宋体" w:eastAsia="宋体"/>
          <w:b w:val="0"/>
          <w:i w:val="0"/>
          <w:color w:val="1A1A1A"/>
          <w:sz w:val="24"/>
        </w:rPr>
        <w:t>：我们的壁垒不在模型能力（那是可购买的），而在两处：一是逐条核对的法规条文库与持续积累的话术特征库，这需要时间与纪律；二是「不持牌」这一身份带来的中立性——持牌机构提供的判断天然带有自身产品线的立场，而我们没有产品线可卖。</w:t>
      </w:r>
    </w:p>
    <w:p>
      <w:pPr>
        <w:keepNext/>
        <w:spacing w:before="280" w:after="120" w:line="324" w:lineRule="auto"/>
        <w:jc w:val="left"/>
      </w:pPr>
      <w:r>
        <w:rPr>
          <w:rFonts w:ascii="黑体" w:hAnsi="黑体" w:eastAsia="黑体"/>
          <w:b/>
          <w:i w:val="0"/>
          <w:color w:val="000000"/>
          <w:sz w:val="27"/>
        </w:rPr>
        <w:t>3. 数据与合规风险</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1923"/>
            <w:shd w:fill="F2F2F2"/>
          </w:tcPr>
          <w:p>
            <w:pPr>
              <w:spacing w:after="20" w:before="20" w:line="276" w:lineRule="auto"/>
              <w:jc w:val="center"/>
            </w:pPr>
            <w:r/>
            <w:r>
              <w:rPr>
                <w:rFonts w:ascii="黑体" w:hAnsi="黑体" w:eastAsia="黑体"/>
                <w:b/>
                <w:i w:val="0"/>
                <w:color w:val="000000"/>
                <w:sz w:val="19"/>
              </w:rPr>
              <w:t>风险</w:t>
            </w:r>
          </w:p>
        </w:tc>
        <w:tc>
          <w:tcPr>
            <w:tcW w:type="dxa" w:w="1627"/>
            <w:shd w:fill="F2F2F2"/>
          </w:tcPr>
          <w:p>
            <w:pPr>
              <w:spacing w:after="20" w:before="20" w:line="276" w:lineRule="auto"/>
              <w:jc w:val="center"/>
            </w:pPr>
            <w:r/>
            <w:r>
              <w:rPr>
                <w:rFonts w:ascii="黑体" w:hAnsi="黑体" w:eastAsia="黑体"/>
                <w:b/>
                <w:i w:val="0"/>
                <w:color w:val="000000"/>
                <w:sz w:val="19"/>
              </w:rPr>
              <w:t>影响</w:t>
            </w:r>
          </w:p>
        </w:tc>
        <w:tc>
          <w:tcPr>
            <w:tcW w:type="dxa" w:w="4954"/>
            <w:shd w:fill="F2F2F2"/>
          </w:tcPr>
          <w:p>
            <w:pPr>
              <w:spacing w:after="20" w:before="20" w:line="276" w:lineRule="auto"/>
              <w:jc w:val="center"/>
            </w:pPr>
            <w:r/>
            <w:r>
              <w:rPr>
                <w:rFonts w:ascii="黑体" w:hAnsi="黑体" w:eastAsia="黑体"/>
                <w:b/>
                <w:i w:val="0"/>
                <w:color w:val="000000"/>
                <w:sz w:val="19"/>
              </w:rPr>
              <w:t>应对方案</w:t>
            </w:r>
          </w:p>
        </w:tc>
      </w:tr>
      <w:tr>
        <w:tc>
          <w:tcPr>
            <w:tcW w:type="dxa" w:w="1923"/>
          </w:tcPr>
          <w:p>
            <w:pPr>
              <w:spacing w:after="20" w:before="20" w:line="276" w:lineRule="auto"/>
            </w:pPr>
            <w:r/>
            <w:r>
              <w:rPr>
                <w:rFonts w:ascii="宋体" w:hAnsi="宋体" w:eastAsia="宋体"/>
                <w:b w:val="0"/>
                <w:i w:val="0"/>
                <w:color w:val="1A1A1A"/>
                <w:sz w:val="18"/>
              </w:rPr>
              <w:t>法条引用错误或引用了废止文本</w:t>
            </w:r>
          </w:p>
        </w:tc>
        <w:tc>
          <w:tcPr>
            <w:tcW w:type="dxa" w:w="1627"/>
          </w:tcPr>
          <w:p>
            <w:pPr>
              <w:spacing w:after="20" w:before="20" w:line="276" w:lineRule="auto"/>
            </w:pPr>
            <w:r/>
            <w:r>
              <w:rPr>
                <w:rFonts w:ascii="宋体" w:hAnsi="宋体" w:eastAsia="宋体"/>
                <w:b/>
                <w:i w:val="0"/>
                <w:color w:val="1A1A1A"/>
                <w:sz w:val="18"/>
              </w:rPr>
              <w:t>答辩与合规上的致命伤</w:t>
            </w:r>
          </w:p>
        </w:tc>
        <w:tc>
          <w:tcPr>
            <w:tcW w:type="dxa" w:w="4954"/>
          </w:tcPr>
          <w:p>
            <w:pPr>
              <w:spacing w:after="20" w:before="20" w:line="276" w:lineRule="auto"/>
            </w:pPr>
            <w:r/>
            <w:r>
              <w:rPr>
                <w:rFonts w:ascii="宋体" w:hAnsi="宋体" w:eastAsia="宋体"/>
                <w:b w:val="0"/>
                <w:i w:val="0"/>
                <w:color w:val="1A1A1A"/>
                <w:sz w:val="18"/>
              </w:rPr>
              <w:t>14 条条文逐条打开官方原页面逐字核对，附来源链接与版本效力说明，留有核对台账；已查出并改正三处错误。纪律：不确定的条文宁可只写「相关规定」，不写条号</w:t>
            </w:r>
          </w:p>
        </w:tc>
      </w:tr>
      <w:tr>
        <w:tc>
          <w:tcPr>
            <w:tcW w:type="dxa" w:w="1923"/>
          </w:tcPr>
          <w:p>
            <w:pPr>
              <w:spacing w:after="20" w:before="20" w:line="276" w:lineRule="auto"/>
            </w:pPr>
            <w:r/>
            <w:r>
              <w:rPr>
                <w:rFonts w:ascii="宋体" w:hAnsi="宋体" w:eastAsia="宋体"/>
                <w:b w:val="0"/>
                <w:i w:val="0"/>
                <w:color w:val="1A1A1A"/>
                <w:sz w:val="18"/>
              </w:rPr>
              <w:t>引用未经核实的统计数据</w:t>
            </w:r>
          </w:p>
        </w:tc>
        <w:tc>
          <w:tcPr>
            <w:tcW w:type="dxa" w:w="1627"/>
          </w:tcPr>
          <w:p>
            <w:pPr>
              <w:spacing w:after="20" w:before="20" w:line="276" w:lineRule="auto"/>
            </w:pPr>
            <w:r/>
            <w:r>
              <w:rPr>
                <w:rFonts w:ascii="宋体" w:hAnsi="宋体" w:eastAsia="宋体"/>
                <w:b w:val="0"/>
                <w:i w:val="0"/>
                <w:color w:val="1A1A1A"/>
                <w:sz w:val="18"/>
              </w:rPr>
              <w:t>一旦被追问即失去全部可信度</w:t>
            </w:r>
          </w:p>
        </w:tc>
        <w:tc>
          <w:tcPr>
            <w:tcW w:type="dxa" w:w="4954"/>
          </w:tcPr>
          <w:p>
            <w:pPr>
              <w:spacing w:after="20" w:before="20" w:line="276" w:lineRule="auto"/>
            </w:pPr>
            <w:r/>
            <w:r>
              <w:rPr>
                <w:rFonts w:ascii="宋体" w:hAnsi="宋体" w:eastAsia="宋体"/>
                <w:b w:val="0"/>
                <w:i w:val="0"/>
                <w:color w:val="1A1A1A"/>
                <w:sz w:val="18"/>
              </w:rPr>
              <w:t>所有数字均标注发布机构、文件名称与年份；查不到官方出处的数字一律不用（例如全国口径的「投资理财类占电诈损失约三分之一」因无法打开原页面核对而弃用）；地方数据必须带「北京市」等限定语</w:t>
            </w:r>
          </w:p>
        </w:tc>
      </w:tr>
      <w:tr>
        <w:tc>
          <w:tcPr>
            <w:tcW w:type="dxa" w:w="1923"/>
          </w:tcPr>
          <w:p>
            <w:pPr>
              <w:spacing w:after="20" w:before="20" w:line="276" w:lineRule="auto"/>
            </w:pPr>
            <w:r/>
            <w:r>
              <w:rPr>
                <w:rFonts w:ascii="宋体" w:hAnsi="宋体" w:eastAsia="宋体"/>
                <w:b w:val="0"/>
                <w:i w:val="0"/>
                <w:color w:val="1A1A1A"/>
                <w:sz w:val="18"/>
              </w:rPr>
              <w:t>市场数据填不出真值</w:t>
            </w:r>
          </w:p>
        </w:tc>
        <w:tc>
          <w:tcPr>
            <w:tcW w:type="dxa" w:w="1627"/>
          </w:tcPr>
          <w:p>
            <w:pPr>
              <w:spacing w:after="20" w:before="20" w:line="276" w:lineRule="auto"/>
            </w:pPr>
            <w:r/>
            <w:r>
              <w:rPr>
                <w:rFonts w:ascii="宋体" w:hAnsi="宋体" w:eastAsia="宋体"/>
                <w:b w:val="0"/>
                <w:i w:val="0"/>
                <w:color w:val="1A1A1A"/>
                <w:sz w:val="18"/>
              </w:rPr>
              <w:t>文案出现空值或估算数字</w:t>
            </w:r>
          </w:p>
        </w:tc>
        <w:tc>
          <w:tcPr>
            <w:tcW w:type="dxa" w:w="4954"/>
          </w:tcPr>
          <w:p>
            <w:pPr>
              <w:spacing w:after="20" w:before="20" w:line="276" w:lineRule="auto"/>
            </w:pPr>
            <w:r/>
            <w:r>
              <w:rPr>
                <w:rFonts w:ascii="宋体" w:hAnsi="宋体" w:eastAsia="宋体"/>
                <w:b w:val="0"/>
                <w:i w:val="0"/>
                <w:color w:val="1A1A1A"/>
                <w:sz w:val="18"/>
              </w:rPr>
              <w:t>market-snapshot.json 中未能核实的字段保持为空并记录原因，前端自动改用定性表述，不展示任何空值或估算数字</w:t>
            </w:r>
          </w:p>
        </w:tc>
      </w:tr>
      <w:tr>
        <w:tc>
          <w:tcPr>
            <w:tcW w:type="dxa" w:w="1923"/>
          </w:tcPr>
          <w:p>
            <w:pPr>
              <w:spacing w:after="20" w:before="20" w:line="276" w:lineRule="auto"/>
            </w:pPr>
            <w:r/>
            <w:r>
              <w:rPr>
                <w:rFonts w:ascii="宋体" w:hAnsi="宋体" w:eastAsia="宋体"/>
                <w:b w:val="0"/>
                <w:i w:val="0"/>
                <w:color w:val="1A1A1A"/>
                <w:sz w:val="18"/>
              </w:rPr>
              <w:t>对真实企业作出违法暗示</w:t>
            </w:r>
          </w:p>
        </w:tc>
        <w:tc>
          <w:tcPr>
            <w:tcW w:type="dxa" w:w="1627"/>
          </w:tcPr>
          <w:p>
            <w:pPr>
              <w:spacing w:after="20" w:before="20" w:line="276" w:lineRule="auto"/>
            </w:pPr>
            <w:r/>
            <w:r>
              <w:rPr>
                <w:rFonts w:ascii="宋体" w:hAnsi="宋体" w:eastAsia="宋体"/>
                <w:b w:val="0"/>
                <w:i w:val="0"/>
                <w:color w:val="1A1A1A"/>
                <w:sz w:val="18"/>
              </w:rPr>
              <w:t>名誉权风险</w:t>
            </w:r>
          </w:p>
        </w:tc>
        <w:tc>
          <w:tcPr>
            <w:tcW w:type="dxa" w:w="4954"/>
          </w:tcPr>
          <w:p>
            <w:pPr>
              <w:spacing w:after="20" w:before="20" w:line="276" w:lineRule="auto"/>
            </w:pPr>
            <w:r/>
            <w:r>
              <w:rPr>
                <w:rFonts w:ascii="宋体" w:hAnsi="宋体" w:eastAsia="宋体"/>
                <w:b w:val="0"/>
                <w:i w:val="0"/>
                <w:color w:val="1A1A1A"/>
                <w:sz w:val="18"/>
              </w:rPr>
              <w:t>公开演示只用自制仿真样本，机构名一律虚构；产品定位本身即「不作法律定性」，只输出「命中的表述特征」</w:t>
            </w:r>
          </w:p>
        </w:tc>
      </w:tr>
      <w:tr>
        <w:tc>
          <w:tcPr>
            <w:tcW w:type="dxa" w:w="1923"/>
          </w:tcPr>
          <w:p>
            <w:pPr>
              <w:spacing w:after="20" w:before="20" w:line="276" w:lineRule="auto"/>
            </w:pPr>
            <w:r/>
            <w:r>
              <w:rPr>
                <w:rFonts w:ascii="宋体" w:hAnsi="宋体" w:eastAsia="宋体"/>
                <w:b w:val="0"/>
                <w:i w:val="0"/>
                <w:color w:val="1A1A1A"/>
                <w:sz w:val="18"/>
              </w:rPr>
              <w:t>用户隐私泄露</w:t>
            </w:r>
          </w:p>
        </w:tc>
        <w:tc>
          <w:tcPr>
            <w:tcW w:type="dxa" w:w="1627"/>
          </w:tcPr>
          <w:p>
            <w:pPr>
              <w:spacing w:after="20" w:before="20" w:line="276" w:lineRule="auto"/>
            </w:pPr>
            <w:r/>
            <w:r>
              <w:rPr>
                <w:rFonts w:ascii="宋体" w:hAnsi="宋体" w:eastAsia="宋体"/>
                <w:b w:val="0"/>
                <w:i w:val="0"/>
                <w:color w:val="1A1A1A"/>
                <w:sz w:val="18"/>
              </w:rPr>
              <w:t>金融场景下的信任崩塌</w:t>
            </w:r>
          </w:p>
        </w:tc>
        <w:tc>
          <w:tcPr>
            <w:tcW w:type="dxa" w:w="4954"/>
          </w:tcPr>
          <w:p>
            <w:pPr>
              <w:spacing w:after="20" w:before="20" w:line="276" w:lineRule="auto"/>
            </w:pPr>
            <w:r/>
            <w:r>
              <w:rPr>
                <w:rFonts w:ascii="宋体" w:hAnsi="宋体" w:eastAsia="宋体"/>
                <w:b w:val="0"/>
                <w:i w:val="0"/>
                <w:color w:val="1A1A1A"/>
                <w:sz w:val="18"/>
              </w:rPr>
              <w:t>用户档案存本地不上传、不建集中式用户库；图片不落盘、不用于训练；身份证 / 银行卡 / 手机号 / 邮箱进入模型前脱敏；样本沉淀需主动授权且仅保留脱敏话术特征</w:t>
            </w:r>
          </w:p>
        </w:tc>
      </w:tr>
      <w:tr>
        <w:tc>
          <w:tcPr>
            <w:tcW w:type="dxa" w:w="1923"/>
          </w:tcPr>
          <w:p>
            <w:pPr>
              <w:spacing w:after="20" w:before="20" w:line="276" w:lineRule="auto"/>
            </w:pPr>
            <w:r/>
            <w:r>
              <w:rPr>
                <w:rFonts w:ascii="宋体" w:hAnsi="宋体" w:eastAsia="宋体"/>
                <w:b w:val="0"/>
                <w:i w:val="0"/>
                <w:color w:val="1A1A1A"/>
                <w:sz w:val="18"/>
              </w:rPr>
              <w:t>模型输出越界（投资建议、涨跌预测、安全保证、诈骗定性）</w:t>
            </w:r>
          </w:p>
        </w:tc>
        <w:tc>
          <w:tcPr>
            <w:tcW w:type="dxa" w:w="1627"/>
          </w:tcPr>
          <w:p>
            <w:pPr>
              <w:spacing w:after="20" w:before="20" w:line="276" w:lineRule="auto"/>
            </w:pPr>
            <w:r/>
            <w:r>
              <w:rPr>
                <w:rFonts w:ascii="宋体" w:hAnsi="宋体" w:eastAsia="宋体"/>
                <w:b w:val="0"/>
                <w:i w:val="0"/>
                <w:color w:val="1A1A1A"/>
                <w:sz w:val="18"/>
              </w:rPr>
              <w:t>触碰持牌业务边界</w:t>
            </w:r>
          </w:p>
        </w:tc>
        <w:tc>
          <w:tcPr>
            <w:tcW w:type="dxa" w:w="4954"/>
          </w:tcPr>
          <w:p>
            <w:pPr>
              <w:spacing w:after="20" w:before="20" w:line="276" w:lineRule="auto"/>
            </w:pPr>
            <w:r/>
            <w:r>
              <w:rPr>
                <w:rFonts w:ascii="宋体" w:hAnsi="宋体" w:eastAsia="宋体"/>
                <w:b w:val="0"/>
                <w:i w:val="0"/>
                <w:color w:val="1A1A1A"/>
                <w:sz w:val="18"/>
              </w:rPr>
              <w:t>输出审查层确定性拦截六类越界表述 + 全局免责声明自动注入不可关闭 + 最敏感的一档不让模型开口</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18　数据与合规风险及应对</w:t>
      </w:r>
    </w:p>
    <w:p>
      <w:pPr>
        <w:keepNext/>
        <w:spacing w:before="280" w:after="120" w:line="324" w:lineRule="auto"/>
        <w:jc w:val="left"/>
      </w:pPr>
      <w:r>
        <w:rPr>
          <w:rFonts w:ascii="黑体" w:hAnsi="黑体" w:eastAsia="黑体"/>
          <w:b/>
          <w:i w:val="0"/>
          <w:color w:val="000000"/>
          <w:sz w:val="27"/>
        </w:rPr>
        <w:t>4. 运营风险及对应解决策略</w:t>
      </w:r>
    </w:p>
    <w:p>
      <w:pPr>
        <w:keepNext w:val="0"/>
        <w:spacing w:before="0" w:after="60" w:line="360" w:lineRule="auto"/>
        <w:ind w:firstLine="480"/>
        <w:jc w:val="both"/>
      </w:pPr>
      <w:r>
        <w:rPr>
          <w:rFonts w:ascii="宋体" w:hAnsi="宋体" w:eastAsia="宋体"/>
          <w:b/>
          <w:i w:val="0"/>
          <w:color w:val="1A1A1A"/>
          <w:sz w:val="24"/>
        </w:rPr>
        <w:t>风险一：现场演示或活动中出现误判。</w:t>
      </w:r>
      <w:r>
        <w:rPr>
          <w:rFonts w:ascii="宋体" w:hAnsi="宋体" w:eastAsia="宋体"/>
          <w:b w:val="0"/>
          <w:i w:val="0"/>
          <w:color w:val="1A1A1A"/>
          <w:sz w:val="24"/>
        </w:rPr>
        <w:t xml:space="preserve"> 这是我们判断最致命的运营风险——</w:t>
      </w:r>
      <w:r>
        <w:rPr>
          <w:rFonts w:ascii="宋体" w:hAnsi="宋体" w:eastAsia="宋体"/>
          <w:b/>
          <w:i w:val="0"/>
          <w:color w:val="1A1A1A"/>
          <w:sz w:val="24"/>
        </w:rPr>
        <w:t>把正规产品判成骗局，比没有演示更糟。</w:t>
      </w:r>
      <w:r>
        <w:rPr>
          <w:rFonts w:ascii="宋体" w:hAnsi="宋体" w:eastAsia="宋体"/>
          <w:b w:val="0"/>
          <w:i w:val="0"/>
          <w:color w:val="1A1A1A"/>
          <w:sz w:val="24"/>
        </w:rPr>
        <w:t xml:space="preserve"> </w:t>
      </w:r>
      <w:r>
        <w:rPr>
          <w:rFonts w:ascii="宋体" w:hAnsi="宋体" w:eastAsia="宋体"/>
          <w:b/>
          <w:i w:val="0"/>
          <w:color w:val="1A1A1A"/>
          <w:sz w:val="24"/>
        </w:rPr>
        <w:t>策略</w:t>
      </w:r>
      <w:r>
        <w:rPr>
          <w:rFonts w:ascii="宋体" w:hAnsi="宋体" w:eastAsia="宋体"/>
          <w:b w:val="0"/>
          <w:i w:val="0"/>
          <w:color w:val="1A1A1A"/>
          <w:sz w:val="24"/>
        </w:rPr>
        <w:t>：三层误判防护（否定语境、科普语境、合法术语白名单）+ 正规产品反向对照样本纳入回归测试，每次发版必跑；报告中主动列出「我们排除的疑似命中」，把系统的判断过程透明化；措辞上一律限定为「命中 / 未命中违规表述特征」，从不作定性。</w:t>
      </w:r>
      <w:r>
        <w:rPr>
          <w:rFonts w:ascii="宋体" w:hAnsi="宋体" w:eastAsia="宋体"/>
          <w:b/>
          <w:i w:val="0"/>
          <w:color w:val="1A1A1A"/>
          <w:sz w:val="24"/>
        </w:rPr>
        <w:t>当前仍有一处已定位的对照样本误判待修，见 §13.1。</w:t>
      </w:r>
    </w:p>
    <w:p>
      <w:pPr>
        <w:keepNext w:val="0"/>
        <w:spacing w:before="0" w:after="60" w:line="360" w:lineRule="auto"/>
        <w:ind w:firstLine="480"/>
        <w:jc w:val="both"/>
      </w:pPr>
      <w:r>
        <w:rPr>
          <w:rFonts w:ascii="宋体" w:hAnsi="宋体" w:eastAsia="宋体"/>
          <w:b/>
          <w:i w:val="0"/>
          <w:color w:val="1A1A1A"/>
          <w:sz w:val="24"/>
        </w:rPr>
        <w:t>风险二：三个功能被认为是「拼盘」而非系统。</w:t>
      </w:r>
      <w:r>
        <w:rPr>
          <w:rFonts w:ascii="宋体" w:hAnsi="宋体" w:eastAsia="宋体"/>
          <w:b w:val="0"/>
          <w:i w:val="0"/>
          <w:color w:val="1A1A1A"/>
          <w:sz w:val="24"/>
        </w:rPr>
        <w:t xml:space="preserve"> </w:t>
      </w:r>
      <w:r>
        <w:rPr>
          <w:rFonts w:ascii="宋体" w:hAnsi="宋体" w:eastAsia="宋体"/>
          <w:b/>
          <w:i w:val="0"/>
          <w:color w:val="1A1A1A"/>
          <w:sz w:val="24"/>
        </w:rPr>
        <w:t>策略</w:t>
      </w:r>
      <w:r>
        <w:rPr>
          <w:rFonts w:ascii="宋体" w:hAnsi="宋体" w:eastAsia="宋体"/>
          <w:b w:val="0"/>
          <w:i w:val="0"/>
          <w:color w:val="1A1A1A"/>
          <w:sz w:val="24"/>
        </w:rPr>
        <w:t>：共享用户档案的联动效果必须在演示中真实呈现（六条联动规则见表 3），且每条定向提示都显示依据来源行；档案为空时一条都不出，不虚报联动；提供「我的档案」页面让联动机制可被直接查看。</w:t>
      </w:r>
    </w:p>
    <w:p>
      <w:pPr>
        <w:keepNext w:val="0"/>
        <w:spacing w:before="0" w:after="60" w:line="360" w:lineRule="auto"/>
        <w:ind w:firstLine="480"/>
        <w:jc w:val="both"/>
      </w:pPr>
      <w:r>
        <w:rPr>
          <w:rFonts w:ascii="宋体" w:hAnsi="宋体" w:eastAsia="宋体"/>
          <w:b/>
          <w:i w:val="0"/>
          <w:color w:val="1A1A1A"/>
          <w:sz w:val="24"/>
        </w:rPr>
        <w:t>风险三：内容更新跟不上骗术演变。</w:t>
      </w:r>
      <w:r>
        <w:rPr>
          <w:rFonts w:ascii="宋体" w:hAnsi="宋体" w:eastAsia="宋体"/>
          <w:b w:val="0"/>
          <w:i w:val="0"/>
          <w:color w:val="1A1A1A"/>
          <w:sz w:val="24"/>
        </w:rPr>
        <w:t xml:space="preserve"> </w:t>
      </w:r>
      <w:r>
        <w:rPr>
          <w:rFonts w:ascii="宋体" w:hAnsi="宋体" w:eastAsia="宋体"/>
          <w:b/>
          <w:i w:val="0"/>
          <w:color w:val="1A1A1A"/>
          <w:sz w:val="24"/>
        </w:rPr>
        <w:t>策略</w:t>
      </w:r>
      <w:r>
        <w:rPr>
          <w:rFonts w:ascii="宋体" w:hAnsi="宋体" w:eastAsia="宋体"/>
          <w:b w:val="0"/>
          <w:i w:val="0"/>
          <w:color w:val="1A1A1A"/>
          <w:sz w:val="24"/>
        </w:rPr>
        <w:t>：知识库全部为结构化 JSON，非技术成员可直接编辑；C 端上传沉淀的脱敏话术特征形成持续输入；语义通道作为高召回补充，覆盖规则库尚未收录的新变体——</w:t>
      </w:r>
      <w:r>
        <w:rPr>
          <w:rFonts w:ascii="宋体" w:hAnsi="宋体" w:eastAsia="宋体"/>
          <w:b/>
          <w:i w:val="0"/>
          <w:color w:val="1A1A1A"/>
          <w:sz w:val="24"/>
        </w:rPr>
        <w:t>关键词库永远穷举不完，这就是第二条通道存在的理由。</w:t>
      </w:r>
    </w:p>
    <w:p>
      <w:pPr>
        <w:keepNext w:val="0"/>
        <w:spacing w:before="0" w:after="60" w:line="360" w:lineRule="auto"/>
        <w:ind w:firstLine="480"/>
        <w:jc w:val="both"/>
      </w:pPr>
      <w:r>
        <w:rPr>
          <w:rFonts w:ascii="宋体" w:hAnsi="宋体" w:eastAsia="宋体"/>
          <w:b/>
          <w:i w:val="0"/>
          <w:color w:val="1A1A1A"/>
          <w:sz w:val="24"/>
        </w:rPr>
        <w:t>风险四：老年用户的使用门槛。</w:t>
      </w:r>
      <w:r>
        <w:rPr>
          <w:rFonts w:ascii="宋体" w:hAnsi="宋体" w:eastAsia="宋体"/>
          <w:b w:val="0"/>
          <w:i w:val="0"/>
          <w:color w:val="1A1A1A"/>
          <w:sz w:val="24"/>
        </w:rPr>
        <w:t xml:space="preserve"> </w:t>
      </w:r>
      <w:r>
        <w:rPr>
          <w:rFonts w:ascii="宋体" w:hAnsi="宋体" w:eastAsia="宋体"/>
          <w:b/>
          <w:i w:val="0"/>
          <w:color w:val="1A1A1A"/>
          <w:sz w:val="24"/>
        </w:rPr>
        <w:t>策略</w:t>
      </w:r>
      <w:r>
        <w:rPr>
          <w:rFonts w:ascii="宋体" w:hAnsi="宋体" w:eastAsia="宋体"/>
          <w:b w:val="0"/>
          <w:i w:val="0"/>
          <w:color w:val="1A1A1A"/>
          <w:sz w:val="24"/>
        </w:rPr>
        <w:t>：Web 应用扫码即用、无需安装与注册；全站字号放大开关，档案年龄段为 60 岁以上时自动开启；文案严格控制为短句、不说教、不吓唬；每类骗局配一句便于记住的口诀；短期规划中已列入语音播报。</w:t>
      </w:r>
    </w:p>
    <w:p>
      <w:pPr>
        <w:keepNext w:val="0"/>
        <w:spacing w:before="0" w:after="60" w:line="360" w:lineRule="auto"/>
        <w:ind w:firstLine="480"/>
        <w:jc w:val="both"/>
      </w:pPr>
      <w:r>
        <w:rPr>
          <w:rFonts w:ascii="宋体" w:hAnsi="宋体" w:eastAsia="宋体"/>
          <w:b/>
          <w:i w:val="0"/>
          <w:color w:val="1A1A1A"/>
          <w:sz w:val="24"/>
        </w:rPr>
        <w:t>风险五：团队精力有限，功能铺得过宽。</w:t>
      </w:r>
      <w:r>
        <w:rPr>
          <w:rFonts w:ascii="宋体" w:hAnsi="宋体" w:eastAsia="宋体"/>
          <w:b w:val="0"/>
          <w:i w:val="0"/>
          <w:color w:val="1A1A1A"/>
          <w:sz w:val="24"/>
        </w:rPr>
        <w:t xml:space="preserve"> </w:t>
      </w:r>
      <w:r>
        <w:rPr>
          <w:rFonts w:ascii="宋体" w:hAnsi="宋体" w:eastAsia="宋体"/>
          <w:b/>
          <w:i w:val="0"/>
          <w:color w:val="1A1A1A"/>
          <w:sz w:val="24"/>
        </w:rPr>
        <w:t>策略</w:t>
      </w:r>
      <w:r>
        <w:rPr>
          <w:rFonts w:ascii="宋体" w:hAnsi="宋体" w:eastAsia="宋体"/>
          <w:b w:val="0"/>
          <w:i w:val="0"/>
          <w:color w:val="1A1A1A"/>
          <w:sz w:val="24"/>
        </w:rPr>
        <w:t>：明确的砍单顺序——核心识别链路与误判防护绝不可砍，其余按对用户价值的贡献排序；文件归属制度保证多人并行开发时不互相覆盖；所有改动以回归测试为准入条件。</w:t>
      </w:r>
    </w:p>
    <w:p>
      <w:r>
        <w:br w:type="page"/>
      </w:r>
    </w:p>
    <w:p>
      <w:pPr>
        <w:keepNext/>
        <w:spacing w:before="400" w:after="200" w:line="324" w:lineRule="auto"/>
        <w:jc w:val="left"/>
      </w:pPr>
      <w:r>
        <w:rPr>
          <w:rFonts w:ascii="黑体" w:hAnsi="黑体" w:eastAsia="黑体"/>
          <w:b/>
          <w:i w:val="0"/>
          <w:color w:val="000000"/>
          <w:sz w:val="32"/>
        </w:rPr>
        <w:t>十三、项目总结与未来规划</w:t>
      </w:r>
    </w:p>
    <w:p>
      <w:pPr>
        <w:keepNext/>
        <w:spacing w:before="280" w:after="120" w:line="324" w:lineRule="auto"/>
        <w:jc w:val="left"/>
      </w:pPr>
      <w:r>
        <w:rPr>
          <w:rFonts w:ascii="黑体" w:hAnsi="黑体" w:eastAsia="黑体"/>
          <w:b/>
          <w:i w:val="0"/>
          <w:color w:val="000000"/>
          <w:sz w:val="27"/>
        </w:rPr>
        <w:t>1. 项目现有成果总结</w:t>
      </w:r>
    </w:p>
    <w:p>
      <w:pPr>
        <w:keepNext w:val="0"/>
        <w:spacing w:before="0" w:after="60" w:line="360" w:lineRule="auto"/>
        <w:ind w:firstLine="480"/>
        <w:jc w:val="both"/>
      </w:pPr>
      <w:r>
        <w:rPr>
          <w:rFonts w:ascii="宋体" w:hAnsi="宋体" w:eastAsia="宋体"/>
          <w:b/>
          <w:i w:val="0"/>
          <w:color w:val="1A1A1A"/>
          <w:sz w:val="24"/>
        </w:rPr>
        <w:t>（1）一个可用的完整产品。</w:t>
      </w:r>
      <w:r>
        <w:rPr>
          <w:rFonts w:ascii="宋体" w:hAnsi="宋体" w:eastAsia="宋体"/>
          <w:b w:val="0"/>
          <w:i w:val="0"/>
          <w:color w:val="1A1A1A"/>
          <w:sz w:val="24"/>
        </w:rPr>
        <w:t xml:space="preserve"> 四个功能模块全部可用，移动端优先，扫码即用，生产构建通过。识别与翻译、学习、规划师、我的档案四条链路均可端到端跑通，含真实的多模态 OCR、真实的规则判定与真实的模型转述。未配置模型 Key 时产品仍能完整演示一遍。</w:t>
      </w:r>
    </w:p>
    <w:p>
      <w:pPr>
        <w:keepNext w:val="0"/>
        <w:spacing w:before="0" w:after="60" w:line="360" w:lineRule="auto"/>
        <w:ind w:firstLine="480"/>
        <w:jc w:val="both"/>
      </w:pPr>
      <w:r>
        <w:rPr>
          <w:rFonts w:ascii="宋体" w:hAnsi="宋体" w:eastAsia="宋体"/>
          <w:b/>
          <w:i w:val="0"/>
          <w:color w:val="1A1A1A"/>
          <w:sz w:val="24"/>
        </w:rPr>
        <w:t>（2）一套可溯源的内容资产。</w:t>
      </w:r>
      <w:r>
        <w:rPr>
          <w:rFonts w:ascii="宋体" w:hAnsi="宋体" w:eastAsia="宋体"/>
          <w:b w:val="0"/>
          <w:i w:val="0"/>
          <w:color w:val="1A1A1A"/>
          <w:sz w:val="24"/>
        </w:rPr>
        <w:t xml:space="preserve"> 这是本项目最难被短期复制的部分：</w:t>
      </w:r>
    </w:p>
    <w:tbl>
      <w:tblPr>
        <w:tblStyle w:val="TableGrid"/>
        <w:tblW w:type="auto" w:w="0"/>
        <w:jc w:val="center"/>
        <w:tblLayout w:type="fixed"/>
        <w:tblLook w:firstColumn="1" w:firstRow="1" w:lastColumn="0" w:lastRow="0" w:noHBand="0" w:noVBand="1" w:val="04A0"/>
      </w:tblPr>
      <w:tblGrid>
        <w:gridCol w:w="2835"/>
        <w:gridCol w:w="2835"/>
        <w:gridCol w:w="2835"/>
      </w:tblGrid>
      <w:tr>
        <w:tc>
          <w:tcPr>
            <w:tcW w:type="dxa" w:w="2199"/>
            <w:shd w:fill="F2F2F2"/>
          </w:tcPr>
          <w:p>
            <w:pPr>
              <w:spacing w:after="20" w:before="20" w:line="276" w:lineRule="auto"/>
              <w:jc w:val="center"/>
            </w:pPr>
            <w:r/>
            <w:r>
              <w:rPr>
                <w:rFonts w:ascii="黑体" w:hAnsi="黑体" w:eastAsia="黑体"/>
                <w:b/>
                <w:i w:val="0"/>
                <w:color w:val="000000"/>
                <w:sz w:val="19"/>
              </w:rPr>
              <w:t>资产</w:t>
            </w:r>
          </w:p>
        </w:tc>
        <w:tc>
          <w:tcPr>
            <w:tcW w:type="dxa" w:w="3372"/>
            <w:shd w:fill="F2F2F2"/>
          </w:tcPr>
          <w:p>
            <w:pPr>
              <w:spacing w:after="20" w:before="20" w:line="276" w:lineRule="auto"/>
              <w:jc w:val="center"/>
            </w:pPr>
            <w:r/>
            <w:r>
              <w:rPr>
                <w:rFonts w:ascii="黑体" w:hAnsi="黑体" w:eastAsia="黑体"/>
                <w:b/>
                <w:i w:val="0"/>
                <w:color w:val="000000"/>
                <w:sz w:val="19"/>
              </w:rPr>
              <w:t>规模</w:t>
            </w:r>
          </w:p>
        </w:tc>
        <w:tc>
          <w:tcPr>
            <w:tcW w:type="dxa" w:w="2932"/>
            <w:shd w:fill="F2F2F2"/>
          </w:tcPr>
          <w:p>
            <w:pPr>
              <w:spacing w:after="20" w:before="20" w:line="276" w:lineRule="auto"/>
              <w:jc w:val="center"/>
            </w:pPr>
            <w:r/>
            <w:r>
              <w:rPr>
                <w:rFonts w:ascii="黑体" w:hAnsi="黑体" w:eastAsia="黑体"/>
                <w:b/>
                <w:i w:val="0"/>
                <w:color w:val="000000"/>
                <w:sz w:val="19"/>
              </w:rPr>
              <w:t>核对状态</w:t>
            </w:r>
          </w:p>
        </w:tc>
      </w:tr>
      <w:tr>
        <w:tc>
          <w:tcPr>
            <w:tcW w:type="dxa" w:w="2199"/>
          </w:tcPr>
          <w:p>
            <w:pPr>
              <w:spacing w:after="20" w:before="20" w:line="276" w:lineRule="auto"/>
            </w:pPr>
            <w:r/>
            <w:r>
              <w:rPr>
                <w:rFonts w:ascii="宋体" w:hAnsi="宋体" w:eastAsia="宋体"/>
                <w:b w:val="0"/>
                <w:i w:val="0"/>
                <w:color w:val="1A1A1A"/>
                <w:sz w:val="19"/>
              </w:rPr>
              <w:t>违规话术特征库</w:t>
            </w:r>
          </w:p>
        </w:tc>
        <w:tc>
          <w:tcPr>
            <w:tcW w:type="dxa" w:w="3372"/>
          </w:tcPr>
          <w:p>
            <w:pPr>
              <w:spacing w:after="20" w:before="20" w:line="276" w:lineRule="auto"/>
            </w:pPr>
            <w:r/>
            <w:r>
              <w:rPr>
                <w:rFonts w:ascii="宋体" w:hAnsi="宋体" w:eastAsia="宋体"/>
                <w:b w:val="0"/>
                <w:i w:val="0"/>
                <w:color w:val="1A1A1A"/>
                <w:sz w:val="19"/>
              </w:rPr>
              <w:t>15 类（硬性违规 8 / 高风险诱导 7），365 关键词</w:t>
            </w:r>
          </w:p>
        </w:tc>
        <w:tc>
          <w:tcPr>
            <w:tcW w:type="dxa" w:w="2932"/>
          </w:tcPr>
          <w:p>
            <w:pPr>
              <w:spacing w:after="20" w:before="20" w:line="276" w:lineRule="auto"/>
            </w:pPr>
            <w:r/>
            <w:r>
              <w:rPr>
                <w:rFonts w:ascii="宋体" w:hAnsi="宋体" w:eastAsia="宋体"/>
                <w:b w:val="0"/>
                <w:i w:val="0"/>
                <w:color w:val="1A1A1A"/>
                <w:sz w:val="19"/>
              </w:rPr>
              <w:t>回归测试 35 例覆盖，含正例与反例</w:t>
            </w:r>
          </w:p>
        </w:tc>
      </w:tr>
      <w:tr>
        <w:tc>
          <w:tcPr>
            <w:tcW w:type="dxa" w:w="2199"/>
          </w:tcPr>
          <w:p>
            <w:pPr>
              <w:spacing w:after="20" w:before="20" w:line="276" w:lineRule="auto"/>
            </w:pPr>
            <w:r/>
            <w:r>
              <w:rPr>
                <w:rFonts w:ascii="宋体" w:hAnsi="宋体" w:eastAsia="宋体"/>
                <w:b w:val="0"/>
                <w:i w:val="0"/>
                <w:color w:val="1A1A1A"/>
                <w:sz w:val="19"/>
              </w:rPr>
              <w:t>法规条文库</w:t>
            </w:r>
          </w:p>
        </w:tc>
        <w:tc>
          <w:tcPr>
            <w:tcW w:type="dxa" w:w="3372"/>
          </w:tcPr>
          <w:p>
            <w:pPr>
              <w:spacing w:after="20" w:before="20" w:line="276" w:lineRule="auto"/>
            </w:pPr>
            <w:r/>
            <w:r>
              <w:rPr>
                <w:rFonts w:ascii="宋体" w:hAnsi="宋体" w:eastAsia="宋体"/>
                <w:b w:val="0"/>
                <w:i w:val="0"/>
                <w:color w:val="1A1A1A"/>
                <w:sz w:val="19"/>
              </w:rPr>
              <w:t>14 条</w:t>
            </w:r>
          </w:p>
        </w:tc>
        <w:tc>
          <w:tcPr>
            <w:tcW w:type="dxa" w:w="2932"/>
          </w:tcPr>
          <w:p>
            <w:pPr>
              <w:spacing w:after="20" w:before="20" w:line="276" w:lineRule="auto"/>
            </w:pPr>
            <w:r/>
            <w:r>
              <w:rPr>
                <w:rFonts w:ascii="宋体" w:hAnsi="宋体" w:eastAsia="宋体"/>
                <w:b/>
                <w:i w:val="0"/>
                <w:color w:val="1A1A1A"/>
                <w:sz w:val="19"/>
              </w:rPr>
              <w:t>全部逐字核对官方原文，附来源链接与版本效力说明</w:t>
            </w:r>
          </w:p>
        </w:tc>
      </w:tr>
      <w:tr>
        <w:tc>
          <w:tcPr>
            <w:tcW w:type="dxa" w:w="2199"/>
          </w:tcPr>
          <w:p>
            <w:pPr>
              <w:spacing w:after="20" w:before="20" w:line="276" w:lineRule="auto"/>
            </w:pPr>
            <w:r/>
            <w:r>
              <w:rPr>
                <w:rFonts w:ascii="宋体" w:hAnsi="宋体" w:eastAsia="宋体"/>
                <w:b w:val="0"/>
                <w:i w:val="0"/>
                <w:color w:val="1A1A1A"/>
                <w:sz w:val="19"/>
              </w:rPr>
              <w:t>骗局图鉴与剧本</w:t>
            </w:r>
          </w:p>
        </w:tc>
        <w:tc>
          <w:tcPr>
            <w:tcW w:type="dxa" w:w="3372"/>
          </w:tcPr>
          <w:p>
            <w:pPr>
              <w:spacing w:after="20" w:before="20" w:line="276" w:lineRule="auto"/>
            </w:pPr>
            <w:r/>
            <w:r>
              <w:rPr>
                <w:rFonts w:ascii="宋体" w:hAnsi="宋体" w:eastAsia="宋体"/>
                <w:b w:val="0"/>
                <w:i w:val="0"/>
                <w:color w:val="1A1A1A"/>
                <w:sz w:val="19"/>
              </w:rPr>
              <w:t>9 类 / 48 步</w:t>
            </w:r>
          </w:p>
        </w:tc>
        <w:tc>
          <w:tcPr>
            <w:tcW w:type="dxa" w:w="2932"/>
          </w:tcPr>
          <w:p>
            <w:pPr>
              <w:spacing w:after="20" w:before="20" w:line="276" w:lineRule="auto"/>
            </w:pPr>
            <w:r/>
            <w:r>
              <w:rPr>
                <w:rFonts w:ascii="宋体" w:hAnsi="宋体" w:eastAsia="宋体"/>
                <w:b w:val="0"/>
                <w:i w:val="0"/>
                <w:color w:val="1A1A1A"/>
                <w:sz w:val="19"/>
              </w:rPr>
              <w:t>案例来源为最高检、最高法、证监会官网</w:t>
            </w:r>
          </w:p>
        </w:tc>
      </w:tr>
      <w:tr>
        <w:tc>
          <w:tcPr>
            <w:tcW w:type="dxa" w:w="2199"/>
          </w:tcPr>
          <w:p>
            <w:pPr>
              <w:spacing w:after="20" w:before="20" w:line="276" w:lineRule="auto"/>
            </w:pPr>
            <w:r/>
            <w:r>
              <w:rPr>
                <w:rFonts w:ascii="宋体" w:hAnsi="宋体" w:eastAsia="宋体"/>
                <w:b w:val="0"/>
                <w:i w:val="0"/>
                <w:color w:val="1A1A1A"/>
                <w:sz w:val="19"/>
              </w:rPr>
              <w:t>术语表与关键点规则</w:t>
            </w:r>
          </w:p>
        </w:tc>
        <w:tc>
          <w:tcPr>
            <w:tcW w:type="dxa" w:w="3372"/>
          </w:tcPr>
          <w:p>
            <w:pPr>
              <w:spacing w:after="20" w:before="20" w:line="276" w:lineRule="auto"/>
            </w:pPr>
            <w:r/>
            <w:r>
              <w:rPr>
                <w:rFonts w:ascii="宋体" w:hAnsi="宋体" w:eastAsia="宋体"/>
                <w:b w:val="0"/>
                <w:i w:val="0"/>
                <w:color w:val="1A1A1A"/>
                <w:sz w:val="19"/>
              </w:rPr>
              <w:t>24 条术语 / 7 条关键点</w:t>
            </w:r>
          </w:p>
        </w:tc>
        <w:tc>
          <w:tcPr>
            <w:tcW w:type="dxa" w:w="2932"/>
          </w:tcPr>
          <w:p>
            <w:pPr>
              <w:spacing w:after="20" w:before="20" w:line="276" w:lineRule="auto"/>
            </w:pPr>
            <w:r/>
            <w:r>
              <w:rPr>
                <w:rFonts w:ascii="宋体" w:hAnsi="宋体" w:eastAsia="宋体"/>
                <w:b w:val="0"/>
                <w:i w:val="0"/>
                <w:color w:val="1A1A1A"/>
                <w:sz w:val="19"/>
              </w:rPr>
              <w:t>已校对</w:t>
            </w:r>
          </w:p>
        </w:tc>
      </w:tr>
      <w:tr>
        <w:tc>
          <w:tcPr>
            <w:tcW w:type="dxa" w:w="2199"/>
          </w:tcPr>
          <w:p>
            <w:pPr>
              <w:spacing w:after="20" w:before="20" w:line="276" w:lineRule="auto"/>
            </w:pPr>
            <w:r/>
            <w:r>
              <w:rPr>
                <w:rFonts w:ascii="宋体" w:hAnsi="宋体" w:eastAsia="宋体"/>
                <w:b w:val="0"/>
                <w:i w:val="0"/>
                <w:color w:val="1A1A1A"/>
                <w:sz w:val="19"/>
              </w:rPr>
              <w:t>知识闯关题库</w:t>
            </w:r>
          </w:p>
        </w:tc>
        <w:tc>
          <w:tcPr>
            <w:tcW w:type="dxa" w:w="3372"/>
          </w:tcPr>
          <w:p>
            <w:pPr>
              <w:spacing w:after="20" w:before="20" w:line="276" w:lineRule="auto"/>
            </w:pPr>
            <w:r/>
            <w:r>
              <w:rPr>
                <w:rFonts w:ascii="宋体" w:hAnsi="宋体" w:eastAsia="宋体"/>
                <w:b w:val="0"/>
                <w:i w:val="0"/>
                <w:color w:val="1A1A1A"/>
                <w:sz w:val="19"/>
              </w:rPr>
              <w:t>5 关 / 25 题 / 16 条定向微课</w:t>
            </w:r>
          </w:p>
        </w:tc>
        <w:tc>
          <w:tcPr>
            <w:tcW w:type="dxa" w:w="2932"/>
          </w:tcPr>
          <w:p>
            <w:pPr>
              <w:spacing w:after="20" w:before="20" w:line="276" w:lineRule="auto"/>
            </w:pPr>
            <w:r/>
            <w:r>
              <w:rPr>
                <w:rFonts w:ascii="宋体" w:hAnsi="宋体" w:eastAsia="宋体"/>
                <w:b w:val="0"/>
                <w:i w:val="0"/>
                <w:color w:val="1A1A1A"/>
                <w:sz w:val="19"/>
              </w:rPr>
              <w:t>611 项断言覆盖</w:t>
            </w:r>
          </w:p>
        </w:tc>
      </w:tr>
      <w:tr>
        <w:tc>
          <w:tcPr>
            <w:tcW w:type="dxa" w:w="2199"/>
          </w:tcPr>
          <w:p>
            <w:pPr>
              <w:spacing w:after="20" w:before="20" w:line="276" w:lineRule="auto"/>
            </w:pPr>
            <w:r/>
            <w:r>
              <w:rPr>
                <w:rFonts w:ascii="宋体" w:hAnsi="宋体" w:eastAsia="宋体"/>
                <w:b w:val="0"/>
                <w:i w:val="0"/>
                <w:color w:val="1A1A1A"/>
                <w:sz w:val="19"/>
              </w:rPr>
              <w:t>投资方向科普 / 定向陷阱库</w:t>
            </w:r>
          </w:p>
        </w:tc>
        <w:tc>
          <w:tcPr>
            <w:tcW w:type="dxa" w:w="3372"/>
          </w:tcPr>
          <w:p>
            <w:pPr>
              <w:spacing w:after="20" w:before="20" w:line="276" w:lineRule="auto"/>
            </w:pPr>
            <w:r/>
            <w:r>
              <w:rPr>
                <w:rFonts w:ascii="宋体" w:hAnsi="宋体" w:eastAsia="宋体"/>
                <w:b w:val="0"/>
                <w:i w:val="0"/>
                <w:color w:val="1A1A1A"/>
                <w:sz w:val="19"/>
              </w:rPr>
              <w:t>9 类 / 7 条</w:t>
            </w:r>
          </w:p>
        </w:tc>
        <w:tc>
          <w:tcPr>
            <w:tcW w:type="dxa" w:w="2932"/>
          </w:tcPr>
          <w:p>
            <w:pPr>
              <w:spacing w:after="20" w:before="20" w:line="276" w:lineRule="auto"/>
            </w:pPr>
            <w:r/>
            <w:r>
              <w:rPr>
                <w:rFonts w:ascii="宋体" w:hAnsi="宋体" w:eastAsia="宋体"/>
                <w:b w:val="0"/>
                <w:i w:val="0"/>
                <w:color w:val="1A1A1A"/>
                <w:sz w:val="19"/>
              </w:rPr>
              <w:t>已校对，只讲品类不指向产品</w:t>
            </w:r>
          </w:p>
        </w:tc>
      </w:tr>
      <w:tr>
        <w:tc>
          <w:tcPr>
            <w:tcW w:type="dxa" w:w="2199"/>
          </w:tcPr>
          <w:p>
            <w:pPr>
              <w:spacing w:after="20" w:before="20" w:line="276" w:lineRule="auto"/>
            </w:pPr>
            <w:r/>
            <w:r>
              <w:rPr>
                <w:rFonts w:ascii="宋体" w:hAnsi="宋体" w:eastAsia="宋体"/>
                <w:b w:val="0"/>
                <w:i w:val="0"/>
                <w:color w:val="1A1A1A"/>
                <w:sz w:val="19"/>
              </w:rPr>
              <w:t>自动化测试断言</w:t>
            </w:r>
          </w:p>
        </w:tc>
        <w:tc>
          <w:tcPr>
            <w:tcW w:type="dxa" w:w="3372"/>
          </w:tcPr>
          <w:p>
            <w:pPr>
              <w:spacing w:after="20" w:before="20" w:line="276" w:lineRule="auto"/>
            </w:pPr>
            <w:r/>
            <w:r>
              <w:rPr>
                <w:rFonts w:ascii="宋体" w:hAnsi="宋体" w:eastAsia="宋体"/>
                <w:b/>
                <w:i w:val="0"/>
                <w:color w:val="1A1A1A"/>
                <w:sz w:val="19"/>
              </w:rPr>
              <w:t>843 项，全部通过</w:t>
            </w:r>
          </w:p>
        </w:tc>
        <w:tc>
          <w:tcPr>
            <w:tcW w:type="dxa" w:w="2932"/>
          </w:tcPr>
          <w:p>
            <w:pPr>
              <w:spacing w:after="20" w:before="20" w:line="276" w:lineRule="auto"/>
            </w:pPr>
            <w:r/>
            <w:r>
              <w:rPr>
                <w:rFonts w:ascii="宋体" w:hAnsi="宋体" w:eastAsia="宋体"/>
                <w:b w:val="0"/>
                <w:i w:val="0"/>
                <w:color w:val="1A1A1A"/>
                <w:sz w:val="19"/>
              </w:rPr>
              <w:t>7 个测试套件</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19　现有内容资产与核对状态</w:t>
      </w:r>
    </w:p>
    <w:p>
      <w:pPr>
        <w:keepNext w:val="0"/>
        <w:spacing w:before="0" w:after="60" w:line="360" w:lineRule="auto"/>
        <w:ind w:firstLine="480"/>
        <w:jc w:val="both"/>
      </w:pPr>
      <w:r>
        <w:rPr>
          <w:rFonts w:ascii="宋体" w:hAnsi="宋体" w:eastAsia="宋体"/>
          <w:b/>
          <w:i w:val="0"/>
          <w:color w:val="1A1A1A"/>
          <w:sz w:val="24"/>
        </w:rPr>
        <w:t>（3）一套经过实测检验的技术架构。</w:t>
      </w:r>
      <w:r>
        <w:rPr>
          <w:rFonts w:ascii="宋体" w:hAnsi="宋体" w:eastAsia="宋体"/>
          <w:b w:val="0"/>
          <w:i w:val="0"/>
          <w:color w:val="1A1A1A"/>
          <w:sz w:val="24"/>
        </w:rPr>
        <w:t xml:space="preserve"> 「判定归规则，转述归模型」这一原则被落实为六阶段流水线 + 两条通道 + 三道防线，并在开发过程中被五个真实问题反复检验和修正（详见 §6.9）。这些问题的发现与解决过程本身构成本项目的技术论证材料。</w:t>
      </w:r>
    </w:p>
    <w:p>
      <w:pPr>
        <w:keepNext w:val="0"/>
        <w:spacing w:before="0" w:after="60" w:line="360" w:lineRule="auto"/>
        <w:ind w:firstLine="480"/>
        <w:jc w:val="both"/>
      </w:pPr>
      <w:r>
        <w:rPr>
          <w:rFonts w:ascii="宋体" w:hAnsi="宋体" w:eastAsia="宋体"/>
          <w:b/>
          <w:i w:val="0"/>
          <w:color w:val="1A1A1A"/>
          <w:sz w:val="24"/>
        </w:rPr>
        <w:t>（4）一份完整的合规论证。</w:t>
      </w:r>
      <w:r>
        <w:rPr>
          <w:rFonts w:ascii="宋体" w:hAnsi="宋体" w:eastAsia="宋体"/>
          <w:b w:val="0"/>
          <w:i w:val="0"/>
          <w:color w:val="1A1A1A"/>
          <w:sz w:val="24"/>
        </w:rPr>
        <w:t xml:space="preserve"> 三区边界表、措辞纪律表、输出审查层、法条核对台账，构成一套「不持牌也能合法运营」的完整论证，且每一条都有代码或文档对应，可当场核验。</w:t>
      </w:r>
    </w:p>
    <w:p>
      <w:pPr>
        <w:keepNext/>
        <w:spacing w:before="200" w:after="80" w:line="324" w:lineRule="auto"/>
        <w:jc w:val="left"/>
      </w:pPr>
      <w:r>
        <w:rPr>
          <w:rFonts w:ascii="黑体" w:hAnsi="黑体" w:eastAsia="黑体"/>
          <w:b/>
          <w:i w:val="0"/>
          <w:color w:val="000000"/>
          <w:sz w:val="24"/>
        </w:rPr>
        <w:t>1.1　需要如实说明的一处待修问题</w:t>
      </w:r>
    </w:p>
    <w:p>
      <w:pPr>
        <w:keepNext w:val="0"/>
        <w:spacing w:before="0" w:after="60" w:line="360" w:lineRule="auto"/>
        <w:ind w:firstLine="480"/>
        <w:jc w:val="both"/>
      </w:pPr>
      <w:r>
        <w:rPr>
          <w:rFonts w:ascii="宋体" w:hAnsi="宋体" w:eastAsia="宋体"/>
          <w:b w:val="0"/>
          <w:i w:val="0"/>
          <w:color w:val="1A1A1A"/>
          <w:sz w:val="24"/>
        </w:rPr>
        <w:t>在本文档定稿前的最后一轮端到端验证中，我们发现了一处尚未修复的缺陷，此处如实记录：</w:t>
      </w:r>
    </w:p>
    <w:p>
      <w:pPr>
        <w:keepNext w:val="0"/>
        <w:spacing w:before="0" w:after="60" w:line="360" w:lineRule="auto"/>
        <w:ind w:firstLine="480"/>
        <w:jc w:val="both"/>
      </w:pPr>
      <w:r>
        <w:rPr>
          <w:rFonts w:ascii="宋体" w:hAnsi="宋体" w:eastAsia="宋体"/>
          <w:b/>
          <w:i w:val="0"/>
          <w:color w:val="1A1A1A"/>
          <w:sz w:val="24"/>
        </w:rPr>
        <w:t>问题</w:t>
      </w:r>
      <w:r>
        <w:rPr>
          <w:rFonts w:ascii="宋体" w:hAnsi="宋体" w:eastAsia="宋体"/>
          <w:b w:val="0"/>
          <w:i w:val="0"/>
          <w:color w:val="1A1A1A"/>
          <w:sz w:val="24"/>
        </w:rPr>
        <w:t>：要素齐备的正规产品对照样本（含产品编码、管理人与托管人全称、R2 风险等级、业绩比较基准、完整费率与风险提示语）在端到端链路中被判为高风险。规则通道对该样本的命中数为 0（「非保本」「不保证本金安全」两处均被否定语境正确排除），误判来自语义通道——模型把规范表述「业绩比较基准：年化 2.80%—3.20%」标记为「收益承诺」类硬性违规。连续三次运行结果一致。</w:t>
      </w:r>
    </w:p>
    <w:p>
      <w:pPr>
        <w:keepNext w:val="0"/>
        <w:spacing w:before="0" w:after="60" w:line="360" w:lineRule="auto"/>
        <w:ind w:firstLine="480"/>
        <w:jc w:val="both"/>
      </w:pPr>
      <w:r>
        <w:rPr>
          <w:rFonts w:ascii="宋体" w:hAnsi="宋体" w:eastAsia="宋体"/>
          <w:b/>
          <w:i w:val="0"/>
          <w:color w:val="1A1A1A"/>
          <w:sz w:val="24"/>
        </w:rPr>
        <w:t>根因</w:t>
      </w:r>
      <w:r>
        <w:rPr>
          <w:rFonts w:ascii="宋体" w:hAnsi="宋体" w:eastAsia="宋体"/>
          <w:b w:val="0"/>
          <w:i w:val="0"/>
          <w:color w:val="1A1A1A"/>
          <w:sz w:val="24"/>
        </w:rPr>
        <w:t>：「业绩比较基准」本就在规则通道的合法术语白名单之中（该词是监管要求的规范披露口径，正是用来替代「预期收益率」的），但语义通道的排除检查目前只包含否定语境、科普语境与规则区间重叠三项，</w:t>
      </w:r>
      <w:r>
        <w:rPr>
          <w:rFonts w:ascii="宋体" w:hAnsi="宋体" w:eastAsia="宋体"/>
          <w:b/>
          <w:i w:val="0"/>
          <w:color w:val="1A1A1A"/>
          <w:sz w:val="24"/>
        </w:rPr>
        <w:t>未接入合法术语白名单</w:t>
      </w:r>
      <w:r>
        <w:rPr>
          <w:rFonts w:ascii="宋体" w:hAnsi="宋体" w:eastAsia="宋体"/>
          <w:b w:val="0"/>
          <w:i w:val="0"/>
          <w:color w:val="1A1A1A"/>
          <w:sz w:val="24"/>
        </w:rPr>
        <w:t>，因此绕过了这道防护。</w:t>
      </w:r>
    </w:p>
    <w:p>
      <w:pPr>
        <w:keepNext w:val="0"/>
        <w:spacing w:before="0" w:after="60" w:line="360" w:lineRule="auto"/>
        <w:ind w:firstLine="480"/>
        <w:jc w:val="both"/>
      </w:pPr>
      <w:r>
        <w:rPr>
          <w:rFonts w:ascii="宋体" w:hAnsi="宋体" w:eastAsia="宋体"/>
          <w:b/>
          <w:i w:val="0"/>
          <w:color w:val="1A1A1A"/>
          <w:sz w:val="24"/>
        </w:rPr>
        <w:t>修复方向</w:t>
      </w:r>
      <w:r>
        <w:rPr>
          <w:rFonts w:ascii="宋体" w:hAnsi="宋体" w:eastAsia="宋体"/>
          <w:b w:val="0"/>
          <w:i w:val="0"/>
          <w:color w:val="1A1A1A"/>
          <w:sz w:val="24"/>
        </w:rPr>
        <w:t>：将合法术语白名单接入语义通道的引文校验环节，与另外三项排除检查并列；同时把正规产品对照样本从规则层单元测试提升为端到端回归用例，使这类问题在发版前必被拦截。</w:t>
      </w:r>
    </w:p>
    <w:p>
      <w:pPr>
        <w:keepNext w:val="0"/>
        <w:spacing w:before="80" w:after="120" w:line="336" w:lineRule="auto"/>
        <w:ind w:left="482" w:right="283"/>
        <w:jc w:val="both"/>
      </w:pPr>
      <w:r>
        <w:rPr>
          <w:rFonts w:ascii="楷体" w:hAnsi="楷体" w:eastAsia="楷体"/>
          <w:b w:val="0"/>
          <w:i w:val="0"/>
          <w:color w:val="1A1A1A"/>
          <w:sz w:val="22"/>
        </w:rPr>
        <w:t>我们选择把这个问题写进项目文件，而不是等它在答辩现场被发现。理由与本项目的一贯纪律一致：</w:t>
      </w:r>
      <w:r>
        <w:rPr>
          <w:rFonts w:ascii="楷体" w:hAnsi="楷体" w:eastAsia="楷体"/>
          <w:b/>
          <w:i w:val="0"/>
          <w:color w:val="1A1A1A"/>
          <w:sz w:val="22"/>
        </w:rPr>
        <w:t>误判比漏判更致命</w:t>
      </w:r>
      <w:r>
        <w:rPr>
          <w:rFonts w:ascii="楷体" w:hAnsi="楷体" w:eastAsia="楷体"/>
          <w:b w:val="0"/>
          <w:i w:val="0"/>
          <w:color w:val="1A1A1A"/>
          <w:sz w:val="22"/>
        </w:rPr>
        <w:t>，而一个已被定位、已知根因、有明确修复方案的缺陷，远比一个「一切正常」的声明可信。</w:t>
      </w:r>
    </w:p>
    <w:p>
      <w:pPr>
        <w:keepNext/>
        <w:spacing w:before="280" w:after="120" w:line="324" w:lineRule="auto"/>
        <w:jc w:val="left"/>
      </w:pPr>
      <w:r>
        <w:rPr>
          <w:rFonts w:ascii="黑体" w:hAnsi="黑体" w:eastAsia="黑体"/>
          <w:b/>
          <w:i w:val="0"/>
          <w:color w:val="000000"/>
          <w:sz w:val="27"/>
        </w:rPr>
        <w:t>2. 短期迭代规划</w:t>
      </w:r>
    </w:p>
    <w:p>
      <w:pPr>
        <w:keepNext w:val="0"/>
        <w:spacing w:before="0" w:after="60" w:line="360" w:lineRule="auto"/>
        <w:ind w:firstLine="480"/>
        <w:jc w:val="both"/>
      </w:pPr>
      <w:r>
        <w:rPr>
          <w:rFonts w:ascii="宋体" w:hAnsi="宋体" w:eastAsia="宋体"/>
          <w:b/>
          <w:i w:val="0"/>
          <w:color w:val="1A1A1A"/>
          <w:sz w:val="24"/>
        </w:rPr>
        <w:t>（1）结合用户水平定向推荐金融微课堂。</w:t>
      </w:r>
      <w:r>
        <w:rPr>
          <w:rFonts w:ascii="宋体" w:hAnsi="宋体" w:eastAsia="宋体"/>
          <w:b w:val="0"/>
          <w:i w:val="0"/>
          <w:color w:val="1A1A1A"/>
          <w:sz w:val="24"/>
        </w:rPr>
        <w:t xml:space="preserve"> 现有微课的触发方式是「答错即推送」，下一步将以共享档案中的知识水平与薄弱术语为依据，主动组织成一条个人化的学习路径——用户不需要自己挑关卡，系统按他的薄弱项排课。</w:t>
      </w:r>
    </w:p>
    <w:p>
      <w:pPr>
        <w:keepNext w:val="0"/>
        <w:spacing w:before="0" w:after="60" w:line="360" w:lineRule="auto"/>
        <w:ind w:firstLine="480"/>
        <w:jc w:val="both"/>
      </w:pPr>
      <w:r>
        <w:rPr>
          <w:rFonts w:ascii="宋体" w:hAnsi="宋体" w:eastAsia="宋体"/>
          <w:b/>
          <w:i w:val="0"/>
          <w:color w:val="1A1A1A"/>
          <w:sz w:val="24"/>
        </w:rPr>
        <w:t>（2）在「规划师」界面完善不同投资产品的品类信息。</w:t>
      </w:r>
      <w:r>
        <w:rPr>
          <w:rFonts w:ascii="宋体" w:hAnsi="宋体" w:eastAsia="宋体"/>
          <w:b w:val="0"/>
          <w:i w:val="0"/>
          <w:color w:val="1A1A1A"/>
          <w:sz w:val="24"/>
        </w:rPr>
        <w:t xml:space="preserve"> 补齐基金、债券、个股等品类层面的具体信息：这一品类的收益来源是什么、风险来自哪里、费用结构如何、流动性如何、适合什么风险画像。</w:t>
      </w:r>
      <w:r>
        <w:rPr>
          <w:rFonts w:ascii="宋体" w:hAnsi="宋体" w:eastAsia="宋体"/>
          <w:b/>
          <w:i w:val="0"/>
          <w:color w:val="1A1A1A"/>
          <w:sz w:val="24"/>
        </w:rPr>
        <w:t>严格停留在品类层面，不出现任何具体产品名称、代码或管理人</w:t>
      </w:r>
      <w:r>
        <w:rPr>
          <w:rFonts w:ascii="宋体" w:hAnsi="宋体" w:eastAsia="宋体"/>
          <w:b w:val="0"/>
          <w:i w:val="0"/>
          <w:color w:val="1A1A1A"/>
          <w:sz w:val="24"/>
        </w:rPr>
        <w:t>——这是「大类资产配置思路科普」与「荐基」之间的分界线，也是本项目不可逾越的红线。</w:t>
      </w:r>
    </w:p>
    <w:p>
      <w:pPr>
        <w:keepNext w:val="0"/>
        <w:spacing w:before="0" w:after="60" w:line="360" w:lineRule="auto"/>
        <w:ind w:firstLine="480"/>
        <w:jc w:val="both"/>
      </w:pPr>
      <w:r>
        <w:rPr>
          <w:rFonts w:ascii="宋体" w:hAnsi="宋体" w:eastAsia="宋体"/>
          <w:b/>
          <w:i w:val="0"/>
          <w:color w:val="1A1A1A"/>
          <w:sz w:val="24"/>
        </w:rPr>
        <w:t>（3）添加语音播报等更多适老化改造。</w:t>
      </w:r>
      <w:r>
        <w:rPr>
          <w:rFonts w:ascii="宋体" w:hAnsi="宋体" w:eastAsia="宋体"/>
          <w:b w:val="0"/>
          <w:i w:val="0"/>
          <w:color w:val="1A1A1A"/>
          <w:sz w:val="24"/>
        </w:rPr>
        <w:t xml:space="preserve"> 报告的关键结论与行动清单支持语音播报；提供更大的字号档位与更简化的交互路径；针对目标用户人群作精准调整（例如老年模式下默认隐藏进阶功能，只保留「传图看结果」这一条主路径）。</w:t>
      </w:r>
    </w:p>
    <w:p>
      <w:pPr>
        <w:keepNext w:val="0"/>
        <w:spacing w:before="0" w:after="60" w:line="360" w:lineRule="auto"/>
        <w:ind w:firstLine="480"/>
        <w:jc w:val="both"/>
      </w:pPr>
      <w:r>
        <w:rPr>
          <w:rFonts w:ascii="宋体" w:hAnsi="宋体" w:eastAsia="宋体"/>
          <w:b/>
          <w:i w:val="0"/>
          <w:color w:val="1A1A1A"/>
          <w:sz w:val="24"/>
        </w:rPr>
        <w:t>（4）补齐内容与数据的待办项。</w:t>
      </w:r>
      <w:r>
        <w:rPr>
          <w:rFonts w:ascii="宋体" w:hAnsi="宋体" w:eastAsia="宋体"/>
          <w:b w:val="0"/>
          <w:i w:val="0"/>
          <w:color w:val="1A1A1A"/>
          <w:sz w:val="24"/>
        </w:rPr>
        <w:t xml:space="preserve"> 骗局图鉴的真实案例补充公开报道来源；市场基准快照中两项未填字段确定可引用的官方口径后补录并标注数据日期；扩充口语化与方言表达的关键词覆盖。</w:t>
      </w:r>
    </w:p>
    <w:p>
      <w:pPr>
        <w:keepNext w:val="0"/>
        <w:spacing w:before="0" w:after="60" w:line="360" w:lineRule="auto"/>
        <w:ind w:firstLine="480"/>
        <w:jc w:val="both"/>
      </w:pPr>
      <w:r>
        <w:rPr>
          <w:rFonts w:ascii="宋体" w:hAnsi="宋体" w:eastAsia="宋体"/>
          <w:b/>
          <w:i w:val="0"/>
          <w:color w:val="1A1A1A"/>
          <w:sz w:val="24"/>
        </w:rPr>
        <w:t>（5）修复 §13.1 记录的语义通道误判，并把对照样本纳入端到端回归。</w:t>
      </w:r>
    </w:p>
    <w:p>
      <w:pPr>
        <w:keepNext/>
        <w:spacing w:before="280" w:after="120" w:line="324" w:lineRule="auto"/>
        <w:jc w:val="left"/>
      </w:pPr>
      <w:r>
        <w:rPr>
          <w:rFonts w:ascii="黑体" w:hAnsi="黑体" w:eastAsia="黑体"/>
          <w:b/>
          <w:i w:val="0"/>
          <w:color w:val="000000"/>
          <w:sz w:val="27"/>
        </w:rPr>
        <w:t>3. 长期升级与拓展规划</w:t>
      </w:r>
    </w:p>
    <w:p>
      <w:pPr>
        <w:keepNext w:val="0"/>
        <w:spacing w:before="0" w:after="60" w:line="360" w:lineRule="auto"/>
        <w:ind w:firstLine="480"/>
        <w:jc w:val="both"/>
      </w:pPr>
      <w:r>
        <w:rPr>
          <w:rFonts w:ascii="宋体" w:hAnsi="宋体" w:eastAsia="宋体"/>
          <w:b/>
          <w:i w:val="0"/>
          <w:color w:val="1A1A1A"/>
          <w:sz w:val="24"/>
        </w:rPr>
        <w:t>（1）从产品走向基础设施。</w:t>
      </w:r>
      <w:r>
        <w:rPr>
          <w:rFonts w:ascii="宋体" w:hAnsi="宋体" w:eastAsia="宋体"/>
          <w:b w:val="0"/>
          <w:i w:val="0"/>
          <w:color w:val="1A1A1A"/>
          <w:sz w:val="24"/>
        </w:rPr>
        <w:t xml:space="preserve"> 把违规话术特征库与合规判定能力对外提供接口，供中小金融机构在自身的营销内容审核流程中调用。这一路径的价值在于：我们积累的是内容资产而非模型能力，内容资产的边际复制成本极低，而重建成本很高。</w:t>
      </w:r>
    </w:p>
    <w:p>
      <w:pPr>
        <w:keepNext w:val="0"/>
        <w:spacing w:before="0" w:after="60" w:line="360" w:lineRule="auto"/>
        <w:ind w:firstLine="480"/>
        <w:jc w:val="both"/>
      </w:pPr>
      <w:r>
        <w:rPr>
          <w:rFonts w:ascii="宋体" w:hAnsi="宋体" w:eastAsia="宋体"/>
          <w:b/>
          <w:i w:val="0"/>
          <w:color w:val="1A1A1A"/>
          <w:sz w:val="24"/>
        </w:rPr>
        <w:t>（2）横向扩展合规检测场景。</w:t>
      </w:r>
      <w:r>
        <w:rPr>
          <w:rFonts w:ascii="宋体" w:hAnsi="宋体" w:eastAsia="宋体"/>
          <w:b w:val="0"/>
          <w:i w:val="0"/>
          <w:color w:val="1A1A1A"/>
          <w:sz w:val="24"/>
        </w:rPr>
        <w:t xml:space="preserve"> 「判定归规则、转述归模型 + 输出确定性审查」这套架构不限于反诈，可迁移到保险销售话术审查、金融广告合规预审、贷款营销文案审核等一切「模型不可自由裁量」的场景。每一个新场景需要新增的只是规则库与法规库，架构不变。</w:t>
      </w:r>
    </w:p>
    <w:p>
      <w:pPr>
        <w:keepNext w:val="0"/>
        <w:spacing w:before="0" w:after="60" w:line="360" w:lineRule="auto"/>
        <w:ind w:firstLine="480"/>
        <w:jc w:val="both"/>
      </w:pPr>
      <w:r>
        <w:rPr>
          <w:rFonts w:ascii="宋体" w:hAnsi="宋体" w:eastAsia="宋体"/>
          <w:b/>
          <w:i w:val="0"/>
          <w:color w:val="1A1A1A"/>
          <w:sz w:val="24"/>
        </w:rPr>
        <w:t>（3）覆盖更多语种与方言。</w:t>
      </w:r>
      <w:r>
        <w:rPr>
          <w:rFonts w:ascii="宋体" w:hAnsi="宋体" w:eastAsia="宋体"/>
          <w:b w:val="0"/>
          <w:i w:val="0"/>
          <w:color w:val="1A1A1A"/>
          <w:sz w:val="24"/>
        </w:rPr>
        <w:t xml:space="preserve"> 方言诈骗与面向少数民族地区的话术变体是当前识别能力的盲区，也是语义通道最能发挥价值的方向。</w:t>
      </w:r>
    </w:p>
    <w:p>
      <w:pPr>
        <w:keepNext w:val="0"/>
        <w:spacing w:before="0" w:after="60" w:line="360" w:lineRule="auto"/>
        <w:ind w:firstLine="480"/>
        <w:jc w:val="both"/>
      </w:pPr>
      <w:r>
        <w:rPr>
          <w:rFonts w:ascii="宋体" w:hAnsi="宋体" w:eastAsia="宋体"/>
          <w:b/>
          <w:i w:val="0"/>
          <w:color w:val="1A1A1A"/>
          <w:sz w:val="24"/>
        </w:rPr>
        <w:t>（4）与监管与执法机构的公开信息形成联动。</w:t>
      </w:r>
      <w:r>
        <w:rPr>
          <w:rFonts w:ascii="宋体" w:hAnsi="宋体" w:eastAsia="宋体"/>
          <w:b w:val="0"/>
          <w:i w:val="0"/>
          <w:color w:val="1A1A1A"/>
          <w:sz w:val="24"/>
        </w:rPr>
        <w:t xml:space="preserve"> 在合法合规的前提下，将监管处罚公示、协会资质公示、企业信用信息等公开数据源接入主体核查环节，把「生成核查链接」升级为「直接返回可核验的公开信息」。</w:t>
      </w:r>
    </w:p>
    <w:p>
      <w:pPr>
        <w:keepNext w:val="0"/>
        <w:spacing w:before="0" w:after="60" w:line="360" w:lineRule="auto"/>
        <w:ind w:firstLine="480"/>
        <w:jc w:val="both"/>
      </w:pPr>
      <w:r>
        <w:rPr>
          <w:rFonts w:ascii="宋体" w:hAnsi="宋体" w:eastAsia="宋体"/>
          <w:b/>
          <w:i w:val="0"/>
          <w:color w:val="1A1A1A"/>
          <w:sz w:val="24"/>
        </w:rPr>
        <w:t>（5）建立效果度量体系。</w:t>
      </w:r>
      <w:r>
        <w:rPr>
          <w:rFonts w:ascii="宋体" w:hAnsi="宋体" w:eastAsia="宋体"/>
          <w:b w:val="0"/>
          <w:i w:val="0"/>
          <w:color w:val="1A1A1A"/>
          <w:sz w:val="24"/>
        </w:rPr>
        <w:t xml:space="preserve"> 长期需要回答的是一个更难的问题：产品到底拦下了多少损失。规划中的度量方式是——在用户主动授权的前提下，记录「查询后是否放弃转账」这一自述结果，形成可对外披露的干预有效性指标。</w:t>
      </w:r>
      <w:r>
        <w:rPr>
          <w:rFonts w:ascii="宋体" w:hAnsi="宋体" w:eastAsia="宋体"/>
          <w:b/>
          <w:i w:val="0"/>
          <w:color w:val="1A1A1A"/>
          <w:sz w:val="24"/>
        </w:rPr>
        <w:t>这既是社会价值的证明，也是 B / G 端采购最需要的证据。</w:t>
      </w:r>
    </w:p>
    <w:p>
      <w:r>
        <w:br w:type="page"/>
      </w:r>
    </w:p>
    <w:p>
      <w:pPr>
        <w:keepNext/>
        <w:spacing w:before="400" w:after="200" w:line="324" w:lineRule="auto"/>
        <w:jc w:val="left"/>
      </w:pPr>
      <w:r>
        <w:rPr>
          <w:rFonts w:ascii="黑体" w:hAnsi="黑体" w:eastAsia="黑体"/>
          <w:b/>
          <w:i w:val="0"/>
          <w:color w:val="000000"/>
          <w:sz w:val="32"/>
        </w:rPr>
        <w:t>十四、附录</w:t>
      </w:r>
    </w:p>
    <w:p>
      <w:pPr>
        <w:keepNext/>
        <w:spacing w:before="280" w:after="120" w:line="324" w:lineRule="auto"/>
        <w:jc w:val="left"/>
      </w:pPr>
      <w:r>
        <w:rPr>
          <w:rFonts w:ascii="黑体" w:hAnsi="黑体" w:eastAsia="黑体"/>
          <w:b/>
          <w:i w:val="0"/>
          <w:color w:val="000000"/>
          <w:sz w:val="27"/>
        </w:rPr>
        <w:t>附录一　项目源码</w:t>
      </w:r>
    </w:p>
    <w:p>
      <w:pPr>
        <w:keepNext w:val="0"/>
        <w:spacing w:before="0" w:after="60" w:line="360" w:lineRule="auto"/>
        <w:ind w:firstLine="480"/>
        <w:jc w:val="both"/>
      </w:pPr>
      <w:r>
        <w:rPr>
          <w:rFonts w:ascii="宋体" w:hAnsi="宋体" w:eastAsia="宋体"/>
          <w:b w:val="0"/>
          <w:i w:val="0"/>
          <w:color w:val="1A1A1A"/>
          <w:sz w:val="24"/>
        </w:rPr>
        <w:t>项目采用 Next.js（App Router）+ TypeScript 实现，代码结构如下（目录层级与实际仓库一致）：</w:t>
      </w:r>
    </w:p>
    <w:tbl>
      <w:tblPr>
        <w:tblStyle w:val="TableGrid"/>
        <w:tblW w:type="auto" w:w="0"/>
        <w:jc w:val="center"/>
        <w:tblLayout w:type="fixed"/>
        <w:tblLook w:firstColumn="1" w:firstRow="1" w:lastColumn="0" w:lastRow="0" w:noHBand="0" w:noVBand="1" w:val="04A0"/>
      </w:tblPr>
      <w:tblGrid>
        <w:gridCol w:w="4252"/>
        <w:gridCol w:w="4252"/>
      </w:tblGrid>
      <w:tr>
        <w:tc>
          <w:tcPr>
            <w:tcW w:type="dxa" w:w="2536"/>
            <w:shd w:fill="F2F2F2"/>
          </w:tcPr>
          <w:p>
            <w:pPr>
              <w:spacing w:after="20" w:before="20" w:line="276" w:lineRule="auto"/>
              <w:jc w:val="center"/>
            </w:pPr>
            <w:r/>
            <w:r>
              <w:rPr>
                <w:rFonts w:ascii="黑体" w:hAnsi="黑体" w:eastAsia="黑体"/>
                <w:b/>
                <w:i w:val="0"/>
                <w:color w:val="000000"/>
                <w:sz w:val="19"/>
              </w:rPr>
              <w:t>路径</w:t>
            </w:r>
          </w:p>
        </w:tc>
        <w:tc>
          <w:tcPr>
            <w:tcW w:type="dxa" w:w="5968"/>
            <w:shd w:fill="F2F2F2"/>
          </w:tcPr>
          <w:p>
            <w:pPr>
              <w:spacing w:after="20" w:before="20" w:line="276" w:lineRule="auto"/>
              <w:jc w:val="center"/>
            </w:pPr>
            <w:r/>
            <w:r>
              <w:rPr>
                <w:rFonts w:ascii="黑体" w:hAnsi="黑体" w:eastAsia="黑体"/>
                <w:b/>
                <w:i w:val="0"/>
                <w:color w:val="000000"/>
                <w:sz w:val="19"/>
              </w:rPr>
              <w:t>内容</w:t>
            </w:r>
          </w:p>
        </w:tc>
      </w:tr>
      <w:tr>
        <w:tc>
          <w:tcPr>
            <w:tcW w:type="dxa" w:w="2536"/>
          </w:tcPr>
          <w:p>
            <w:pPr>
              <w:spacing w:after="20" w:before="20" w:line="276" w:lineRule="auto"/>
            </w:pPr>
            <w:r/>
            <w:r>
              <w:rPr>
                <w:rFonts w:ascii="宋体" w:hAnsi="宋体" w:eastAsia="宋体"/>
                <w:b w:val="0"/>
                <w:i w:val="0"/>
                <w:color w:val="1A1A1A"/>
                <w:sz w:val="19"/>
              </w:rPr>
              <w:t>app/page.tsx</w:t>
            </w:r>
          </w:p>
        </w:tc>
        <w:tc>
          <w:tcPr>
            <w:tcW w:type="dxa" w:w="5968"/>
          </w:tcPr>
          <w:p>
            <w:pPr>
              <w:spacing w:after="20" w:before="20" w:line="276" w:lineRule="auto"/>
            </w:pPr>
            <w:r/>
            <w:r>
              <w:rPr>
                <w:rFonts w:ascii="宋体" w:hAnsi="宋体" w:eastAsia="宋体"/>
                <w:b w:val="0"/>
                <w:i w:val="0"/>
                <w:color w:val="1A1A1A"/>
                <w:sz w:val="19"/>
              </w:rPr>
              <w:t>识别与翻译页：输入承接、模式切换、SSE 消费、报告渲染</w:t>
            </w:r>
          </w:p>
        </w:tc>
      </w:tr>
      <w:tr>
        <w:tc>
          <w:tcPr>
            <w:tcW w:type="dxa" w:w="2536"/>
          </w:tcPr>
          <w:p>
            <w:pPr>
              <w:spacing w:after="20" w:before="20" w:line="276" w:lineRule="auto"/>
            </w:pPr>
            <w:r/>
            <w:r>
              <w:rPr>
                <w:rFonts w:ascii="宋体" w:hAnsi="宋体" w:eastAsia="宋体"/>
                <w:b w:val="0"/>
                <w:i w:val="0"/>
                <w:color w:val="1A1A1A"/>
                <w:sz w:val="19"/>
              </w:rPr>
              <w:t>app/api/shield/route.ts</w:t>
            </w:r>
          </w:p>
        </w:tc>
        <w:tc>
          <w:tcPr>
            <w:tcW w:type="dxa" w:w="5968"/>
          </w:tcPr>
          <w:p>
            <w:pPr>
              <w:spacing w:after="20" w:before="20" w:line="276" w:lineRule="auto"/>
            </w:pPr>
            <w:r/>
            <w:r>
              <w:rPr>
                <w:rFonts w:ascii="宋体" w:hAnsi="宋体" w:eastAsia="宋体"/>
                <w:b w:val="0"/>
                <w:i w:val="0"/>
                <w:color w:val="1A1A1A"/>
                <w:sz w:val="19"/>
              </w:rPr>
              <w:t>六阶段智能体流水线编排与事件推送</w:t>
            </w:r>
          </w:p>
        </w:tc>
      </w:tr>
      <w:tr>
        <w:tc>
          <w:tcPr>
            <w:tcW w:type="dxa" w:w="2536"/>
          </w:tcPr>
          <w:p>
            <w:pPr>
              <w:spacing w:after="20" w:before="20" w:line="276" w:lineRule="auto"/>
            </w:pPr>
            <w:r/>
            <w:r>
              <w:rPr>
                <w:rFonts w:ascii="宋体" w:hAnsi="宋体" w:eastAsia="宋体"/>
                <w:b w:val="0"/>
                <w:i w:val="0"/>
                <w:color w:val="1A1A1A"/>
                <w:sz w:val="19"/>
              </w:rPr>
              <w:t>app/learn/</w:t>
            </w:r>
          </w:p>
        </w:tc>
        <w:tc>
          <w:tcPr>
            <w:tcW w:type="dxa" w:w="5968"/>
          </w:tcPr>
          <w:p>
            <w:pPr>
              <w:spacing w:after="20" w:before="20" w:line="276" w:lineRule="auto"/>
            </w:pPr>
            <w:r/>
            <w:r>
              <w:rPr>
                <w:rFonts w:ascii="宋体" w:hAnsi="宋体" w:eastAsia="宋体"/>
                <w:b w:val="0"/>
                <w:i w:val="0"/>
                <w:color w:val="1A1A1A"/>
                <w:sz w:val="19"/>
              </w:rPr>
              <w:t>学习模块：闯关、识别测试、术语词典、骗局图鉴</w:t>
            </w:r>
          </w:p>
        </w:tc>
      </w:tr>
      <w:tr>
        <w:tc>
          <w:tcPr>
            <w:tcW w:type="dxa" w:w="2536"/>
          </w:tcPr>
          <w:p>
            <w:pPr>
              <w:spacing w:after="20" w:before="20" w:line="276" w:lineRule="auto"/>
            </w:pPr>
            <w:r/>
            <w:r>
              <w:rPr>
                <w:rFonts w:ascii="宋体" w:hAnsi="宋体" w:eastAsia="宋体"/>
                <w:b w:val="0"/>
                <w:i w:val="0"/>
                <w:color w:val="1A1A1A"/>
                <w:sz w:val="19"/>
              </w:rPr>
              <w:t>app/plan/</w:t>
            </w:r>
          </w:p>
        </w:tc>
        <w:tc>
          <w:tcPr>
            <w:tcW w:type="dxa" w:w="5968"/>
          </w:tcPr>
          <w:p>
            <w:pPr>
              <w:spacing w:after="20" w:before="20" w:line="276" w:lineRule="auto"/>
            </w:pPr>
            <w:r/>
            <w:r>
              <w:rPr>
                <w:rFonts w:ascii="宋体" w:hAnsi="宋体" w:eastAsia="宋体"/>
                <w:b w:val="0"/>
                <w:i w:val="0"/>
                <w:color w:val="1A1A1A"/>
                <w:sz w:val="19"/>
              </w:rPr>
              <w:t>规划师：自适应测评、矛盾发现、大类配置、目标推演、计算器</w:t>
            </w:r>
          </w:p>
        </w:tc>
      </w:tr>
      <w:tr>
        <w:tc>
          <w:tcPr>
            <w:tcW w:type="dxa" w:w="2536"/>
          </w:tcPr>
          <w:p>
            <w:pPr>
              <w:spacing w:after="20" w:before="20" w:line="276" w:lineRule="auto"/>
            </w:pPr>
            <w:r/>
            <w:r>
              <w:rPr>
                <w:rFonts w:ascii="宋体" w:hAnsi="宋体" w:eastAsia="宋体"/>
                <w:b w:val="0"/>
                <w:i w:val="0"/>
                <w:color w:val="1A1A1A"/>
                <w:sz w:val="19"/>
              </w:rPr>
              <w:t>app/profile/</w:t>
            </w:r>
          </w:p>
        </w:tc>
        <w:tc>
          <w:tcPr>
            <w:tcW w:type="dxa" w:w="5968"/>
          </w:tcPr>
          <w:p>
            <w:pPr>
              <w:spacing w:after="20" w:before="20" w:line="276" w:lineRule="auto"/>
            </w:pPr>
            <w:r/>
            <w:r>
              <w:rPr>
                <w:rFonts w:ascii="宋体" w:hAnsi="宋体" w:eastAsia="宋体"/>
                <w:b w:val="0"/>
                <w:i w:val="0"/>
                <w:color w:val="1A1A1A"/>
                <w:sz w:val="19"/>
              </w:rPr>
              <w:t>共享用户档案的可视化与联动依据</w:t>
            </w:r>
          </w:p>
        </w:tc>
      </w:tr>
      <w:tr>
        <w:tc>
          <w:tcPr>
            <w:tcW w:type="dxa" w:w="2536"/>
          </w:tcPr>
          <w:p>
            <w:pPr>
              <w:spacing w:after="20" w:before="20" w:line="276" w:lineRule="auto"/>
            </w:pPr>
            <w:r/>
            <w:r>
              <w:rPr>
                <w:rFonts w:ascii="宋体" w:hAnsi="宋体" w:eastAsia="宋体"/>
                <w:b w:val="0"/>
                <w:i w:val="0"/>
                <w:color w:val="1A1A1A"/>
                <w:sz w:val="19"/>
              </w:rPr>
              <w:t>lib/rules/</w:t>
            </w:r>
          </w:p>
        </w:tc>
        <w:tc>
          <w:tcPr>
            <w:tcW w:type="dxa" w:w="5968"/>
          </w:tcPr>
          <w:p>
            <w:pPr>
              <w:spacing w:after="20" w:before="20" w:line="276" w:lineRule="auto"/>
            </w:pPr>
            <w:r/>
            <w:r>
              <w:rPr>
                <w:rFonts w:ascii="宋体" w:hAnsi="宋体" w:eastAsia="宋体"/>
                <w:b w:val="0"/>
                <w:i w:val="0"/>
                <w:color w:val="1A1A1A"/>
                <w:sz w:val="19"/>
              </w:rPr>
              <w:t>规则引擎：匹配、语境判定、主体核查、输出审查、脱敏、术语、五维画像、骗局剧本、主动追问</w:t>
            </w:r>
          </w:p>
        </w:tc>
      </w:tr>
      <w:tr>
        <w:tc>
          <w:tcPr>
            <w:tcW w:type="dxa" w:w="2536"/>
          </w:tcPr>
          <w:p>
            <w:pPr>
              <w:spacing w:after="20" w:before="20" w:line="276" w:lineRule="auto"/>
            </w:pPr>
            <w:r/>
            <w:r>
              <w:rPr>
                <w:rFonts w:ascii="宋体" w:hAnsi="宋体" w:eastAsia="宋体"/>
                <w:b w:val="0"/>
                <w:i w:val="0"/>
                <w:color w:val="1A1A1A"/>
                <w:sz w:val="19"/>
              </w:rPr>
              <w:t>lib/llm/</w:t>
            </w:r>
          </w:p>
        </w:tc>
        <w:tc>
          <w:tcPr>
            <w:tcW w:type="dxa" w:w="5968"/>
          </w:tcPr>
          <w:p>
            <w:pPr>
              <w:spacing w:after="20" w:before="20" w:line="276" w:lineRule="auto"/>
            </w:pPr>
            <w:r/>
            <w:r>
              <w:rPr>
                <w:rFonts w:ascii="宋体" w:hAnsi="宋体" w:eastAsia="宋体"/>
                <w:b w:val="0"/>
                <w:i w:val="0"/>
                <w:color w:val="1A1A1A"/>
                <w:sz w:val="19"/>
              </w:rPr>
              <w:t>模型适配层与语义通道校验层</w:t>
            </w:r>
          </w:p>
        </w:tc>
      </w:tr>
      <w:tr>
        <w:tc>
          <w:tcPr>
            <w:tcW w:type="dxa" w:w="2536"/>
          </w:tcPr>
          <w:p>
            <w:pPr>
              <w:spacing w:after="20" w:before="20" w:line="276" w:lineRule="auto"/>
            </w:pPr>
            <w:r/>
            <w:r>
              <w:rPr>
                <w:rFonts w:ascii="宋体" w:hAnsi="宋体" w:eastAsia="宋体"/>
                <w:b w:val="0"/>
                <w:i w:val="0"/>
                <w:color w:val="1A1A1A"/>
                <w:sz w:val="19"/>
              </w:rPr>
              <w:t>lib/plan/</w:t>
            </w:r>
            <w:r>
              <w:rPr>
                <w:rFonts w:ascii="宋体" w:hAnsi="宋体" w:eastAsia="宋体"/>
                <w:b/>
                <w:i w:val="0"/>
                <w:color w:val="1A1A1A"/>
                <w:sz w:val="19"/>
              </w:rPr>
              <w:t>、lib/finance.ts</w:t>
            </w:r>
          </w:p>
        </w:tc>
        <w:tc>
          <w:tcPr>
            <w:tcW w:type="dxa" w:w="5968"/>
          </w:tcPr>
          <w:p>
            <w:pPr>
              <w:spacing w:after="20" w:before="20" w:line="276" w:lineRule="auto"/>
            </w:pPr>
            <w:r/>
            <w:r>
              <w:rPr>
                <w:rFonts w:ascii="宋体" w:hAnsi="宋体" w:eastAsia="宋体"/>
                <w:b w:val="0"/>
                <w:i w:val="0"/>
                <w:color w:val="1A1A1A"/>
                <w:sz w:val="19"/>
              </w:rPr>
              <w:t>规划推演、配置框架、IRR 与应急金计算</w:t>
            </w:r>
          </w:p>
        </w:tc>
      </w:tr>
      <w:tr>
        <w:tc>
          <w:tcPr>
            <w:tcW w:type="dxa" w:w="2536"/>
          </w:tcPr>
          <w:p>
            <w:pPr>
              <w:spacing w:after="20" w:before="20" w:line="276" w:lineRule="auto"/>
            </w:pPr>
            <w:r/>
            <w:r>
              <w:rPr>
                <w:rFonts w:ascii="宋体" w:hAnsi="宋体" w:eastAsia="宋体"/>
                <w:b w:val="0"/>
                <w:i w:val="0"/>
                <w:color w:val="1A1A1A"/>
                <w:sz w:val="19"/>
              </w:rPr>
              <w:t>data/</w:t>
            </w:r>
          </w:p>
        </w:tc>
        <w:tc>
          <w:tcPr>
            <w:tcW w:type="dxa" w:w="5968"/>
          </w:tcPr>
          <w:p>
            <w:pPr>
              <w:spacing w:after="20" w:before="20" w:line="276" w:lineRule="auto"/>
            </w:pPr>
            <w:r/>
            <w:r>
              <w:rPr>
                <w:rFonts w:ascii="宋体" w:hAnsi="宋体" w:eastAsia="宋体"/>
                <w:b w:val="0"/>
                <w:i w:val="0"/>
                <w:color w:val="1A1A1A"/>
                <w:sz w:val="19"/>
              </w:rPr>
              <w:t>知识库（9 个 JSON 文件，见表 10）</w:t>
            </w:r>
          </w:p>
        </w:tc>
      </w:tr>
      <w:tr>
        <w:tc>
          <w:tcPr>
            <w:tcW w:type="dxa" w:w="2536"/>
          </w:tcPr>
          <w:p>
            <w:pPr>
              <w:spacing w:after="20" w:before="20" w:line="276" w:lineRule="auto"/>
            </w:pPr>
            <w:r/>
            <w:r>
              <w:rPr>
                <w:rFonts w:ascii="宋体" w:hAnsi="宋体" w:eastAsia="宋体"/>
                <w:b w:val="0"/>
                <w:i w:val="0"/>
                <w:color w:val="1A1A1A"/>
                <w:sz w:val="19"/>
              </w:rPr>
              <w:t>tests/</w:t>
            </w:r>
          </w:p>
        </w:tc>
        <w:tc>
          <w:tcPr>
            <w:tcW w:type="dxa" w:w="5968"/>
          </w:tcPr>
          <w:p>
            <w:pPr>
              <w:spacing w:after="20" w:before="20" w:line="276" w:lineRule="auto"/>
            </w:pPr>
            <w:r/>
            <w:r>
              <w:rPr>
                <w:rFonts w:ascii="宋体" w:hAnsi="宋体" w:eastAsia="宋体"/>
                <w:b w:val="0"/>
                <w:i w:val="0"/>
                <w:color w:val="1A1A1A"/>
                <w:sz w:val="19"/>
              </w:rPr>
              <w:t>7 个测试套件，843 项断言</w:t>
            </w:r>
          </w:p>
        </w:tc>
      </w:tr>
      <w:tr>
        <w:tc>
          <w:tcPr>
            <w:tcW w:type="dxa" w:w="2536"/>
          </w:tcPr>
          <w:p>
            <w:pPr>
              <w:spacing w:after="20" w:before="20" w:line="276" w:lineRule="auto"/>
            </w:pPr>
            <w:r/>
            <w:r>
              <w:rPr>
                <w:rFonts w:ascii="宋体" w:hAnsi="宋体" w:eastAsia="宋体"/>
                <w:b w:val="0"/>
                <w:i w:val="0"/>
                <w:color w:val="1A1A1A"/>
                <w:sz w:val="19"/>
              </w:rPr>
              <w:t>docs/legal-check.md</w:t>
            </w:r>
          </w:p>
        </w:tc>
        <w:tc>
          <w:tcPr>
            <w:tcW w:type="dxa" w:w="5968"/>
          </w:tcPr>
          <w:p>
            <w:pPr>
              <w:spacing w:after="20" w:before="20" w:line="276" w:lineRule="auto"/>
            </w:pPr>
            <w:r/>
            <w:r>
              <w:rPr>
                <w:rFonts w:ascii="宋体" w:hAnsi="宋体" w:eastAsia="宋体"/>
                <w:b/>
                <w:i w:val="0"/>
                <w:color w:val="1A1A1A"/>
                <w:sz w:val="19"/>
              </w:rPr>
              <w:t>法条核对台账</w:t>
            </w:r>
            <w:r>
              <w:rPr>
                <w:rFonts w:ascii="宋体" w:hAnsi="宋体" w:eastAsia="宋体"/>
                <w:b w:val="0"/>
                <w:i w:val="0"/>
                <w:color w:val="1A1A1A"/>
                <w:sz w:val="19"/>
              </w:rPr>
              <w:t>：14 条条文的逐条核对记录与三处错误的改正说明</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20　源码目录结构</w:t>
      </w:r>
    </w:p>
    <w:p>
      <w:pPr>
        <w:keepNext w:val="0"/>
        <w:spacing w:before="0" w:after="60" w:line="360" w:lineRule="auto"/>
        <w:ind w:firstLine="480"/>
        <w:jc w:val="both"/>
      </w:pPr>
      <w:r>
        <w:rPr>
          <w:rFonts w:ascii="宋体" w:hAnsi="宋体" w:eastAsia="宋体"/>
          <w:b w:val="0"/>
          <w:i w:val="0"/>
          <w:color w:val="1A1A1A"/>
          <w:sz w:val="24"/>
        </w:rPr>
        <w:t>运行方式：`npm install` → 复制 `.env.example` 为 `.env.local` 并填入模型 API Key（</w:t>
      </w:r>
      <w:r>
        <w:rPr>
          <w:rFonts w:ascii="宋体" w:hAnsi="宋体" w:eastAsia="宋体"/>
          <w:b/>
          <w:i w:val="0"/>
          <w:color w:val="1A1A1A"/>
          <w:sz w:val="24"/>
        </w:rPr>
        <w:t>不填也能完整演示</w:t>
      </w:r>
      <w:r>
        <w:rPr>
          <w:rFonts w:ascii="宋体" w:hAnsi="宋体" w:eastAsia="宋体"/>
          <w:b w:val="0"/>
          <w:i w:val="0"/>
          <w:color w:val="1A1A1A"/>
          <w:sz w:val="24"/>
        </w:rPr>
        <w:t>）→ `npm run dev`。测试：`npm test` 运行全部 843 项断言。</w:t>
      </w:r>
    </w:p>
    <w:p>
      <w:pPr>
        <w:keepNext w:val="0"/>
        <w:spacing w:before="0" w:after="120" w:line="312" w:lineRule="auto"/>
        <w:ind w:left="482"/>
        <w:jc w:val="both"/>
      </w:pPr>
      <w:r>
        <w:rPr>
          <w:rFonts w:ascii="宋体" w:hAnsi="宋体" w:eastAsia="宋体"/>
          <w:b w:val="0"/>
          <w:i w:val="0"/>
          <w:color w:val="595959"/>
          <w:sz w:val="19"/>
        </w:rPr>
        <w:t>源码仓库地址与在线体验二维码：待随提交材料一并附上（填写处）。</w:t>
      </w:r>
    </w:p>
    <w:p>
      <w:pPr>
        <w:keepNext/>
        <w:spacing w:before="280" w:after="120" w:line="324" w:lineRule="auto"/>
        <w:jc w:val="left"/>
      </w:pPr>
      <w:r>
        <w:rPr>
          <w:rFonts w:ascii="黑体" w:hAnsi="黑体" w:eastAsia="黑体"/>
          <w:b/>
          <w:i w:val="0"/>
          <w:color w:val="000000"/>
          <w:sz w:val="27"/>
        </w:rPr>
        <w:t>附录二　参考文献</w:t>
      </w:r>
    </w:p>
    <w:p>
      <w:pPr>
        <w:keepNext w:val="0"/>
        <w:spacing w:before="0" w:after="60" w:line="360" w:lineRule="auto"/>
        <w:jc w:val="both"/>
      </w:pPr>
      <w:r>
        <w:rPr>
          <w:rFonts w:ascii="宋体" w:hAnsi="宋体" w:eastAsia="宋体"/>
          <w:b/>
          <w:i w:val="0"/>
          <w:color w:val="1A1A1A"/>
          <w:sz w:val="24"/>
        </w:rPr>
        <w:t>本项目引用的全部数据与法规均来自官方公开来源，逐条可追溯。以下列出核心来源。</w:t>
      </w:r>
    </w:p>
    <w:p>
      <w:pPr>
        <w:keepNext w:val="0"/>
        <w:spacing w:before="0" w:after="60" w:line="360" w:lineRule="auto"/>
        <w:jc w:val="both"/>
      </w:pPr>
      <w:r>
        <w:rPr>
          <w:rFonts w:ascii="宋体" w:hAnsi="宋体" w:eastAsia="宋体"/>
          <w:b/>
          <w:i w:val="0"/>
          <w:color w:val="1A1A1A"/>
          <w:sz w:val="24"/>
        </w:rPr>
        <w:t>一、犯罪规模与受害人画像数据</w:t>
      </w:r>
    </w:p>
    <w:p>
      <w:pPr>
        <w:keepNext w:val="0"/>
        <w:spacing w:before="0" w:after="40" w:line="360" w:lineRule="auto"/>
        <w:ind w:left="482" w:hanging="240"/>
        <w:jc w:val="both"/>
      </w:pPr>
      <w:r>
        <w:rPr>
          <w:rFonts w:ascii="宋体" w:hAnsi="宋体" w:eastAsia="宋体"/>
          <w:b w:val="0"/>
          <w:i w:val="0"/>
          <w:color w:val="1A1A1A"/>
          <w:sz w:val="23"/>
        </w:rPr>
        <w:t>· 最高人民检察院《刑事检察工作白皮书（2025）》，2026 年 3 月 10 日发布。引用内容：2025 年全国检察机关起诉电信网络诈骗犯罪 68,907 人；起诉网络犯罪 18.2 万人，同比下降 33.3%，「但仍处于高位」；起诉金融犯罪 1.3 万件 2.5 万人；打击非法集资专项行动「聚焦投资理财、养老、涉农、文旅、虚拟货币等重点领域」。</w:t>
      </w:r>
    </w:p>
    <w:p>
      <w:pPr>
        <w:keepNext w:val="0"/>
        <w:spacing w:before="0" w:after="40" w:line="360" w:lineRule="auto"/>
        <w:ind w:left="482" w:hanging="240"/>
        <w:jc w:val="both"/>
      </w:pPr>
      <w:r>
        <w:rPr>
          <w:rFonts w:ascii="宋体" w:hAnsi="宋体" w:eastAsia="宋体"/>
          <w:b w:val="0"/>
          <w:i w:val="0"/>
          <w:color w:val="1A1A1A"/>
          <w:sz w:val="23"/>
        </w:rPr>
        <w:t>· 最高人民检察院工作报告（2025 年 3 月，报告 2024 年数据）。引用内容：2024 年起诉电信网络诈骗犯罪 7.8 万人，同比上升 53.9%。</w:t>
      </w:r>
    </w:p>
    <w:p>
      <w:pPr>
        <w:keepNext w:val="0"/>
        <w:spacing w:before="0" w:after="40" w:line="360" w:lineRule="auto"/>
        <w:ind w:left="482" w:hanging="240"/>
        <w:jc w:val="both"/>
      </w:pPr>
      <w:r>
        <w:rPr>
          <w:rFonts w:ascii="宋体" w:hAnsi="宋体" w:eastAsia="宋体"/>
          <w:b w:val="0"/>
          <w:i w:val="0"/>
          <w:color w:val="1A1A1A"/>
          <w:sz w:val="23"/>
        </w:rPr>
        <w:t>· 北京市公安局「防范虚假网络投资理财类诈骗」新闻发布会，2025 年 10 月 28 日。引用内容：该类诈骗发案数占全市电诈案件总数的 7%，被骗金额占被骗总金额的 38%；被骗金额 100 万元以上案件中近七成为该类诈骗，其中以婚恋交友方式引流的占 65%；从首次接触到报警平均 36.7 天；受害者中 46 岁以上占六成、60 岁以上占二成，年龄最大的男性和女性均为 88 岁；「多数有专业投资理财经历」。</w:t>
      </w:r>
      <w:r>
        <w:rPr>
          <w:rFonts w:ascii="宋体" w:hAnsi="宋体" w:eastAsia="宋体"/>
          <w:b/>
          <w:i w:val="0"/>
          <w:color w:val="1A1A1A"/>
          <w:sz w:val="23"/>
        </w:rPr>
        <w:t>（北京市数据，非全国口径）</w:t>
      </w:r>
    </w:p>
    <w:p>
      <w:pPr>
        <w:keepNext w:val="0"/>
        <w:spacing w:before="0" w:after="40" w:line="360" w:lineRule="auto"/>
        <w:ind w:left="482" w:hanging="240"/>
        <w:jc w:val="both"/>
      </w:pPr>
      <w:r>
        <w:rPr>
          <w:rFonts w:ascii="宋体" w:hAnsi="宋体" w:eastAsia="宋体"/>
          <w:b w:val="0"/>
          <w:i w:val="0"/>
          <w:color w:val="1A1A1A"/>
          <w:sz w:val="23"/>
        </w:rPr>
        <w:t>· 最高人民法院《人民法院依法惩治金融犯罪工作情况暨典型案例》，2022 年 9 月 22 日。引用内容：2017 年至 2022 年 8 月全国法院审结非法集资一审刑事案件 6.02 万件 10.87 万人；平均重刑率 19.99%，集资诈骗案件重刑率 78.78%；养老诈骗专项行动期间全国法院受理刑事案件 2014 件，其中非法集资案件 1208 件，一审审结案件重刑率 26.26%，执行案件财产近 30 亿元。</w:t>
      </w:r>
    </w:p>
    <w:p>
      <w:pPr>
        <w:keepNext w:val="0"/>
        <w:spacing w:before="0" w:after="40" w:line="360" w:lineRule="auto"/>
        <w:ind w:left="482" w:hanging="240"/>
        <w:jc w:val="both"/>
      </w:pPr>
      <w:r>
        <w:rPr>
          <w:rFonts w:ascii="宋体" w:hAnsi="宋体" w:eastAsia="宋体"/>
          <w:b w:val="0"/>
          <w:i w:val="0"/>
          <w:color w:val="1A1A1A"/>
          <w:sz w:val="23"/>
        </w:rPr>
        <w:t>· 公安部刑侦局、国家反诈中心《2025 版防范电信网络诈骗宣传手册》，2025 年 7 月。引用内容：梳理十类高发电信网络诈骗类型，「虚假网络投资理财」位列第二；首次提炼「帮助群众快速破译骗局的 20 个防诈关键词」。</w:t>
      </w:r>
    </w:p>
    <w:p>
      <w:pPr>
        <w:keepNext w:val="0"/>
        <w:spacing w:before="0" w:after="60" w:line="360" w:lineRule="auto"/>
        <w:jc w:val="both"/>
      </w:pPr>
      <w:r>
        <w:rPr>
          <w:rFonts w:ascii="宋体" w:hAnsi="宋体" w:eastAsia="宋体"/>
          <w:b/>
          <w:i w:val="0"/>
          <w:color w:val="1A1A1A"/>
          <w:sz w:val="24"/>
        </w:rPr>
        <w:t>二、法规条文（14 条，全部逐字核对官方原文）</w:t>
      </w:r>
    </w:p>
    <w:p>
      <w:pPr>
        <w:keepNext w:val="0"/>
        <w:spacing w:before="0" w:after="40" w:line="360" w:lineRule="auto"/>
        <w:ind w:left="482" w:hanging="240"/>
        <w:jc w:val="both"/>
      </w:pPr>
      <w:r>
        <w:rPr>
          <w:rFonts w:ascii="宋体" w:hAnsi="宋体" w:eastAsia="宋体"/>
          <w:b w:val="0"/>
          <w:i w:val="0"/>
          <w:color w:val="1A1A1A"/>
          <w:sz w:val="23"/>
        </w:rPr>
        <w:t>· 《中华人民共和国证券法》（2019 年 12 月 28 日第二次修订）第一百二十条、第一百六十条、第一百六十一条</w:t>
      </w:r>
    </w:p>
    <w:p>
      <w:pPr>
        <w:keepNext w:val="0"/>
        <w:spacing w:before="0" w:after="40" w:line="360" w:lineRule="auto"/>
        <w:ind w:left="482" w:hanging="240"/>
        <w:jc w:val="both"/>
      </w:pPr>
      <w:r>
        <w:rPr>
          <w:rFonts w:ascii="宋体" w:hAnsi="宋体" w:eastAsia="宋体"/>
          <w:b w:val="0"/>
          <w:i w:val="0"/>
          <w:color w:val="1A1A1A"/>
          <w:sz w:val="23"/>
        </w:rPr>
        <w:t>· 《证券、期货投资咨询管理暂行办法》（证委发〔1997〕96 号，1998 年 4 月 1 日施行）第三条</w:t>
      </w:r>
    </w:p>
    <w:p>
      <w:pPr>
        <w:keepNext w:val="0"/>
        <w:spacing w:before="0" w:after="40" w:line="360" w:lineRule="auto"/>
        <w:ind w:left="482" w:hanging="240"/>
        <w:jc w:val="both"/>
      </w:pPr>
      <w:r>
        <w:rPr>
          <w:rFonts w:ascii="宋体" w:hAnsi="宋体" w:eastAsia="宋体"/>
          <w:b w:val="0"/>
          <w:i w:val="0"/>
          <w:color w:val="1A1A1A"/>
          <w:sz w:val="23"/>
        </w:rPr>
        <w:t>· 《理财公司理财产品销售管理暂行办法》（银保监会令 2021 年第 4 号）第二十五条</w:t>
      </w:r>
    </w:p>
    <w:p>
      <w:pPr>
        <w:keepNext w:val="0"/>
        <w:spacing w:before="0" w:after="40" w:line="360" w:lineRule="auto"/>
        <w:ind w:left="482" w:hanging="240"/>
        <w:jc w:val="both"/>
      </w:pPr>
      <w:r>
        <w:rPr>
          <w:rFonts w:ascii="宋体" w:hAnsi="宋体" w:eastAsia="宋体"/>
          <w:b w:val="0"/>
          <w:i w:val="0"/>
          <w:color w:val="1A1A1A"/>
          <w:sz w:val="23"/>
        </w:rPr>
        <w:t>· 《商业银行理财业务监督管理办法》（银保监会令 2018 年第 6 号）第二十六条</w:t>
      </w:r>
    </w:p>
    <w:p>
      <w:pPr>
        <w:keepNext w:val="0"/>
        <w:spacing w:before="0" w:after="40" w:line="360" w:lineRule="auto"/>
        <w:ind w:left="482" w:hanging="240"/>
        <w:jc w:val="both"/>
      </w:pPr>
      <w:r>
        <w:rPr>
          <w:rFonts w:ascii="宋体" w:hAnsi="宋体" w:eastAsia="宋体"/>
          <w:b w:val="0"/>
          <w:i w:val="0"/>
          <w:color w:val="1A1A1A"/>
          <w:sz w:val="23"/>
        </w:rPr>
        <w:t>· 《金融机构产品适当性管理办法》（金融监管总局令 2025 年第 7 号，2026 年 2 月 1 日施行）第五条</w:t>
      </w:r>
    </w:p>
    <w:p>
      <w:pPr>
        <w:keepNext w:val="0"/>
        <w:spacing w:before="0" w:after="40" w:line="360" w:lineRule="auto"/>
        <w:ind w:left="482" w:hanging="240"/>
        <w:jc w:val="both"/>
      </w:pPr>
      <w:r>
        <w:rPr>
          <w:rFonts w:ascii="宋体" w:hAnsi="宋体" w:eastAsia="宋体"/>
          <w:b w:val="0"/>
          <w:i w:val="0"/>
          <w:color w:val="1A1A1A"/>
          <w:sz w:val="23"/>
        </w:rPr>
        <w:t>· 《中华人民共和国广告法》（2015 年修订、2018 年修正）第二十五条</w:t>
      </w:r>
    </w:p>
    <w:p>
      <w:pPr>
        <w:keepNext w:val="0"/>
        <w:spacing w:before="0" w:after="40" w:line="360" w:lineRule="auto"/>
        <w:ind w:left="482" w:hanging="240"/>
        <w:jc w:val="both"/>
      </w:pPr>
      <w:r>
        <w:rPr>
          <w:rFonts w:ascii="宋体" w:hAnsi="宋体" w:eastAsia="宋体"/>
          <w:b w:val="0"/>
          <w:i w:val="0"/>
          <w:color w:val="1A1A1A"/>
          <w:sz w:val="23"/>
        </w:rPr>
        <w:t>· 《防范和处置非法集资条例》（国务院令第 737 号，2021 年 5 月 1 日施行）第二条、第十一条</w:t>
      </w:r>
    </w:p>
    <w:p>
      <w:pPr>
        <w:keepNext w:val="0"/>
        <w:spacing w:before="0" w:after="40" w:line="360" w:lineRule="auto"/>
        <w:ind w:left="482" w:hanging="240"/>
        <w:jc w:val="both"/>
      </w:pPr>
      <w:r>
        <w:rPr>
          <w:rFonts w:ascii="宋体" w:hAnsi="宋体" w:eastAsia="宋体"/>
          <w:b w:val="0"/>
          <w:i w:val="0"/>
          <w:color w:val="1A1A1A"/>
          <w:sz w:val="23"/>
        </w:rPr>
        <w:t>· 《中华人民共和国反电信网络诈骗法》（2022 年 12 月 1 日施行）第二条、第二十五条</w:t>
      </w:r>
    </w:p>
    <w:p>
      <w:pPr>
        <w:keepNext w:val="0"/>
        <w:spacing w:before="0" w:after="40" w:line="360" w:lineRule="auto"/>
        <w:ind w:left="482" w:hanging="240"/>
        <w:jc w:val="both"/>
      </w:pPr>
      <w:r>
        <w:rPr>
          <w:rFonts w:ascii="宋体" w:hAnsi="宋体" w:eastAsia="宋体"/>
          <w:b w:val="0"/>
          <w:i w:val="0"/>
          <w:color w:val="1A1A1A"/>
          <w:sz w:val="23"/>
        </w:rPr>
        <w:t>· 《中华人民共和国刑法》第一百七十六条（</w:t>
      </w:r>
      <w:r>
        <w:rPr>
          <w:rFonts w:ascii="宋体" w:hAnsi="宋体" w:eastAsia="宋体"/>
          <w:b/>
          <w:i w:val="0"/>
          <w:color w:val="1A1A1A"/>
          <w:sz w:val="23"/>
        </w:rPr>
        <w:t>现行文本由刑法修正案（十一）确定，2021 年 3 月 1 日施行</w:t>
      </w:r>
      <w:r>
        <w:rPr>
          <w:rFonts w:ascii="宋体" w:hAnsi="宋体" w:eastAsia="宋体"/>
          <w:b w:val="0"/>
          <w:i w:val="0"/>
          <w:color w:val="1A1A1A"/>
          <w:sz w:val="23"/>
        </w:rPr>
        <w:t>）、第二百二十四条之一（</w:t>
      </w:r>
      <w:r>
        <w:rPr>
          <w:rFonts w:ascii="宋体" w:hAnsi="宋体" w:eastAsia="宋体"/>
          <w:b/>
          <w:i w:val="0"/>
          <w:color w:val="1A1A1A"/>
          <w:sz w:val="23"/>
        </w:rPr>
        <w:t>由刑法修正案（七）增设，2009 年 2 月 28 日施行</w:t>
      </w:r>
      <w:r>
        <w:rPr>
          <w:rFonts w:ascii="宋体" w:hAnsi="宋体" w:eastAsia="宋体"/>
          <w:b w:val="0"/>
          <w:i w:val="0"/>
          <w:color w:val="1A1A1A"/>
          <w:sz w:val="23"/>
        </w:rPr>
        <w:t>）、第二百六十六条</w:t>
      </w:r>
    </w:p>
    <w:p>
      <w:pPr>
        <w:keepNext w:val="0"/>
        <w:spacing w:before="0" w:after="40" w:line="360" w:lineRule="auto"/>
        <w:ind w:left="482" w:hanging="240"/>
        <w:jc w:val="both"/>
      </w:pPr>
      <w:r>
        <w:rPr>
          <w:rFonts w:ascii="宋体" w:hAnsi="宋体" w:eastAsia="宋体"/>
          <w:b w:val="0"/>
          <w:i w:val="0"/>
          <w:color w:val="1A1A1A"/>
          <w:sz w:val="23"/>
        </w:rPr>
        <w:t>· 《禁止传销条例》（国务院令第 444 号，2005 年 11 月 1 日施行）第七条</w:t>
      </w:r>
    </w:p>
    <w:p>
      <w:pPr>
        <w:keepNext w:val="0"/>
        <w:spacing w:before="0" w:after="60" w:line="360" w:lineRule="auto"/>
        <w:jc w:val="both"/>
      </w:pPr>
      <w:r>
        <w:rPr>
          <w:rFonts w:ascii="宋体" w:hAnsi="宋体" w:eastAsia="宋体"/>
          <w:b/>
          <w:i w:val="0"/>
          <w:color w:val="1A1A1A"/>
          <w:sz w:val="24"/>
        </w:rPr>
        <w:t>三、市场基准数据</w:t>
      </w:r>
    </w:p>
    <w:p>
      <w:pPr>
        <w:keepNext w:val="0"/>
        <w:spacing w:before="0" w:after="40" w:line="360" w:lineRule="auto"/>
        <w:ind w:left="482" w:hanging="240"/>
        <w:jc w:val="both"/>
      </w:pPr>
      <w:r>
        <w:rPr>
          <w:rFonts w:ascii="宋体" w:hAnsi="宋体" w:eastAsia="宋体"/>
          <w:b w:val="0"/>
          <w:i w:val="0"/>
          <w:color w:val="1A1A1A"/>
          <w:sz w:val="23"/>
        </w:rPr>
        <w:t>· 中国债券信息网（ChinaBond）「财政部—中国国债收益率曲线」，10 年期到期收益率 1.68%，数据日期 2026 年 9 月 7 日。主办单位：中华人民共和国财政部。</w:t>
      </w:r>
    </w:p>
    <w:p>
      <w:pPr>
        <w:keepNext w:val="0"/>
        <w:spacing w:before="0" w:after="120" w:line="312" w:lineRule="auto"/>
        <w:ind w:left="482"/>
        <w:jc w:val="both"/>
      </w:pPr>
      <w:r>
        <w:rPr>
          <w:rFonts w:ascii="宋体" w:hAnsi="宋体" w:eastAsia="宋体"/>
          <w:b w:val="0"/>
          <w:i w:val="0"/>
          <w:color w:val="595959"/>
          <w:sz w:val="19"/>
        </w:rPr>
        <w:t>货币基金 7 日年化「代表性水平」与沪深 300 市盈率（PE-TTM）两项，因未能从官方来源读到可直接引用的数值，本项目保持为空并在数据文件中记录了具体原因；相关文案自动改用定性表述，不展示估算数字。</w:t>
      </w:r>
    </w:p>
    <w:p>
      <w:pPr>
        <w:keepNext w:val="0"/>
        <w:spacing w:before="0" w:after="60" w:line="360" w:lineRule="auto"/>
        <w:jc w:val="both"/>
      </w:pPr>
      <w:r>
        <w:rPr>
          <w:rFonts w:ascii="宋体" w:hAnsi="宋体" w:eastAsia="宋体"/>
          <w:b/>
          <w:i w:val="0"/>
          <w:color w:val="1A1A1A"/>
          <w:sz w:val="24"/>
        </w:rPr>
        <w:t>四、研究与测评框架（定性引用）</w:t>
      </w:r>
    </w:p>
    <w:p>
      <w:pPr>
        <w:keepNext w:val="0"/>
        <w:spacing w:before="0" w:after="40" w:line="360" w:lineRule="auto"/>
        <w:ind w:left="482" w:hanging="240"/>
        <w:jc w:val="both"/>
      </w:pPr>
      <w:r>
        <w:rPr>
          <w:rFonts w:ascii="宋体" w:hAnsi="宋体" w:eastAsia="宋体"/>
          <w:b w:val="0"/>
          <w:i w:val="0"/>
          <w:color w:val="1A1A1A"/>
          <w:sz w:val="23"/>
        </w:rPr>
        <w:t>· 中国人民银行金融消费权益保护局《消费者金融素养调查分析报告》（自 2017 年起多次组织全国范围调查并公开发布）</w:t>
      </w:r>
    </w:p>
    <w:p>
      <w:pPr>
        <w:keepNext w:val="0"/>
        <w:spacing w:before="0" w:after="40" w:line="360" w:lineRule="auto"/>
        <w:ind w:left="482" w:hanging="240"/>
        <w:jc w:val="both"/>
      </w:pPr>
      <w:r>
        <w:rPr>
          <w:rFonts w:ascii="宋体" w:hAnsi="宋体" w:eastAsia="宋体"/>
          <w:b w:val="0"/>
          <w:i w:val="0"/>
          <w:color w:val="1A1A1A"/>
          <w:sz w:val="23"/>
        </w:rPr>
        <w:t>· OECD/INFE 金融素养测评框架；OECD PISA 财经素养测评框架</w:t>
      </w:r>
    </w:p>
    <w:p>
      <w:pPr>
        <w:keepNext w:val="0"/>
        <w:spacing w:before="0" w:after="40" w:line="360" w:lineRule="auto"/>
        <w:ind w:left="482" w:hanging="240"/>
        <w:jc w:val="both"/>
      </w:pPr>
      <w:r>
        <w:rPr>
          <w:rFonts w:ascii="宋体" w:hAnsi="宋体" w:eastAsia="宋体"/>
          <w:b w:val="0"/>
          <w:i w:val="0"/>
          <w:color w:val="1A1A1A"/>
          <w:sz w:val="23"/>
        </w:rPr>
        <w:t>· 中国证券投资者保护基金公司《全国股票市场投资者状况调查报告》</w:t>
      </w:r>
    </w:p>
    <w:p>
      <w:pPr>
        <w:keepNext w:val="0"/>
        <w:spacing w:before="0" w:after="120" w:line="312" w:lineRule="auto"/>
        <w:ind w:left="482"/>
        <w:jc w:val="both"/>
      </w:pPr>
      <w:r>
        <w:rPr>
          <w:rFonts w:ascii="宋体" w:hAnsi="宋体" w:eastAsia="宋体"/>
          <w:b w:val="0"/>
          <w:i w:val="0"/>
          <w:color w:val="595959"/>
          <w:sz w:val="19"/>
        </w:rPr>
        <w:t>引用纪律说明：起诉人数（检察机关）、审结案件数与人数（法院）、发案数（公安机关）是三个不同口径，本文档中不混用、不换算、不相加；所有数字均标注年份；地方数据均带「北京市」等限定语。凡未能从官方原页面逐字核对的数字，本文档一律不予采用。</w:t>
      </w:r>
    </w:p>
    <w:p>
      <w:pPr>
        <w:keepNext/>
        <w:spacing w:before="280" w:after="120" w:line="324" w:lineRule="auto"/>
        <w:jc w:val="left"/>
      </w:pPr>
      <w:r>
        <w:rPr>
          <w:rFonts w:ascii="黑体" w:hAnsi="黑体" w:eastAsia="黑体"/>
          <w:b/>
          <w:i w:val="0"/>
          <w:color w:val="000000"/>
          <w:sz w:val="27"/>
        </w:rPr>
        <w:t>附录三　团队信息、分工说明</w:t>
      </w:r>
    </w:p>
    <w:p>
      <w:pPr>
        <w:keepNext w:val="0"/>
        <w:spacing w:before="0" w:after="60" w:line="360" w:lineRule="auto"/>
        <w:ind w:firstLine="480"/>
        <w:jc w:val="both"/>
      </w:pPr>
      <w:r>
        <w:rPr>
          <w:rFonts w:ascii="宋体" w:hAnsi="宋体" w:eastAsia="宋体"/>
          <w:b w:val="0"/>
          <w:i w:val="0"/>
          <w:color w:val="1A1A1A"/>
          <w:sz w:val="24"/>
        </w:rPr>
        <w:t>团队来自北京大学经济学院。本项目为跨职能协作：内容与合规、产品与叙事、技术实现三条线并行推进，其中法规核对与话术特征库建设由具备金融与法律阅读能力的成员承担，是本项目内容资产的主要来源。</w:t>
      </w:r>
    </w:p>
    <w:tbl>
      <w:tblPr>
        <w:tblStyle w:val="TableGrid"/>
        <w:tblW w:type="auto" w:w="0"/>
        <w:jc w:val="center"/>
        <w:tblLayout w:type="fixed"/>
        <w:tblLook w:firstColumn="1" w:firstRow="1" w:lastColumn="0" w:lastRow="0" w:noHBand="0" w:noVBand="1" w:val="04A0"/>
      </w:tblPr>
      <w:tblGrid>
        <w:gridCol w:w="2126"/>
        <w:gridCol w:w="2126"/>
        <w:gridCol w:w="2126"/>
        <w:gridCol w:w="2126"/>
      </w:tblGrid>
      <w:tr>
        <w:tc>
          <w:tcPr>
            <w:tcW w:type="dxa" w:w="1194"/>
            <w:shd w:fill="F2F2F2"/>
          </w:tcPr>
          <w:p>
            <w:pPr>
              <w:spacing w:after="20" w:before="20" w:line="276" w:lineRule="auto"/>
              <w:jc w:val="center"/>
            </w:pPr>
            <w:r/>
            <w:r>
              <w:rPr>
                <w:rFonts w:ascii="黑体" w:hAnsi="黑体" w:eastAsia="黑体"/>
                <w:b/>
                <w:i w:val="0"/>
                <w:color w:val="000000"/>
                <w:sz w:val="19"/>
              </w:rPr>
              <w:t>成员</w:t>
            </w:r>
          </w:p>
        </w:tc>
        <w:tc>
          <w:tcPr>
            <w:tcW w:type="dxa" w:w="1939"/>
            <w:shd w:fill="F2F2F2"/>
          </w:tcPr>
          <w:p>
            <w:pPr>
              <w:spacing w:after="20" w:before="20" w:line="276" w:lineRule="auto"/>
              <w:jc w:val="center"/>
            </w:pPr>
            <w:r/>
            <w:r>
              <w:rPr>
                <w:rFonts w:ascii="黑体" w:hAnsi="黑体" w:eastAsia="黑体"/>
                <w:b/>
                <w:i w:val="0"/>
                <w:color w:val="000000"/>
                <w:sz w:val="19"/>
              </w:rPr>
              <w:t>年级 / 专业</w:t>
            </w:r>
          </w:p>
        </w:tc>
        <w:tc>
          <w:tcPr>
            <w:tcW w:type="dxa" w:w="4028"/>
            <w:shd w:fill="F2F2F2"/>
          </w:tcPr>
          <w:p>
            <w:pPr>
              <w:spacing w:after="20" w:before="20" w:line="276" w:lineRule="auto"/>
              <w:jc w:val="center"/>
            </w:pPr>
            <w:r/>
            <w:r>
              <w:rPr>
                <w:rFonts w:ascii="黑体" w:hAnsi="黑体" w:eastAsia="黑体"/>
                <w:b/>
                <w:i w:val="0"/>
                <w:color w:val="000000"/>
                <w:sz w:val="19"/>
              </w:rPr>
              <w:t>承担分工</w:t>
            </w:r>
          </w:p>
        </w:tc>
        <w:tc>
          <w:tcPr>
            <w:tcW w:type="dxa" w:w="1343"/>
            <w:shd w:fill="F2F2F2"/>
          </w:tcPr>
          <w:p>
            <w:pPr>
              <w:spacing w:after="20" w:before="20" w:line="276" w:lineRule="auto"/>
              <w:jc w:val="center"/>
            </w:pPr>
            <w:r/>
            <w:r>
              <w:rPr>
                <w:rFonts w:ascii="黑体" w:hAnsi="黑体" w:eastAsia="黑体"/>
                <w:b/>
                <w:i w:val="0"/>
                <w:color w:val="000000"/>
                <w:sz w:val="19"/>
              </w:rPr>
              <w:t>联系方式</w:t>
            </w:r>
          </w:p>
        </w:tc>
      </w:tr>
      <w:tr>
        <w:tc>
          <w:tcPr>
            <w:tcW w:type="dxa" w:w="1194"/>
          </w:tcPr>
          <w:p>
            <w:pPr>
              <w:spacing w:after="20" w:before="20" w:line="276" w:lineRule="auto"/>
            </w:pPr>
            <w:r/>
            <w:r>
              <w:rPr>
                <w:rFonts w:ascii="宋体" w:hAnsi="宋体" w:eastAsia="宋体"/>
                <w:b w:val="0"/>
                <w:i w:val="0"/>
                <w:color w:val="1A1A1A"/>
                <w:sz w:val="19"/>
              </w:rPr>
              <w:t>（填写）</w:t>
            </w:r>
          </w:p>
        </w:tc>
        <w:tc>
          <w:tcPr>
            <w:tcW w:type="dxa" w:w="1939"/>
          </w:tcPr>
          <w:p>
            <w:pPr>
              <w:spacing w:after="20" w:before="20" w:line="276" w:lineRule="auto"/>
            </w:pPr>
            <w:r/>
            <w:r>
              <w:rPr>
                <w:rFonts w:ascii="宋体" w:hAnsi="宋体" w:eastAsia="宋体"/>
                <w:b w:val="0"/>
                <w:i w:val="0"/>
                <w:color w:val="1A1A1A"/>
                <w:sz w:val="19"/>
              </w:rPr>
              <w:t>北京大学经济学院　大三</w:t>
            </w:r>
          </w:p>
        </w:tc>
        <w:tc>
          <w:tcPr>
            <w:tcW w:type="dxa" w:w="4028"/>
          </w:tcPr>
          <w:p>
            <w:pPr>
              <w:spacing w:after="20" w:before="20" w:line="276" w:lineRule="auto"/>
            </w:pPr>
            <w:r/>
            <w:r>
              <w:rPr>
                <w:rFonts w:ascii="宋体" w:hAnsi="宋体" w:eastAsia="宋体"/>
                <w:b w:val="0"/>
                <w:i w:val="0"/>
                <w:color w:val="1A1A1A"/>
                <w:sz w:val="19"/>
              </w:rPr>
              <w:t>项目统筹、产品定位与叙事、Demo 主讲</w:t>
            </w:r>
          </w:p>
        </w:tc>
        <w:tc>
          <w:tcPr>
            <w:tcW w:type="dxa" w:w="1343"/>
          </w:tcPr>
          <w:p>
            <w:pPr>
              <w:spacing w:after="20" w:before="20" w:line="276" w:lineRule="auto"/>
            </w:pPr>
            <w:r/>
            <w:r>
              <w:rPr>
                <w:rFonts w:ascii="宋体" w:hAnsi="宋体" w:eastAsia="宋体"/>
                <w:b w:val="0"/>
                <w:i w:val="0"/>
                <w:color w:val="1A1A1A"/>
                <w:sz w:val="19"/>
              </w:rPr>
              <w:t>（填写）</w:t>
            </w:r>
          </w:p>
        </w:tc>
      </w:tr>
      <w:tr>
        <w:tc>
          <w:tcPr>
            <w:tcW w:type="dxa" w:w="1194"/>
          </w:tcPr>
          <w:p>
            <w:pPr>
              <w:spacing w:after="20" w:before="20" w:line="276" w:lineRule="auto"/>
            </w:pPr>
            <w:r/>
            <w:r>
              <w:rPr>
                <w:rFonts w:ascii="宋体" w:hAnsi="宋体" w:eastAsia="宋体"/>
                <w:b w:val="0"/>
                <w:i w:val="0"/>
                <w:color w:val="1A1A1A"/>
                <w:sz w:val="19"/>
              </w:rPr>
              <w:t>（填写）</w:t>
            </w:r>
          </w:p>
        </w:tc>
        <w:tc>
          <w:tcPr>
            <w:tcW w:type="dxa" w:w="1939"/>
          </w:tcPr>
          <w:p>
            <w:pPr>
              <w:spacing w:after="20" w:before="20" w:line="276" w:lineRule="auto"/>
            </w:pPr>
            <w:r/>
            <w:r>
              <w:rPr>
                <w:rFonts w:ascii="宋体" w:hAnsi="宋体" w:eastAsia="宋体"/>
                <w:b w:val="0"/>
                <w:i w:val="0"/>
                <w:color w:val="1A1A1A"/>
                <w:sz w:val="19"/>
              </w:rPr>
              <w:t>北京大学经济学院　大三</w:t>
            </w:r>
          </w:p>
        </w:tc>
        <w:tc>
          <w:tcPr>
            <w:tcW w:type="dxa" w:w="4028"/>
          </w:tcPr>
          <w:p>
            <w:pPr>
              <w:spacing w:after="20" w:before="20" w:line="276" w:lineRule="auto"/>
            </w:pPr>
            <w:r/>
            <w:r>
              <w:rPr>
                <w:rFonts w:ascii="宋体" w:hAnsi="宋体" w:eastAsia="宋体"/>
                <w:b w:val="0"/>
                <w:i w:val="0"/>
                <w:color w:val="1A1A1A"/>
                <w:sz w:val="19"/>
              </w:rPr>
              <w:t>法规条文逐条核对、违规话术特征库建设、合规论证</w:t>
            </w:r>
          </w:p>
        </w:tc>
        <w:tc>
          <w:tcPr>
            <w:tcW w:type="dxa" w:w="1343"/>
          </w:tcPr>
          <w:p>
            <w:pPr>
              <w:spacing w:after="20" w:before="20" w:line="276" w:lineRule="auto"/>
            </w:pPr>
            <w:r/>
            <w:r>
              <w:rPr>
                <w:rFonts w:ascii="宋体" w:hAnsi="宋体" w:eastAsia="宋体"/>
                <w:b w:val="0"/>
                <w:i w:val="0"/>
                <w:color w:val="1A1A1A"/>
                <w:sz w:val="19"/>
              </w:rPr>
              <w:t>（填写）</w:t>
            </w:r>
          </w:p>
        </w:tc>
      </w:tr>
      <w:tr>
        <w:tc>
          <w:tcPr>
            <w:tcW w:type="dxa" w:w="1194"/>
          </w:tcPr>
          <w:p>
            <w:pPr>
              <w:spacing w:after="20" w:before="20" w:line="276" w:lineRule="auto"/>
            </w:pPr>
            <w:r/>
            <w:r>
              <w:rPr>
                <w:rFonts w:ascii="宋体" w:hAnsi="宋体" w:eastAsia="宋体"/>
                <w:b w:val="0"/>
                <w:i w:val="0"/>
                <w:color w:val="1A1A1A"/>
                <w:sz w:val="19"/>
              </w:rPr>
              <w:t>（填写）</w:t>
            </w:r>
          </w:p>
        </w:tc>
        <w:tc>
          <w:tcPr>
            <w:tcW w:type="dxa" w:w="1939"/>
          </w:tcPr>
          <w:p>
            <w:pPr>
              <w:spacing w:after="20" w:before="20" w:line="276" w:lineRule="auto"/>
            </w:pPr>
            <w:r/>
            <w:r>
              <w:rPr>
                <w:rFonts w:ascii="宋体" w:hAnsi="宋体" w:eastAsia="宋体"/>
                <w:b w:val="0"/>
                <w:i w:val="0"/>
                <w:color w:val="1A1A1A"/>
                <w:sz w:val="19"/>
              </w:rPr>
              <w:t>北京大学经济学院　大三</w:t>
            </w:r>
          </w:p>
        </w:tc>
        <w:tc>
          <w:tcPr>
            <w:tcW w:type="dxa" w:w="4028"/>
          </w:tcPr>
          <w:p>
            <w:pPr>
              <w:spacing w:after="20" w:before="20" w:line="276" w:lineRule="auto"/>
            </w:pPr>
            <w:r/>
            <w:r>
              <w:rPr>
                <w:rFonts w:ascii="宋体" w:hAnsi="宋体" w:eastAsia="宋体"/>
                <w:b w:val="0"/>
                <w:i w:val="0"/>
                <w:color w:val="1A1A1A"/>
                <w:sz w:val="19"/>
              </w:rPr>
              <w:t>骗局图鉴与剧本、题库与微课内容、术语表校对</w:t>
            </w:r>
          </w:p>
        </w:tc>
        <w:tc>
          <w:tcPr>
            <w:tcW w:type="dxa" w:w="1343"/>
          </w:tcPr>
          <w:p>
            <w:pPr>
              <w:spacing w:after="20" w:before="20" w:line="276" w:lineRule="auto"/>
            </w:pPr>
            <w:r/>
            <w:r>
              <w:rPr>
                <w:rFonts w:ascii="宋体" w:hAnsi="宋体" w:eastAsia="宋体"/>
                <w:b w:val="0"/>
                <w:i w:val="0"/>
                <w:color w:val="1A1A1A"/>
                <w:sz w:val="19"/>
              </w:rPr>
              <w:t>（填写）</w:t>
            </w:r>
          </w:p>
        </w:tc>
      </w:tr>
      <w:tr>
        <w:tc>
          <w:tcPr>
            <w:tcW w:type="dxa" w:w="1194"/>
          </w:tcPr>
          <w:p>
            <w:pPr>
              <w:spacing w:after="20" w:before="20" w:line="276" w:lineRule="auto"/>
            </w:pPr>
            <w:r/>
            <w:r>
              <w:rPr>
                <w:rFonts w:ascii="宋体" w:hAnsi="宋体" w:eastAsia="宋体"/>
                <w:b w:val="0"/>
                <w:i w:val="0"/>
                <w:color w:val="1A1A1A"/>
                <w:sz w:val="19"/>
              </w:rPr>
              <w:t>（填写）</w:t>
            </w:r>
          </w:p>
        </w:tc>
        <w:tc>
          <w:tcPr>
            <w:tcW w:type="dxa" w:w="1939"/>
          </w:tcPr>
          <w:p>
            <w:pPr>
              <w:spacing w:after="20" w:before="20" w:line="276" w:lineRule="auto"/>
            </w:pPr>
            <w:r/>
            <w:r>
              <w:rPr>
                <w:rFonts w:ascii="宋体" w:hAnsi="宋体" w:eastAsia="宋体"/>
                <w:b w:val="0"/>
                <w:i w:val="0"/>
                <w:color w:val="1A1A1A"/>
                <w:sz w:val="19"/>
              </w:rPr>
              <w:t>北京大学经济学院　大三</w:t>
            </w:r>
          </w:p>
        </w:tc>
        <w:tc>
          <w:tcPr>
            <w:tcW w:type="dxa" w:w="4028"/>
          </w:tcPr>
          <w:p>
            <w:pPr>
              <w:spacing w:after="20" w:before="20" w:line="276" w:lineRule="auto"/>
            </w:pPr>
            <w:r/>
            <w:r>
              <w:rPr>
                <w:rFonts w:ascii="宋体" w:hAnsi="宋体" w:eastAsia="宋体"/>
                <w:b w:val="0"/>
                <w:i w:val="0"/>
                <w:color w:val="1A1A1A"/>
                <w:sz w:val="19"/>
              </w:rPr>
              <w:t>技术实现：规则引擎、模型适配层、前端与部署</w:t>
            </w:r>
          </w:p>
        </w:tc>
        <w:tc>
          <w:tcPr>
            <w:tcW w:type="dxa" w:w="1343"/>
          </w:tcPr>
          <w:p>
            <w:pPr>
              <w:spacing w:after="20" w:before="20" w:line="276" w:lineRule="auto"/>
            </w:pPr>
            <w:r/>
            <w:r>
              <w:rPr>
                <w:rFonts w:ascii="宋体" w:hAnsi="宋体" w:eastAsia="宋体"/>
                <w:b w:val="0"/>
                <w:i w:val="0"/>
                <w:color w:val="1A1A1A"/>
                <w:sz w:val="19"/>
              </w:rPr>
              <w:t>（填写）</w:t>
            </w:r>
          </w:p>
        </w:tc>
      </w:tr>
    </w:tbl>
    <w:p>
      <w:pPr>
        <w:keepNext w:val="0"/>
        <w:spacing w:before="0" w:after="160" w:line="240" w:lineRule="auto"/>
        <w:jc w:val="left"/>
      </w:pPr>
      <w:r>
        <w:rPr>
          <w:rFonts w:ascii="宋体" w:hAnsi="宋体" w:eastAsia="宋体"/>
          <w:b w:val="0"/>
          <w:i w:val="0"/>
          <w:color w:val="1A1A1A"/>
          <w:sz w:val="12"/>
        </w:rPr>
      </w:r>
    </w:p>
    <w:p>
      <w:pPr>
        <w:keepNext w:val="0"/>
        <w:spacing w:before="40" w:after="200" w:line="288" w:lineRule="auto"/>
        <w:jc w:val="center"/>
      </w:pPr>
      <w:r>
        <w:rPr>
          <w:rFonts w:ascii="黑体" w:hAnsi="黑体" w:eastAsia="黑体"/>
          <w:b w:val="0"/>
          <w:i w:val="0"/>
          <w:color w:val="595959"/>
          <w:sz w:val="19"/>
        </w:rPr>
        <w:t>表 21　团队成员与分工（提交前请补齐姓名与联系方式）</w:t>
      </w:r>
    </w:p>
    <w:p>
      <w:pPr>
        <w:keepNext w:val="0"/>
        <w:spacing w:before="0" w:after="60" w:line="360" w:lineRule="auto"/>
        <w:ind w:firstLine="480"/>
        <w:jc w:val="both"/>
      </w:pPr>
      <w:r>
        <w:rPr>
          <w:rFonts w:ascii="宋体" w:hAnsi="宋体" w:eastAsia="宋体"/>
          <w:b/>
          <w:i w:val="0"/>
          <w:color w:val="1A1A1A"/>
          <w:sz w:val="24"/>
        </w:rPr>
        <w:t>工程协作纪律（可作为团队协作能力的佐证）</w:t>
      </w:r>
      <w:r>
        <w:rPr>
          <w:rFonts w:ascii="宋体" w:hAnsi="宋体" w:eastAsia="宋体"/>
          <w:b w:val="0"/>
          <w:i w:val="0"/>
          <w:color w:val="1A1A1A"/>
          <w:sz w:val="24"/>
        </w:rPr>
        <w:t>：项目实行文件归属制度——每个文件只有一个所有者，需要改动他人文件时不直接修改，而是在任务书中记录需求由人工协调；共享基础设施（图表组件、档案模块、全局样式、类型定义）一律只读；所有改动以回归测试通过为准入条件。</w:t>
      </w:r>
    </w:p>
    <w:p>
      <w:pPr>
        <w:keepNext/>
        <w:spacing w:before="280" w:after="120" w:line="324" w:lineRule="auto"/>
        <w:jc w:val="left"/>
      </w:pPr>
      <w:r>
        <w:rPr>
          <w:rFonts w:ascii="黑体" w:hAnsi="黑体" w:eastAsia="黑体"/>
          <w:b/>
          <w:i w:val="0"/>
          <w:color w:val="000000"/>
          <w:sz w:val="27"/>
        </w:rPr>
        <w:t>附录四　其他佐证材料</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法条核对台账</w:t>
      </w:r>
      <w:r>
        <w:rPr>
          <w:rFonts w:ascii="宋体" w:hAnsi="宋体" w:eastAsia="宋体"/>
          <w:b w:val="0"/>
          <w:i w:val="0"/>
          <w:color w:val="1A1A1A"/>
          <w:sz w:val="23"/>
        </w:rPr>
        <w:t>（`docs/legal-check.md`）：14 条条文的逐条核对记录，含 3 处错误的发现过程与改正说明、版本陷阱说明、以及检索方法论上踩过的坑。</w:t>
      </w:r>
      <w:r>
        <w:rPr>
          <w:rFonts w:ascii="宋体" w:hAnsi="宋体" w:eastAsia="宋体"/>
          <w:b/>
          <w:i w:val="0"/>
          <w:color w:val="1A1A1A"/>
          <w:sz w:val="23"/>
        </w:rPr>
        <w:t>这份文档本身是本项目严谨性的最直接佐证。</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权威数据核对记录</w:t>
      </w:r>
      <w:r>
        <w:rPr>
          <w:rFonts w:ascii="宋体" w:hAnsi="宋体" w:eastAsia="宋体"/>
          <w:b w:val="0"/>
          <w:i w:val="0"/>
          <w:color w:val="1A1A1A"/>
          <w:sz w:val="23"/>
        </w:rPr>
        <w:t>（`docs/bp-facts.md`）：本文档所引用的每一条数字，均附官方原页面链接与原文表述，并单列一节记录「查不到、因此不许用」的数字清单。</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自动化测试输出</w:t>
      </w:r>
      <w:r>
        <w:rPr>
          <w:rFonts w:ascii="宋体" w:hAnsi="宋体" w:eastAsia="宋体"/>
          <w:b w:val="0"/>
          <w:i w:val="0"/>
          <w:color w:val="1A1A1A"/>
          <w:sz w:val="23"/>
        </w:rPr>
        <w:t>：`npm test` 的完整输出，843 项断言逐条可见，含违规话术库的正例与反例、语义通道校验层的坏输出拦截测试、输出审查层的越界表述拦截测试。</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自制仿真演示样本</w:t>
      </w:r>
      <w:r>
        <w:rPr>
          <w:rFonts w:ascii="宋体" w:hAnsi="宋体" w:eastAsia="宋体"/>
          <w:b w:val="0"/>
          <w:i w:val="0"/>
          <w:color w:val="1A1A1A"/>
          <w:sz w:val="23"/>
        </w:rPr>
        <w:t>（`data/samples.json` 与 `public/demo/`）：三张高风险仿真广告图与一份要素齐备的正规产品对照样本，机构名全部虚构。</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产品界面实拍</w:t>
      </w:r>
      <w:r>
        <w:rPr>
          <w:rFonts w:ascii="宋体" w:hAnsi="宋体" w:eastAsia="宋体"/>
          <w:b w:val="0"/>
          <w:i w:val="0"/>
          <w:color w:val="1A1A1A"/>
          <w:sz w:val="23"/>
        </w:rPr>
        <w:t>：本文档图 10 至图 22 全部为运行中的真实界面截图，非设计稿。</w:t>
      </w:r>
    </w:p>
    <w:p>
      <w:pPr>
        <w:keepNext w:val="0"/>
        <w:spacing w:before="0" w:after="40" w:line="360" w:lineRule="auto"/>
        <w:ind w:left="482" w:hanging="240"/>
        <w:jc w:val="both"/>
      </w:pPr>
      <w:r>
        <w:rPr>
          <w:rFonts w:ascii="宋体" w:hAnsi="宋体" w:eastAsia="宋体"/>
          <w:b w:val="0"/>
          <w:i w:val="0"/>
          <w:color w:val="1A1A1A"/>
          <w:sz w:val="23"/>
        </w:rPr>
        <w:t xml:space="preserve">· </w:t>
      </w:r>
      <w:r>
        <w:rPr>
          <w:rFonts w:ascii="宋体" w:hAnsi="宋体" w:eastAsia="宋体"/>
          <w:b/>
          <w:i w:val="0"/>
          <w:color w:val="1A1A1A"/>
          <w:sz w:val="23"/>
        </w:rPr>
        <w:t>在线体验二维码</w:t>
      </w:r>
      <w:r>
        <w:rPr>
          <w:rFonts w:ascii="宋体" w:hAnsi="宋体" w:eastAsia="宋体"/>
          <w:b w:val="0"/>
          <w:i w:val="0"/>
          <w:color w:val="1A1A1A"/>
          <w:sz w:val="23"/>
        </w:rPr>
        <w:t>：待随提交材料一并附上（填写处）。</w:t>
      </w:r>
    </w:p>
    <w:p>
      <w:pPr>
        <w:keepNext w:val="0"/>
        <w:spacing w:before="0" w:after="0" w:line="240" w:lineRule="auto"/>
        <w:jc w:val="left"/>
      </w:pPr>
      <w:r>
        <w:rPr>
          <w:rFonts w:ascii="宋体" w:hAnsi="宋体" w:eastAsia="宋体"/>
          <w:b w:val="0"/>
          <w:i w:val="0"/>
          <w:color w:val="1A1A1A"/>
          <w:sz w:val="24"/>
        </w:rPr>
      </w:r>
    </w:p>
    <w:p>
      <w:pPr>
        <w:keepNext w:val="0"/>
        <w:spacing w:before="200" w:after="80" w:line="336" w:lineRule="auto"/>
        <w:jc w:val="both"/>
      </w:pPr>
      <w:r>
        <w:rPr>
          <w:rFonts w:ascii="黑体" w:hAnsi="黑体" w:eastAsia="黑体"/>
          <w:b/>
          <w:i w:val="0"/>
          <w:color w:val="1A1A1A"/>
          <w:sz w:val="22"/>
        </w:rPr>
        <w:t>免责声明</w:t>
      </w:r>
    </w:p>
    <w:p>
      <w:pPr>
        <w:keepNext w:val="0"/>
        <w:spacing w:before="0" w:after="80" w:line="336" w:lineRule="auto"/>
        <w:jc w:val="both"/>
      </w:pPr>
      <w:r>
        <w:rPr>
          <w:rFonts w:ascii="宋体" w:hAnsi="宋体" w:eastAsia="宋体"/>
          <w:b w:val="0"/>
          <w:i w:val="0"/>
          <w:color w:val="333333"/>
          <w:sz w:val="21"/>
        </w:rPr>
        <w:t>本项目及本文档所载全部内容，仅提供投资者教育与金融安全知识科普，不构成任何投资建议，不推荐任何具体股票、基金或理财产品，不预测涨跌、不承诺收益，亦不构成对任何机构或产品的法律定性。投资有风险，入市需谨慎。遇到疑似诈骗请拨打 110，反诈专线 12381。</w:t>
      </w:r>
    </w:p>
    <w:sectPr w:rsidR="00FC693F" w:rsidRPr="0006063C" w:rsidSect="00034616">
      <w:footerReference w:type="default" r:id="rId30"/>
      <w:headerReference w:type="default" r:id="rId31"/>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595959"/>
        <w:sz w:val="19"/>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i w:val="0"/>
        <w:color w:val="777777"/>
        <w:sz w:val="17"/>
      </w:rPr>
      <w:t>财智通 · 金融安全智能体　|　北京大学「金融 AI 智能体创新大赛」方向三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 Id="rId3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