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
        <w:jc w:val="left"/>
      </w:pPr>
      <w:r>
        <w:rPr>
          <w:rFonts w:ascii="Arial" w:cs="Arial" w:eastAsia="Arial" w:hAnsi="Arial"/>
          <w:b/>
          <w:bCs/>
          <w:color w:val="1F3864"/>
          <w:sz w:val="30"/>
          <w:szCs w:val="30"/>
        </w:rPr>
        <w:t xml:space="preserve">QUALIBOT: A GenAI Research Infrastructure for Qualitative Instrument</w:t>
      </w:r>
    </w:p>
    <w:p>
      <w:pPr>
        <w:spacing w:before="0" w:after="50"/>
        <w:jc w:val="left"/>
      </w:pPr>
      <w:r>
        <w:rPr>
          <w:rFonts w:ascii="Arial" w:cs="Arial" w:eastAsia="Arial" w:hAnsi="Arial"/>
          <w:b/>
          <w:bCs/>
          <w:color w:val="1F3864"/>
          <w:sz w:val="30"/>
          <w:szCs w:val="30"/>
        </w:rPr>
        <w:t xml:space="preserve">Development and Deployment in IS Research</w:t>
      </w:r>
    </w:p>
    <w:p>
      <w:pPr>
        <w:spacing w:before="0" w:after="60"/>
        <w:jc w:val="left"/>
      </w:pPr>
      <w:r>
        <w:rPr>
          <w:rFonts w:ascii="Arial" w:cs="Arial" w:eastAsia="Arial" w:hAnsi="Arial"/>
          <w:i/>
          <w:iCs/>
          <w:color w:val="2E5596"/>
          <w:sz w:val="22"/>
          <w:szCs w:val="22"/>
        </w:rPr>
        <w:t xml:space="preserve">An Integrated Design Science Contribution</w:t>
      </w:r>
    </w:p>
    <w:p>
      <w:pPr>
        <w:spacing w:before="0" w:after="120"/>
        <w:jc w:val="left"/>
      </w:pPr>
      <w:r>
        <w:rPr>
          <w:rFonts w:ascii="Arial" w:cs="Arial" w:eastAsia="Arial" w:hAnsi="Arial"/>
          <w:b/>
          <w:bCs/>
          <w:color w:val="444444"/>
          <w:sz w:val="18"/>
          <w:szCs w:val="18"/>
        </w:rPr>
        <w:t xml:space="preserve">Target: </w:t>
      </w:r>
      <w:r>
        <w:rPr>
          <w:rFonts w:ascii="Arial" w:cs="Arial" w:eastAsia="Arial" w:hAnsi="Arial"/>
          <w:color w:val="444444"/>
          <w:sz w:val="18"/>
          <w:szCs w:val="18"/>
        </w:rPr>
        <w:t xml:space="preserve">ISR Special Issue — Generative AI and New Methods of Inquiry in IS Research</w:t>
      </w:r>
      <w:r>
        <w:rPr>
          <w:rFonts w:ascii="Arial" w:cs="Arial" w:eastAsia="Arial" w:hAnsi="Arial"/>
          <w:color w:val="AAAAAA"/>
          <w:sz w:val="18"/>
          <w:szCs w:val="18"/>
        </w:rPr>
        <w:t xml:space="preserve">   ·   </w:t>
      </w:r>
      <w:r>
        <w:rPr>
          <w:rFonts w:ascii="Arial" w:cs="Arial" w:eastAsia="Arial" w:hAnsi="Arial"/>
          <w:color w:val="444444"/>
          <w:sz w:val="18"/>
          <w:szCs w:val="18"/>
        </w:rPr>
        <w:t xml:space="preserve">Deadline: September 7, 2026</w:t>
      </w:r>
    </w:p>
    <w:p>
      <w:pPr>
        <w:pBdr>
          <w:bottom w:val="single" w:color="2E5596" w:sz="3" w:space="1"/>
        </w:pBdr>
        <w:spacing w:before="140" w:after="50"/>
      </w:pPr>
      <w:r>
        <w:rPr>
          <w:rFonts w:ascii="Arial" w:cs="Arial" w:eastAsia="Arial" w:hAnsi="Arial"/>
          <w:b/>
          <w:bCs/>
          <w:color w:val="2E5596"/>
          <w:sz w:val="18"/>
          <w:szCs w:val="18"/>
        </w:rPr>
        <w:t xml:space="preserve">THE PROBLEM THIS PAPER SOLVES</w:t>
      </w:r>
    </w:p>
    <w:p>
      <w:pPr>
        <w:spacing w:before="80" w:after="100"/>
        <w:jc w:val="left"/>
      </w:pPr>
      <w:r>
        <w:rPr>
          <w:rFonts w:ascii="Arial" w:cs="Arial" w:eastAsia="Arial" w:hAnsi="Arial"/>
          <w:sz w:val="20"/>
          <w:szCs w:val="20"/>
        </w:rPr>
        <w:t xml:space="preserve">Qualitative interview research in IS depends critically on instrument quality — yet no systematic infrastructure exists to help researchers translate theoretical constructs into rigorous interview guides. Researchers routinely produce guides with uneven construct coverage, leading questions, shallow probes, and sequencing problems that suppress disclosure. These instrument failures are largely invisible: they don't produce error messages, they simply produce weaker data. At the same time, conducting those interviews introduces interviewer variance, social desirability bias, and scalability constraints that limit what qualitative IS research can achieve. Both problems — instrument development and interview execution — are tractable with GenAI. No prior work addresses them together.</w:t>
      </w:r>
    </w:p>
    <w:p>
      <w:pPr>
        <w:pBdr>
          <w:bottom w:val="single" w:color="2E5596" w:sz="3" w:space="1"/>
        </w:pBdr>
        <w:spacing w:before="140" w:after="50"/>
      </w:pPr>
      <w:r>
        <w:rPr>
          <w:rFonts w:ascii="Arial" w:cs="Arial" w:eastAsia="Arial" w:hAnsi="Arial"/>
          <w:b/>
          <w:bCs/>
          <w:color w:val="2E5596"/>
          <w:sz w:val="18"/>
          <w:szCs w:val="18"/>
        </w:rPr>
        <w:t xml:space="preserve">THE ARTIFACT: AN INTEGRATED TWO-PHASE RESEARCH PIPELINE</w:t>
      </w:r>
    </w:p>
    <w:p>
      <w:pPr>
        <w:spacing w:before="80" w:after="80"/>
        <w:jc w:val="left"/>
      </w:pPr>
      <w:r>
        <w:rPr>
          <w:rFonts w:ascii="Arial" w:cs="Arial" w:eastAsia="Arial" w:hAnsi="Arial"/>
          <w:sz w:val="20"/>
          <w:szCs w:val="20"/>
        </w:rPr>
        <w:t xml:space="preserve">We propose, build, and evaluate a GenAI chatbot that functions as an end-to-end qualitative research infrastructure — first working alongside the researcher to develop a methodologically rigorous interview instrument, then deploying that instrument to conduct interviews with research participants. The two phases are not separable features; they are an integrated pipeline in which instrument quality in Phase 1 directly enables data quality in Phase 2.</w:t>
      </w:r>
    </w:p>
    <w:p>
      <w:pPr>
        <w:spacing w:before="40" w:after="0"/>
      </w:pPr>
      <w:r>
        <w:t xml:space="preserv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93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Phase</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What the Chatbot Does</w:t>
            </w:r>
          </w:p>
        </w:tc>
        <w:tc>
          <w:tcPr>
            <w:tcW w:type="dxa" w:w="2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Theoretical Basis</w:t>
            </w:r>
          </w:p>
        </w:tc>
      </w:tr>
      <w:tr>
        <w:tc>
          <w:tcPr>
            <w:tcW w:type="dxa" w:w="2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pPr>
              <w:spacing w:before="0" w:after="40"/>
              <w:jc w:val="left"/>
            </w:pPr>
            <w:r>
              <w:rPr>
                <w:rFonts w:ascii="Arial" w:cs="Arial" w:eastAsia="Arial" w:hAnsi="Arial"/>
                <w:b/>
                <w:bCs/>
                <w:sz w:val="20"/>
                <w:szCs w:val="20"/>
              </w:rPr>
              <w:t xml:space="preserve">Phase 1</w:t>
            </w:r>
          </w:p>
          <w:p>
            <w:pPr>
              <w:spacing w:before="0" w:after="0"/>
              <w:jc w:val="left"/>
            </w:pPr>
            <w:r>
              <w:rPr>
                <w:rFonts w:ascii="Arial" w:cs="Arial" w:eastAsia="Arial" w:hAnsi="Arial"/>
                <w:b w:val="false"/>
                <w:bCs w:val="false"/>
                <w:sz w:val="18"/>
                <w:szCs w:val="18"/>
              </w:rPr>
              <w:t xml:space="preserve">Instrument Development</w:t>
            </w:r>
          </w:p>
        </w:tc>
        <w:tc>
          <w:tcPr>
            <w:tcW w:type="dxa" w:w="4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pPr>
              <w:spacing w:before="0" w:after="0"/>
              <w:jc w:val="left"/>
            </w:pPr>
            <w:r>
              <w:rPr>
                <w:rFonts w:ascii="Arial" w:cs="Arial" w:eastAsia="Arial" w:hAnsi="Arial"/>
                <w:b w:val="false"/>
                <w:bCs w:val="false"/>
                <w:sz w:val="18"/>
                <w:szCs w:val="18"/>
              </w:rPr>
              <w:t xml:space="preserve">Interrogates researcher's constructs, theoretical framework, and draft questions against a curated methodological knowledge base drawn from top-tier IS qualitative research (MISQ, ISR). Flags coverage gaps, leading language, sequencing problems, and shallow probes. Requires documented justification for overriding recommendations. Produces a finalized guide with construct coverage map.</w:t>
            </w:r>
          </w:p>
        </w:tc>
        <w:tc>
          <w:tcPr>
            <w:tcW w:type="dxa" w:w="2936"/>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pPr>
              <w:spacing w:before="0" w:after="0"/>
              <w:jc w:val="left"/>
            </w:pPr>
            <w:r>
              <w:rPr>
                <w:rFonts w:ascii="Arial" w:cs="Arial" w:eastAsia="Arial" w:hAnsi="Arial"/>
                <w:b w:val="false"/>
                <w:bCs w:val="false"/>
                <w:sz w:val="18"/>
                <w:szCs w:val="18"/>
              </w:rPr>
              <w:t xml:space="preserve">Design knowledge on qualitative instrument rigor; RAG-based synthesis of IS methodological best practices; advisory model with justification-required override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40"/>
              <w:jc w:val="left"/>
            </w:pPr>
            <w:r>
              <w:rPr>
                <w:rFonts w:ascii="Arial" w:cs="Arial" w:eastAsia="Arial" w:hAnsi="Arial"/>
                <w:b/>
                <w:bCs/>
                <w:sz w:val="20"/>
                <w:szCs w:val="20"/>
              </w:rPr>
              <w:t xml:space="preserve">Phase 2</w:t>
            </w:r>
          </w:p>
          <w:p>
            <w:pPr>
              <w:spacing w:before="0" w:after="0"/>
              <w:jc w:val="left"/>
            </w:pPr>
            <w:r>
              <w:rPr>
                <w:rFonts w:ascii="Arial" w:cs="Arial" w:eastAsia="Arial" w:hAnsi="Arial"/>
                <w:b w:val="false"/>
                <w:bCs w:val="false"/>
                <w:sz w:val="18"/>
                <w:szCs w:val="18"/>
              </w:rPr>
              <w:t xml:space="preserve">Interview Execution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sz w:val="18"/>
                <w:szCs w:val="18"/>
              </w:rPr>
              <w:t xml:space="preserve">Deploys the refined instrument via a three-layer adaptive interview architecture: fixed core questions (comparability anchor), silent context detection (academic context, usage profile, affective signals), and adaptive probing (elaboration, affective, context-tailored, contradiction probes). 15-minute target. Fixed closing invitation. Explicit anti-sycophancy and anti-leading-question prohibitions.</w:t>
            </w:r>
          </w:p>
        </w:tc>
        <w:tc>
          <w:tcPr>
            <w:tcW w:type="dxa" w:w="2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sz w:val="18"/>
                <w:szCs w:val="18"/>
              </w:rPr>
              <w:t xml:space="preserve">Online disinhibition theory (Suler); multidimensional self-disclosure framework (Wheeless &amp; Grotz); adaptive interview methodology</w:t>
            </w:r>
          </w:p>
        </w:tc>
      </w:tr>
    </w:tbl>
    <w:p>
      <w:pPr>
        <w:spacing w:before="100" w:after="0"/>
      </w:pPr>
      <w:r>
        <w:t xml:space="preserve"/>
      </w:r>
    </w:p>
    <w:p>
      <w:pPr>
        <w:pBdr>
          <w:bottom w:val="single" w:color="2E5596" w:sz="3" w:space="1"/>
        </w:pBdr>
        <w:spacing w:before="140" w:after="50"/>
      </w:pPr>
      <w:r>
        <w:rPr>
          <w:rFonts w:ascii="Arial" w:cs="Arial" w:eastAsia="Arial" w:hAnsi="Arial"/>
          <w:b/>
          <w:bCs/>
          <w:color w:val="2E5596"/>
          <w:sz w:val="18"/>
          <w:szCs w:val="18"/>
        </w:rPr>
        <w:t xml:space="preserve">EVALUATION DESIGN</w:t>
      </w:r>
    </w:p>
    <w:p>
      <w:pPr>
        <w:spacing w:before="80" w:after="100"/>
        <w:jc w:val="left"/>
      </w:pPr>
      <w:r>
        <w:rPr>
          <w:rFonts w:ascii="Arial" w:cs="Arial" w:eastAsia="Arial" w:hAnsi="Arial"/>
          <w:sz w:val="20"/>
          <w:szCs w:val="20"/>
        </w:rPr>
        <w:t xml:space="preserve">A two-condition between-subjects evaluation isolates the artifact's contribution. In the control condition, researchers develop an interview guide using conventional methods; that guide is then deployed via the chatbot's interview execution phase. In the treatment condition, researchers complete the full pipeline — chatbot-assisted instrument development followed by chatbot-conducted interviews. Independent expert raters assess outcomes at two levels: instrument quality (construct coverage, question rigor, probe depth) and interview data quality (disclosure breadth, depth, and sensitivity per Wheeless &amp; Grotz). The mediation pathway — does instrument quality predict data quality — is explicitly tested, linking the two phases theoretically and empirically.</w:t>
      </w:r>
    </w:p>
    <w:p>
      <w:pPr>
        <w:pBdr>
          <w:bottom w:val="single" w:color="2E5596" w:sz="3" w:space="1"/>
        </w:pBdr>
        <w:spacing w:before="140" w:after="50"/>
      </w:pPr>
      <w:r>
        <w:rPr>
          <w:rFonts w:ascii="Arial" w:cs="Arial" w:eastAsia="Arial" w:hAnsi="Arial"/>
          <w:b/>
          <w:bCs/>
          <w:color w:val="2E5596"/>
          <w:sz w:val="18"/>
          <w:szCs w:val="18"/>
        </w:rPr>
        <w:t xml:space="preserve">CONTRIBUTIONS</w:t>
      </w:r>
    </w:p>
    <w:p>
      <w:pPr>
        <w:pStyle w:val="ListParagraph"/>
        <w:numPr>
          <w:ilvl w:val="0"/>
          <w:numId w:val="2"/>
        </w:numPr>
        <w:spacing w:before="36" w:after="36"/>
      </w:pPr>
      <w:r>
        <w:rPr>
          <w:rFonts w:ascii="Arial" w:cs="Arial" w:eastAsia="Arial" w:hAnsi="Arial"/>
          <w:b/>
          <w:bCs/>
          <w:color w:val="1F3864"/>
          <w:sz w:val="20"/>
          <w:szCs w:val="20"/>
        </w:rPr>
        <w:t xml:space="preserve">Artifact: </w:t>
      </w:r>
      <w:r>
        <w:rPr>
          <w:rFonts w:ascii="Arial" w:cs="Arial" w:eastAsia="Arial" w:hAnsi="Arial"/>
          <w:sz w:val="20"/>
          <w:szCs w:val="20"/>
        </w:rPr>
        <w:t xml:space="preserve">A fully documented, replicable GenAI research pipeline for qualitative IS research — instrument development through interview execution — released as an open research infrastructure consistent with ISR Special Issue transparency requirements.</w:t>
      </w:r>
    </w:p>
    <w:p>
      <w:pPr>
        <w:pStyle w:val="ListParagraph"/>
        <w:numPr>
          <w:ilvl w:val="0"/>
          <w:numId w:val="2"/>
        </w:numPr>
        <w:spacing w:before="36" w:after="36"/>
      </w:pPr>
      <w:r>
        <w:rPr>
          <w:rFonts w:ascii="Arial" w:cs="Arial" w:eastAsia="Arial" w:hAnsi="Arial"/>
          <w:b/>
          <w:bCs/>
          <w:color w:val="1F3864"/>
          <w:sz w:val="20"/>
          <w:szCs w:val="20"/>
        </w:rPr>
        <w:t xml:space="preserve">Theoretical: </w:t>
      </w:r>
      <w:r>
        <w:rPr>
          <w:rFonts w:ascii="Arial" w:cs="Arial" w:eastAsia="Arial" w:hAnsi="Arial"/>
          <w:sz w:val="20"/>
          <w:szCs w:val="20"/>
        </w:rPr>
        <w:t xml:space="preserve">A design knowledge contribution identifying systematic gaps between actual and methodologically ideal IS interview instrument development, and principles governing AI-assisted qualitative research infrastructure.</w:t>
      </w:r>
    </w:p>
    <w:p>
      <w:pPr>
        <w:pStyle w:val="ListParagraph"/>
        <w:numPr>
          <w:ilvl w:val="0"/>
          <w:numId w:val="2"/>
        </w:numPr>
        <w:spacing w:before="36" w:after="36"/>
      </w:pPr>
      <w:r>
        <w:rPr>
          <w:rFonts w:ascii="Arial" w:cs="Arial" w:eastAsia="Arial" w:hAnsi="Arial"/>
          <w:b/>
          <w:bCs/>
          <w:color w:val="1F3864"/>
          <w:sz w:val="20"/>
          <w:szCs w:val="20"/>
        </w:rPr>
        <w:t xml:space="preserve">Empirical: </w:t>
      </w:r>
      <w:r>
        <w:rPr>
          <w:rFonts w:ascii="Arial" w:cs="Arial" w:eastAsia="Arial" w:hAnsi="Arial"/>
          <w:sz w:val="20"/>
          <w:szCs w:val="20"/>
        </w:rPr>
        <w:t xml:space="preserve">Behavioral data from researcher-chatbot interactions during instrument development — documenting where and why IS researchers deviate from methodological best practice — as a novel secondary contribution.</w:t>
      </w:r>
    </w:p>
    <w:p>
      <w:pPr>
        <w:pStyle w:val="ListParagraph"/>
        <w:numPr>
          <w:ilvl w:val="0"/>
          <w:numId w:val="2"/>
        </w:numPr>
        <w:spacing w:before="36" w:after="36"/>
      </w:pPr>
      <w:r>
        <w:rPr>
          <w:rFonts w:ascii="Arial" w:cs="Arial" w:eastAsia="Arial" w:hAnsi="Arial"/>
          <w:b/>
          <w:bCs/>
          <w:color w:val="1F3864"/>
          <w:sz w:val="20"/>
          <w:szCs w:val="20"/>
        </w:rPr>
        <w:t xml:space="preserve">CFP fit: </w:t>
      </w:r>
      <w:r>
        <w:rPr>
          <w:rFonts w:ascii="Arial" w:cs="Arial" w:eastAsia="Arial" w:hAnsi="Arial"/>
          <w:sz w:val="20"/>
          <w:szCs w:val="20"/>
        </w:rPr>
        <w:t xml:space="preserve">GenAI is constitutive at every stage. The knowledge base synthesis, real-time construct interrogation, adaptive interview execution, and behavioral trace data generation are each infeasible without GenAI.</w:t>
      </w:r>
    </w:p>
    <w:p>
      <w:pPr>
        <w:spacing w:before="60" w:after="0"/>
      </w:pPr>
      <w:r>
        <w:t xml:space="preserve"/>
      </w:r>
    </w:p>
    <w:p>
      <w:pPr>
        <w:pBdr>
          <w:top w:val="single" w:color="CCCCCC" w:sz="2" w:space="4"/>
        </w:pBdr>
        <w:spacing w:before="100" w:after="0"/>
      </w:pPr>
      <w:r>
        <w:rPr>
          <w:rFonts w:ascii="Arial" w:cs="Arial" w:eastAsia="Arial" w:hAnsi="Arial"/>
          <w:i/>
          <w:iCs/>
          <w:color w:val="888888"/>
          <w:sz w:val="17"/>
          <w:szCs w:val="17"/>
        </w:rPr>
        <w:t xml:space="preserve">Working research proposal prepared for co-author discussion. Technical development support secured. All design decisions open for revision.</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2026-03-16T15:57:30.576Z</dcterms:created>
  <dcterms:modified xsi:type="dcterms:W3CDTF">2026-03-16T15:57:30.576Z</dcterms:modified>
</cp:coreProperties>
</file>

<file path=docProps/custom.xml><?xml version="1.0" encoding="utf-8"?>
<Properties xmlns="http://schemas.openxmlformats.org/officeDocument/2006/custom-properties" xmlns:vt="http://schemas.openxmlformats.org/officeDocument/2006/docPropsVTypes"/>
</file>