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B4F8A"/>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B4F8A"/>
          <w:sz w:val="32"/>
          <w:szCs w:val="32"/>
        </w:rPr>
        <w:t xml:space="preserve">ESPECIFICACIÓN DE REQUISITOS DE SOFTWARE (ERS)</w:t>
      </w:r>
    </w:p>
    <w:p>
      <w:pPr>
        <w:spacing w:after="80"/>
        <w:jc w:val="center"/>
      </w:pPr>
      <w:r>
        <w:rPr>
          <w:b/>
          <w:bCs/>
          <w:color w:val="555555"/>
          <w:sz w:val="22"/>
          <w:szCs w:val="22"/>
        </w:rPr>
        <w:t xml:space="preserve">Tema</w:t>
      </w:r>
    </w:p>
    <w:p>
      <w:pPr>
        <w:spacing w:after="400"/>
        <w:jc w:val="center"/>
      </w:pPr>
      <w:r>
        <w:rPr>
          <w:b/>
          <w:bCs/>
          <w:sz w:val="24"/>
          <w:szCs w:val="24"/>
        </w:rPr>
        <w:t xml:space="preserve">SISTEMA BANCARIO EUREKABANK (MOVIMIENTOS, DEPÓSITOS, RETIROS Y TRANSFERENCIAS) UTILIZANDO SERVICIOS WEB SOAP EN .NET CON BASE DE DATOS SQL SERVER</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Buestan Wilmer</w:t>
      </w:r>
    </w:p>
    <w:p>
      <w:pPr>
        <w:spacing w:after="40"/>
        <w:jc w:val="center"/>
      </w:pPr>
      <w:r>
        <w:rPr>
          <w:sz w:val="24"/>
          <w:szCs w:val="24"/>
        </w:rPr>
        <w:t xml:space="preserve">Masapanta Jefferson</w:t>
      </w:r>
    </w:p>
    <w:p>
      <w:pPr>
        <w:spacing w:after="400"/>
        <w:jc w:val="center"/>
      </w:pPr>
      <w:r>
        <w:rPr>
          <w:sz w:val="24"/>
          <w:szCs w:val="24"/>
        </w:rPr>
        <w:t xml:space="preserve">Benalcazar Moises</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04/11/2026</w:t>
      </w:r>
    </w:p>
    <w:p>
      <w:r>
        <w:br w:type="page"/>
      </w:r>
    </w:p>
    <w:p>
      <w:pPr>
        <w:pStyle w:val="Heading1"/>
      </w:pPr>
      <w:r>
        <w:t xml:space="preserve">1. Introducción</w:t>
      </w:r>
    </w:p>
    <w:p>
      <w:pPr>
        <w:spacing w:after="120" w:line="300"/>
        <w:jc w:val="both"/>
      </w:pPr>
      <w:r>
        <w:t xml:space="preserve">El presente documento especifica los requisitos del sistema bancario EurekaBank, desarrollado en la asignatura Arquitectura de Software como proyecto TG1.2 «SOAP con BDD en .NET». El sistema expone un servicio web SOAP que trabaja sobre la base de datos EUREKABANK en SQL Server, y cuatro clientes (consola, escritorio, web y móvil) que lo consumen para consultar cuentas y registrar depósitos, retiros y transferencias.</w:t>
      </w:r>
    </w:p>
    <w:p>
      <w:pPr>
        <w:spacing w:after="120" w:line="300"/>
        <w:jc w:val="both"/>
      </w:pPr>
      <w:r>
        <w:t xml:space="preserve">El documento sigue la estructura del estándar IEEE 830-1998 para especificaciones de requisitos de software.</w:t>
      </w:r>
    </w:p>
    <w:p>
      <w:pPr>
        <w:pStyle w:val="Heading1"/>
      </w:pPr>
      <w:r>
        <w:t xml:space="preserve">2. Propósito</w:t>
      </w:r>
    </w:p>
    <w:p>
      <w:pPr>
        <w:spacing w:after="120" w:line="300"/>
        <w:jc w:val="both"/>
      </w:pPr>
      <w:r>
        <w:t xml:space="preserve">Definir de forma clara y verificable qué debe hacer el sistema y bajo qué condiciones, para que sirva de base al diseño, la implementación, las pruebas y la evaluación del proyecto. Está dirigido al tutor de la asignatura y a los integrantes del grupo de desarrollo.</w:t>
      </w:r>
    </w:p>
    <w:p>
      <w:pPr>
        <w:pStyle w:val="Heading1"/>
      </w:pPr>
      <w:r>
        <w:t xml:space="preserve">3. Alcance</w:t>
      </w:r>
    </w:p>
    <w:p>
      <w:pPr>
        <w:spacing w:after="120" w:line="300"/>
        <w:jc w:val="both"/>
      </w:pPr>
      <w:r>
        <w:t xml:space="preserve">El producto se denomina «EurekaBank SOAP .NET». Incluye:</w:t>
      </w:r>
    </w:p>
    <w:p>
      <w:pPr>
        <w:pStyle w:val="ListParagraph"/>
        <w:numPr>
          <w:ilvl w:val="0"/>
          <w:numId w:val="2"/>
        </w:numPr>
        <w:spacing w:after="60" w:line="276"/>
      </w:pPr>
      <w:r>
        <w:t xml:space="preserve">La base de datos EUREKABANK en SQL Server (modelo de cuentas de ahorro: clientes, cuentas, monedas, sucursales, empleados, tipos de movimiento y movimientos) con datos de prueba.</w:t>
      </w:r>
    </w:p>
    <w:p>
      <w:pPr>
        <w:pStyle w:val="ListParagraph"/>
        <w:numPr>
          <w:ilvl w:val="0"/>
          <w:numId w:val="2"/>
        </w:numPr>
        <w:spacing w:after="60" w:line="276"/>
      </w:pPr>
      <w:r>
        <w:t xml:space="preserve">Un servidor WCF (.NET Framework 4.7.2) que ofrece 6 operaciones SOAP: login, consultarCuenta, traerMovimientos, registrarDeposito, registrarRetiro y registrarTransferencia.</w:t>
      </w:r>
    </w:p>
    <w:p>
      <w:pPr>
        <w:pStyle w:val="ListParagraph"/>
        <w:numPr>
          <w:ilvl w:val="0"/>
          <w:numId w:val="2"/>
        </w:numPr>
        <w:spacing w:after="60" w:line="276"/>
      </w:pPr>
      <w:r>
        <w:t xml:space="preserve">Cliente de consola (CLICON), cliente de escritorio Windows Forms (CLIESC), cliente web ASP.NET Core MVC (CLIWEB) y cliente móvil Android en .NET MAUI, sucesor de Xamarin (CLIMOV).</w:t>
      </w:r>
    </w:p>
    <w:p>
      <w:pPr>
        <w:spacing w:after="120" w:line="300"/>
        <w:jc w:val="both"/>
      </w:pPr>
      <w:r>
        <w:t xml:space="preserve">Fuera del alcance: apertura y cancelación de cuentas, mantenimiento de clientes y empleados, cálculo de intereses, ITF, cargos de mantenimiento y reportes. Las tablas para esas funciones existen en el modelo, pero no se usan en esta versión.</w:t>
      </w:r>
    </w:p>
    <w:p>
      <w:pPr>
        <w:pStyle w:val="Heading1"/>
      </w:pPr>
      <w:r>
        <w:t xml:space="preserve">4. Definiciones, Acrónimos y Abreviaturas</w:t>
      </w:r>
    </w:p>
    <w:p>
      <w:pPr>
        <w:pStyle w:val="Heading2"/>
      </w:pPr>
      <w:r>
        <w:t xml:space="preserve">4.1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Término</w:t>
            </w:r>
          </w:p>
        </w:tc>
        <w:tc>
          <w:tcPr>
            <w:tcW w:type="dxa" w:w="66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Definición</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Servicio web</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Componente de software que expone operaciones a través de la red mediante estándares abiertos.</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 de ahorro identificada por 8 dígitos, con moneda, saldo, estado y contador de movimientos.</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Movimiento</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Registro de una operación sobre una cuenta: número correlativo, fecha, tipo, importe y empleado.</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Tipo de movimiento</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003 Depósito y 008 Transferencia son INGRESO; 004 Retiro y 009 Transferencia son SALIDA.</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Transacción</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Conjunto de instrucciones SQL que se confirman juntas (COMMIT) o se deshacen juntas (ROLLBACK).</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SOAP Fault</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Respuesta de error de SOAP; aquí lleva un ErrorServicio { Codigo, Mensaje }.</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Usuario que inicia sesión; su código queda grabado en cada movimiento.</w:t>
            </w:r>
          </w:p>
        </w:tc>
      </w:tr>
    </w:tbl>
    <w:p>
      <w:pPr>
        <w:pStyle w:val="Heading2"/>
      </w:pPr>
      <w:r>
        <w:t xml:space="preserve">4.2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Sigla</w:t>
            </w:r>
          </w:p>
        </w:tc>
        <w:tc>
          <w:tcPr>
            <w:tcW w:type="dxa" w:w="66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Significado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SOAP</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Simple Object Access Protocol</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WSDL</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Web Services Description Language</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WCF</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Windows Communication Foundation</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BDD</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Base de datos</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SQL</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Structured Query Language</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ADO.NET</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Biblioteca de acceso a datos de .NET (SqlConnection, SqlCommand)</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MER</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Modelo entidad-relación</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MVC</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Modelo – Vista – Controlador</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ERS</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Especificación de Requisitos de Software</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 / RNF</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Requisito funcional / no funcional</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Caso de uso</w:t>
            </w:r>
          </w:p>
        </w:tc>
      </w:tr>
    </w:tbl>
    <w:p>
      <w:pPr>
        <w:pStyle w:val="Heading1"/>
      </w:pPr>
      <w:r>
        <w:t xml:space="preserve">5. Referencias</w:t>
      </w:r>
    </w:p>
    <w:p>
      <w:pPr>
        <w:pStyle w:val="ListParagraph"/>
        <w:numPr>
          <w:ilvl w:val="0"/>
          <w:numId w:val="2"/>
        </w:numPr>
        <w:spacing w:after="60" w:line="276"/>
      </w:pPr>
      <w:r>
        <w:t xml:space="preserve">IEEE Std 830-1998, Recommended Practice for Software Requirements Specifications.</w:t>
      </w:r>
    </w:p>
    <w:p>
      <w:pPr>
        <w:pStyle w:val="ListParagraph"/>
        <w:numPr>
          <w:ilvl w:val="0"/>
          <w:numId w:val="2"/>
        </w:numPr>
        <w:spacing w:after="60" w:line="276"/>
      </w:pPr>
      <w:r>
        <w:t xml:space="preserve">W3C, Simple Object Access Protocol (SOAP) 1.1 y Web Services Description Language (WSDL) 1.1.</w:t>
      </w:r>
    </w:p>
    <w:p>
      <w:pPr>
        <w:pStyle w:val="ListParagraph"/>
        <w:numPr>
          <w:ilvl w:val="0"/>
          <w:numId w:val="2"/>
        </w:numPr>
        <w:spacing w:after="60" w:line="276"/>
      </w:pPr>
      <w:r>
        <w:t xml:space="preserve">Microsoft Learn, documentación de WCF, ADO.NET (System.Data.SqlClient), SQL Server, ASP.NET Core y .NET MAUI.</w:t>
      </w:r>
    </w:p>
    <w:p>
      <w:pPr>
        <w:pStyle w:val="ListParagraph"/>
        <w:numPr>
          <w:ilvl w:val="0"/>
          <w:numId w:val="2"/>
        </w:numPr>
        <w:spacing w:after="60" w:line="276"/>
      </w:pPr>
      <w:r>
        <w:t xml:space="preserve">Coronel Castillo, E. G. Modelo de base de datos EurekaBank (scripts para SQL Server).</w:t>
      </w:r>
    </w:p>
    <w:p>
      <w:pPr>
        <w:pStyle w:val="ListParagraph"/>
        <w:numPr>
          <w:ilvl w:val="0"/>
          <w:numId w:val="2"/>
        </w:numPr>
        <w:spacing w:after="60" w:line="276"/>
      </w:pPr>
      <w:r>
        <w:t xml:space="preserve">Material de la asignatura Arquitectura de Software, ESPE.</w:t>
      </w:r>
    </w:p>
    <w:p>
      <w:pPr>
        <w:pStyle w:val="Heading1"/>
      </w:pPr>
      <w:r>
        <w:t xml:space="preserve">6. Visión General del Documento</w:t>
      </w:r>
    </w:p>
    <w:p>
      <w:pPr>
        <w:spacing w:after="120" w:line="300"/>
        <w:jc w:val="both"/>
      </w:pPr>
      <w:r>
        <w:t xml:space="preserve">La sección 7 describe el producto, sus funciones, usuarios, entorno y restricciones. La sección 8 detalla los requisitos funcionales y no funcionales. La sección 9 recoge los requisitos de rendimiento, de la base de datos y de interfaces externas. La especificación detallada de cada caso de uso está en el documento ECUD.</w:t>
      </w:r>
    </w:p>
    <w:p>
      <w:pPr>
        <w:pStyle w:val="Heading1"/>
      </w:pPr>
      <w:r>
        <w:t xml:space="preserve">7. Descripción General</w:t>
      </w:r>
    </w:p>
    <w:p>
      <w:pPr>
        <w:pStyle w:val="Heading2"/>
      </w:pPr>
      <w:r>
        <w:t xml:space="preserve">7.1 Perspectiva del Producto</w:t>
      </w:r>
    </w:p>
    <w:p>
      <w:pPr>
        <w:spacing w:after="120" w:line="300"/>
        <w:jc w:val="both"/>
      </w:pPr>
      <w:r>
        <w:t xml:space="preserve">Es un sistema distribuido de tres niveles: los clientes presentan la información, el servidor SOAP concentra las reglas del banco y la base de datos guarda cuentas y movimientos. Los clientes nunca acceden a la base de datos directamente; solo el servidor, a través de la clase Singleton ConexionBD.</w:t>
      </w:r>
    </w:p>
    <w:p>
      <w:pPr>
        <w:spacing w:before="120"/>
        <w:jc w:val="center"/>
      </w:pPr>
      <w:r>
        <w:drawing>
          <wp:inline distT="0" distB="0" distL="0" distR="0">
            <wp:extent cx="5715000" cy="5591175"/>
            <wp:effectExtent t="0" r="0" b="0" l="0"/>
            <wp:docPr id="1" name="DArq_EurekaBank.png"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91175"/>
                    </a:xfrm>
                    <a:prstGeom prst="rect">
                      <a:avLst/>
                    </a:prstGeom>
                  </pic:spPr>
                </pic:pic>
              </a:graphicData>
            </a:graphic>
          </wp:inline>
        </w:drawing>
      </w:r>
    </w:p>
    <w:p>
      <w:pPr>
        <w:spacing w:after="240"/>
        <w:jc w:val="center"/>
      </w:pPr>
      <w:r>
        <w:rPr>
          <w:i/>
          <w:iCs/>
          <w:color w:val="555555"/>
          <w:sz w:val="18"/>
          <w:szCs w:val="18"/>
        </w:rPr>
        <w:t xml:space="preserve">Figura 1. Arquitectura general del sistema.</w:t>
      </w:r>
    </w:p>
    <w:p>
      <w:pPr>
        <w:pStyle w:val="Heading2"/>
      </w:pPr>
      <w:r>
        <w:t xml:space="preserve">7.2 Funciones del Producto (software)</w:t>
      </w:r>
    </w:p>
    <w:p>
      <w:pPr>
        <w:pStyle w:val="ListParagraph"/>
        <w:numPr>
          <w:ilvl w:val="0"/>
          <w:numId w:val="2"/>
        </w:numPr>
        <w:spacing w:after="60" w:line="276"/>
      </w:pPr>
      <w:r>
        <w:t xml:space="preserve">Iniciar sesión con usuario y clave de la tabla Empleado.</w:t>
      </w:r>
    </w:p>
    <w:p>
      <w:pPr>
        <w:pStyle w:val="ListParagraph"/>
        <w:numPr>
          <w:ilvl w:val="0"/>
          <w:numId w:val="2"/>
        </w:numPr>
        <w:spacing w:after="60" w:line="276"/>
      </w:pPr>
      <w:r>
        <w:t xml:space="preserve">Consultar los datos, el saldo y los movimientos de una cuenta.</w:t>
      </w:r>
    </w:p>
    <w:p>
      <w:pPr>
        <w:pStyle w:val="ListParagraph"/>
        <w:numPr>
          <w:ilvl w:val="0"/>
          <w:numId w:val="2"/>
        </w:numPr>
        <w:spacing w:after="60" w:line="276"/>
      </w:pPr>
      <w:r>
        <w:t xml:space="preserve">Registrar depósitos, retiros y transferencias con su movimiento en la base de datos.</w:t>
      </w:r>
    </w:p>
    <w:p>
      <w:pPr>
        <w:pStyle w:val="ListParagraph"/>
        <w:numPr>
          <w:ilvl w:val="0"/>
          <w:numId w:val="2"/>
        </w:numPr>
        <w:spacing w:after="60" w:line="276"/>
      </w:pPr>
      <w:r>
        <w:t xml:space="preserve">Validar formato y reglas del banco con mensajes claros.</w:t>
      </w:r>
    </w:p>
    <w:p>
      <w:pPr>
        <w:pStyle w:val="ListParagraph"/>
        <w:numPr>
          <w:ilvl w:val="0"/>
          <w:numId w:val="2"/>
        </w:numPr>
        <w:spacing w:after="60" w:line="276"/>
      </w:pPr>
      <w:r>
        <w:t xml:space="preserve">Listar las operaciones de la sesión, cerrar sesión y configurar la dirección del servidor.</w:t>
      </w:r>
    </w:p>
    <w:p>
      <w:pPr>
        <w:spacing w:before="120"/>
        <w:jc w:val="center"/>
      </w:pPr>
      <w:r>
        <w:drawing>
          <wp:inline distT="0" distB="0" distL="0" distR="0">
            <wp:extent cx="5715000" cy="4448175"/>
            <wp:effectExtent t="0" r="0" b="0" l="0"/>
            <wp:docPr id="2" name="DCU_EurekaBank.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48175"/>
                    </a:xfrm>
                    <a:prstGeom prst="rect">
                      <a:avLst/>
                    </a:prstGeom>
                  </pic:spPr>
                </pic:pic>
              </a:graphicData>
            </a:graphic>
          </wp:inline>
        </w:drawing>
      </w:r>
    </w:p>
    <w:p>
      <w:pPr>
        <w:spacing w:after="240"/>
        <w:jc w:val="center"/>
      </w:pPr>
      <w:r>
        <w:rPr>
          <w:i/>
          <w:iCs/>
          <w:color w:val="555555"/>
          <w:sz w:val="18"/>
          <w:szCs w:val="18"/>
        </w:rPr>
        <w:t xml:space="preserve">Figura 2. Diagrama de casos de uso.</w:t>
      </w:r>
    </w:p>
    <w:p>
      <w:pPr>
        <w:pStyle w:val="Heading2"/>
      </w:pPr>
      <w:r>
        <w:t xml:space="preserve">7.3 Condiciones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66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Entorno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Base de datos</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SQL Server 2019/2022 (Developer o Express) en modo de autenticación mixto, base EUREKABANK y login monster.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Servidor</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Windows 10/11 con .NET Framework 4.7.2+, IIS Express (Visual Studio) o IIS con Activación HTTP de WCF, puerto 8087.</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CLICON / CLIESC</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Windows con .NET Framework 4.7.2 o superior.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CLIWEB</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.NET 8 (Kestrel, puerto 5087) y un navegador moderno.</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CLIMOV</w:t>
            </w:r>
          </w:p>
        </w:tc>
        <w:tc>
          <w:tcPr>
            <w:tcW w:type="dxa" w:w="66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Android 7.0 (API 24) o superior, celular real en la misma red WiFi que el servidor.</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Desarrollo</w:t>
            </w:r>
          </w:p>
        </w:tc>
        <w:tc>
          <w:tcPr>
            <w:tcW w:type="dxa" w:w="66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Visual Studio 2022 (ASP.NET y web con WCF, escritorio .NET y .NET MAUI) y SQL Server Management Studio o sqlcmd.</w:t>
            </w:r>
          </w:p>
        </w:tc>
      </w:tr>
    </w:tbl>
    <w:p>
      <w:pPr>
        <w:pStyle w:val="Heading2"/>
      </w:pPr>
      <w:r>
        <w:t xml:space="preserve">7.4 Características de los Usuarios</w:t>
      </w:r>
    </w:p>
    <w:p>
      <w:pPr>
        <w:spacing w:after="120" w:line="300"/>
        <w:jc w:val="both"/>
      </w:pPr>
      <w:r>
        <w:t xml:space="preserve">Un único tipo de usuario: el empleado del banco que atiende en ventanilla. Conoce las operaciones bancarias básicas; no necesita conocimientos técnicos. Para las pruebas se usa el empleado monster / monster (código 0012).</w:t>
      </w:r>
    </w:p>
    <w:p>
      <w:pPr>
        <w:pStyle w:val="Heading2"/>
      </w:pPr>
      <w:r>
        <w:t xml:space="preserve">7.5 Interfaces Externas</w:t>
      </w:r>
    </w:p>
    <w:p>
      <w:pPr>
        <w:pStyle w:val="ListParagraph"/>
        <w:numPr>
          <w:ilvl w:val="0"/>
          <w:numId w:val="2"/>
        </w:numPr>
        <w:spacing w:after="60" w:line="276"/>
      </w:pPr>
      <w:r>
        <w:t xml:space="preserve">Interfaz de software: servicio SOAP en http://&lt;servidor&gt;:8087/WSEureka.svc y contrato en ?wsdl.</w:t>
      </w:r>
    </w:p>
    <w:p>
      <w:pPr>
        <w:pStyle w:val="ListParagraph"/>
        <w:numPr>
          <w:ilvl w:val="0"/>
          <w:numId w:val="2"/>
        </w:numPr>
        <w:spacing w:after="60" w:line="276"/>
      </w:pPr>
      <w:r>
        <w:t xml:space="preserve">Interfaz de datos: SQL Server por ADO.NET con la cadena de conexión «EurekaBank» de Web.config.</w:t>
      </w:r>
    </w:p>
    <w:p>
      <w:pPr>
        <w:pStyle w:val="ListParagraph"/>
        <w:numPr>
          <w:ilvl w:val="0"/>
          <w:numId w:val="2"/>
        </w:numPr>
        <w:spacing w:after="60" w:line="276"/>
      </w:pPr>
      <w:r>
        <w:t xml:space="preserve">Interfaces de usuario: consola de texto, ventanas Windows Forms, páginas web y pantallas Android.</w:t>
      </w:r>
    </w:p>
    <w:p>
      <w:pPr>
        <w:pStyle w:val="ListParagraph"/>
        <w:numPr>
          <w:ilvl w:val="0"/>
          <w:numId w:val="2"/>
        </w:numPr>
        <w:spacing w:after="60" w:line="276"/>
      </w:pPr>
      <w:r>
        <w:t xml:space="preserve">Interfaz de comunicaciones: HTTP sobre TCP/IP en red local.</w:t>
      </w:r>
    </w:p>
    <w:p>
      <w:pPr>
        <w:pStyle w:val="Heading2"/>
      </w:pPr>
      <w:r>
        <w:t xml:space="preserve">7.6 Restricciones</w:t>
      </w:r>
    </w:p>
    <w:p>
      <w:pPr>
        <w:pStyle w:val="ListParagraph"/>
        <w:numPr>
          <w:ilvl w:val="0"/>
          <w:numId w:val="2"/>
        </w:numPr>
        <w:spacing w:after="60" w:line="276"/>
      </w:pPr>
      <w:r>
        <w:t xml:space="preserve">El servicio debe implementarse con SOAP en .NET y una base de datos SQL Server.</w:t>
      </w:r>
    </w:p>
    <w:p>
      <w:pPr>
        <w:pStyle w:val="ListParagraph"/>
        <w:numPr>
          <w:ilvl w:val="0"/>
          <w:numId w:val="2"/>
        </w:numPr>
        <w:spacing w:after="60" w:line="276"/>
      </w:pPr>
      <w:r>
        <w:t xml:space="preserve">Código del servidor en el paquete ec.edu.monster, con el acceso a datos en ec.edu.monster.db aplicando el patrón Singleton.</w:t>
      </w:r>
    </w:p>
    <w:p>
      <w:pPr>
        <w:pStyle w:val="ListParagraph"/>
        <w:numPr>
          <w:ilvl w:val="0"/>
          <w:numId w:val="2"/>
        </w:numPr>
        <w:spacing w:after="60" w:line="276"/>
      </w:pPr>
      <w:r>
        <w:t xml:space="preserve">Clientes organizados en modelo, vista y controlador.</w:t>
      </w:r>
    </w:p>
    <w:p>
      <w:pPr>
        <w:pStyle w:val="ListParagraph"/>
        <w:numPr>
          <w:ilvl w:val="0"/>
          <w:numId w:val="2"/>
        </w:numPr>
        <w:spacing w:after="60" w:line="276"/>
      </w:pPr>
      <w:r>
        <w:t xml:space="preserve">Comunicación por HTTP sin cifrado (entorno académico de red local).</w:t>
      </w:r>
    </w:p>
    <w:p>
      <w:pPr>
        <w:pStyle w:val="Heading1"/>
      </w:pPr>
      <w:r>
        <w:t xml:space="preserve">8. Especificación de Requerimientos</w:t>
      </w:r>
    </w:p>
    <w:p>
      <w:pPr>
        <w:pStyle w:val="Heading2"/>
      </w:pPr>
      <w:r>
        <w:t xml:space="preserve">8.1 Requisitos comunes de las interfaces</w:t>
      </w:r>
    </w:p>
    <w:p>
      <w:pPr>
        <w:pStyle w:val="ListParagraph"/>
        <w:numPr>
          <w:ilvl w:val="0"/>
          <w:numId w:val="2"/>
        </w:numPr>
        <w:spacing w:after="60" w:line="276"/>
      </w:pPr>
      <w:r>
        <w:t xml:space="preserve">Todos los clientes siguen la misma secuencia: ingreso → menú (Movimientos, Depósito, Retiro, Transferencia) → operación.</w:t>
      </w:r>
    </w:p>
    <w:p>
      <w:pPr>
        <w:pStyle w:val="ListParagraph"/>
        <w:numPr>
          <w:ilvl w:val="0"/>
          <w:numId w:val="2"/>
        </w:numPr>
        <w:spacing w:after="60" w:line="276"/>
      </w:pPr>
      <w:r>
        <w:t xml:space="preserve">Misma paleta: azul para consultas, verde para depósitos, rojo para retiros y morado para transferencias.</w:t>
      </w:r>
    </w:p>
    <w:p>
      <w:pPr>
        <w:pStyle w:val="ListParagraph"/>
        <w:numPr>
          <w:ilvl w:val="0"/>
          <w:numId w:val="2"/>
        </w:numPr>
        <w:spacing w:after="60" w:line="276"/>
      </w:pPr>
      <w:r>
        <w:t xml:space="preserve">Los errores se muestran dentro de la pantalla en rojo y en español; el saldo nuevo se muestra después de cada operación.</w:t>
      </w:r>
    </w:p>
    <w:p>
      <w:pPr>
        <w:pStyle w:val="ListParagraph"/>
        <w:numPr>
          <w:ilvl w:val="0"/>
          <w:numId w:val="2"/>
        </w:numPr>
        <w:spacing w:after="60" w:line="276"/>
      </w:pPr>
      <w:r>
        <w:t xml:space="preserve">La dirección del servidor en uso es visible para el usuario.</w:t>
      </w:r>
    </w:p>
    <w:p>
      <w:pPr>
        <w:pStyle w:val="Heading2"/>
      </w:pPr>
      <w:r>
        <w:t xml:space="preserve">8.2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326"/>
        <w:gridCol w:w="1000"/>
      </w:tblGrid>
      <w:tr>
        <w:trPr>
          <w:tblHeader/>
        </w:trPr>
        <w:tc>
          <w:tcPr>
            <w:tcW w:type="dxa" w:w="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Nombre</w:t>
            </w:r>
          </w:p>
        </w:tc>
        <w:tc>
          <w:tcPr>
            <w:tcW w:type="dxa" w:w="5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Descripción</w:t>
            </w:r>
          </w:p>
        </w:tc>
        <w:tc>
          <w:tcPr>
            <w:tcW w:type="dxa" w:w="10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Prioridad</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RF01</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Iniciar sesión</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El sistema debe validar usuario y clave contra la tabla Empleado de la base EUREKABANK mediante la operación SOAP login. Si son correctos devuelve el empleado (código, usuario y nombre); si no, devuelve null.</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RF02</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Limitar intentos</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Después de 3 intentos fallidos el cliente debe bloquear el ingreso e informar al usuario. Un error de conexión no cuenta como intento.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RF03</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Consultar cuenta</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Mostrar el cliente, la moneda, la sucursal, el estado, la fecha de creación y el saldo de una cuenta (operación consultarCuenta).</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RF04</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Consultar movimientos</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Listar los movimientos de la cuenta, el más reciente primero, con número, fecha, tipo, acción (INGRESO/SALIDA), importe, empleado y cuenta de referencia (operación traerMovimientos).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RF05</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Registrar depósito</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Sumar el importe al saldo, incrementar el contador de movimientos y registrar un movimiento de tipo 003 con el código del empleado de la sesión. Devuelve el nuevo saldo.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RF06</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Registrar retiro</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Validar que el saldo alcance, restar el importe y registrar un movimiento de tipo 004. Devuelve el nuevo saldo.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RF07</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Registrar transferencia</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Entre dos cuentas distintas, activas y de la misma moneda: movimiento 009 (salida) en la cuenta de origen y 008 (ingreso) en la de destino, cada uno con la otra cuenta como referencia. Devuelve el saldo de la cuenta de origen.</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RF08</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Validar reglas de negocio</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debe rechazar cuentas inexistentes o no activas (CANCELADO), saldo insuficiente, monedas distintas y empleados inexistentes con un SOAP Fault REGLA_NEGOCIO y un mensaje en español.</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RF09</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Validar formato</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 de 8 dígitos; importe mayor que cero, con máximo 2 decimales y hasta 1 000 000. Los clientes lo validan antes de llamar al servidor y el servidor lo vuelve a validar (VALOR_INVALIDO).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RF10</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Confirmar operaciones</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Antes de registrar un depósito, retiro o transferencia, el cliente debe pedir confirmación indicando importe y cuentas.</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RF11</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Operaciones de la sesión</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Los clientes gráficos deben listar las operaciones registradas durante la sesión con la hora y el nuevo saldo.</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Baja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RF12</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Cerrar sesión</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usuario debe poder cerrar sesión y volver a la pantalla de ingreso.</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RF13</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Configurar servidor</w:t>
            </w:r>
          </w:p>
        </w:tc>
        <w:tc>
          <w:tcPr>
            <w:tcW w:type="dxa" w:w="5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La dirección del servidor se configura sin recompilar: App.config (consola y escritorio), appsettings.json (web) y pantalla de ingreso (móvil).</w:t>
            </w:r>
          </w:p>
        </w:tc>
        <w:tc>
          <w:tcPr>
            <w:tcW w:type="dxa" w:w="10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RF14</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Publicar el contrato</w:t>
            </w:r>
          </w:p>
        </w:tc>
        <w:tc>
          <w:tcPr>
            <w:tcW w:type="dxa" w:w="5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debe publicar su WSDL en /WSEureka.svc?wsdl para que cualquier cliente SOAP lo consuma.</w:t>
            </w:r>
          </w:p>
        </w:tc>
        <w:tc>
          <w:tcPr>
            <w:tcW w:type="dxa" w:w="10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Alta</w:t>
            </w:r>
          </w:p>
        </w:tc>
      </w:tr>
    </w:tbl>
    <w:p>
      <w:pPr>
        <w:pStyle w:val="Heading2"/>
      </w:pPr>
      <w:r>
        <w:t xml:space="preserve">8.3 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326"/>
      </w:tblGrid>
      <w:tr>
        <w:trPr>
          <w:tblHeader/>
        </w:trPr>
        <w:tc>
          <w:tcPr>
            <w:tcW w:type="dxa" w:w="8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Atributo</w:t>
            </w:r>
          </w:p>
        </w:tc>
        <w:tc>
          <w:tcPr>
            <w:tcW w:type="dxa" w:w="63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Descripción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RNF01</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Interoperabilidad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SOAP 1.1 sobre HTTP (basicHttpBinding) con namespace http://espe.edu.ec/eureka/, consumible desde .NET Framework (ChannelFactory), .NET 8 (System.ServiceModel) y Android (sobre XML con HttpClient).</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RNF02</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Integridad de los datos</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Cada depósito, retiro y transferencia se ejecuta en una transacción de SQL Server: se actualiza el saldo y se inserta el movimiento, o no se hace nada. Las cuentas se leen con UPDLOCK para que dos operaciones simultáneas no se pisen.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RNF03</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Exactitud monetaria</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Importes y saldos con tipo decimal en .NET, MONEY en SQL Server y xs:decimal en SOAP: sin errores de redondeo de punto flotante. Se muestran con 2 decimales y separador de miles.</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RNF04</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Seguridad</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El servidor entra a SQL Server con el login monster (solo lectura y escritura de datos, sin permisos de administración). Consultas parametrizadas (sin concatenar SQL). No se exponen detalles internos de las excepciones. Formularios web con token antifalsificación y páginas protegidas por sesión.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RNF05</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Usabilidad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Mensajes en español y sin términos técnicos; saldo destacado; ingresos en verde y salidas en rojo; el mismo flujo y colores en los cuatro clientes.</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RNF06</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Tolerancia a fallos</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Si el servidor o SQL Server no responden, el cliente informa con un mensaje claro sin cerrarse (ERROR_BD, tiempo de espera o conexión).</w:t>
            </w:r>
          </w:p>
        </w:tc>
      </w:tr>
      <w:tr>
        <w:tc>
          <w:tcPr>
            <w:tcW w:type="dxa" w:w="8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RNF07</w:t>
            </w:r>
          </w:p>
        </w:tc>
        <w:tc>
          <w:tcPr>
            <w:tcW w:type="dxa" w:w="1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Mantenibilidad</w:t>
            </w:r>
          </w:p>
        </w:tc>
        <w:tc>
          <w:tcPr>
            <w:tcW w:type="dxa" w:w="63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Paquetes ec.edu.monster: db, modelo, servicio y ws en el servidor; modelo, vista, controlador y servicio en los clientes (MVC). Patrón Singleton en ConexionBD, EurekaServicio y el cliente SOAP de cada aplicación.</w:t>
            </w:r>
          </w:p>
        </w:tc>
      </w:tr>
      <w:tr>
        <w:tc>
          <w:tcPr>
            <w:tcW w:type="dxa" w:w="8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RNF08</w:t>
            </w:r>
          </w:p>
        </w:tc>
        <w:tc>
          <w:tcPr>
            <w:tcW w:type="dxa" w:w="1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Portabilidad</w:t>
            </w:r>
          </w:p>
        </w:tc>
        <w:tc>
          <w:tcPr>
            <w:tcW w:type="dxa" w:w="63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Clientes para consola, escritorio Windows, navegador web (adaptable a celular) y Android 7.0 o superior.</w:t>
            </w:r>
          </w:p>
        </w:tc>
      </w:tr>
    </w:tbl>
    <w:p>
      <w:pPr>
        <w:pStyle w:val="Heading1"/>
      </w:pPr>
      <w:r>
        <w:t xml:space="preserve">9. Requisitos de Rendimiento</w:t>
      </w:r>
    </w:p>
    <w:p>
      <w:pPr>
        <w:pStyle w:val="ListParagraph"/>
        <w:numPr>
          <w:ilvl w:val="0"/>
          <w:numId w:val="2"/>
        </w:numPr>
        <w:spacing w:after="60" w:line="276"/>
      </w:pPr>
      <w:r>
        <w:t xml:space="preserve">Cada consulta u operación debe responder en menos de 2 segundos en red local.</w:t>
      </w:r>
    </w:p>
    <w:p>
      <w:pPr>
        <w:pStyle w:val="ListParagraph"/>
        <w:numPr>
          <w:ilvl w:val="0"/>
          <w:numId w:val="2"/>
        </w:numPr>
        <w:spacing w:after="60" w:line="276"/>
      </w:pPr>
      <w:r>
        <w:t xml:space="preserve">El servidor debe atender peticiones simultáneas de los cuatro clientes; las operaciones sobre la misma cuenta se ordenan con bloqueos de fila (UPDLOCK) dentro de la transacción.</w:t>
      </w:r>
    </w:p>
    <w:p>
      <w:pPr>
        <w:pStyle w:val="ListParagraph"/>
        <w:numPr>
          <w:ilvl w:val="0"/>
          <w:numId w:val="2"/>
        </w:numPr>
        <w:spacing w:after="60" w:line="276"/>
      </w:pPr>
      <w:r>
        <w:t xml:space="preserve">Los clientes gráficos no deben congelarse mientras esperan al servidor (llamadas asíncronas).</w:t>
      </w:r>
    </w:p>
    <w:p>
      <w:pPr>
        <w:pStyle w:val="Heading2"/>
      </w:pPr>
      <w:r>
        <w:t xml:space="preserve">9.1. Requisitos de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Tabla</w:t>
            </w:r>
          </w:p>
        </w:tc>
        <w:tc>
          <w:tcPr>
            <w:tcW w:type="dxa" w:w="64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Uso en el sistema</w:t>
            </w:r>
          </w:p>
        </w:tc>
      </w:tr>
      <w:tr>
        <w:tc>
          <w:tcPr>
            <w:tcW w:type="dxa" w:w="26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w:t>
            </w:r>
          </w:p>
        </w:tc>
        <w:tc>
          <w:tcPr>
            <w:tcW w:type="dxa" w:w="64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Login (vch_emplusuario, vch_emplclave) y autor de cada movimiento (chr_emplcodigo).</w:t>
            </w:r>
          </w:p>
        </w:tc>
      </w:tr>
      <w:tr>
        <w:tc>
          <w:tcPr>
            <w:tcW w:type="dxa" w:w="26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64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(dec_cuensaldo MONEY), estado y contador de movimientos (int_cuencontmov).</w:t>
            </w:r>
          </w:p>
        </w:tc>
      </w:tr>
      <w:tr>
        <w:tc>
          <w:tcPr>
            <w:tcW w:type="dxa" w:w="26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Cliente, Moneda, Sucursal</w:t>
            </w:r>
          </w:p>
        </w:tc>
        <w:tc>
          <w:tcPr>
            <w:tcW w:type="dxa" w:w="64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Datos que se muestran al consultar la cuenta.</w:t>
            </w:r>
          </w:p>
        </w:tc>
      </w:tr>
      <w:tr>
        <w:tc>
          <w:tcPr>
            <w:tcW w:type="dxa" w:w="26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Movimiento</w:t>
            </w:r>
          </w:p>
        </w:tc>
        <w:tc>
          <w:tcPr>
            <w:tcW w:type="dxa" w:w="64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Una fila por operación; clave (chr_cuencodigo, int_movinumero).</w:t>
            </w:r>
          </w:p>
        </w:tc>
      </w:tr>
      <w:tr>
        <w:tc>
          <w:tcPr>
            <w:tcW w:type="dxa" w:w="26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TipoMovimiento</w:t>
            </w:r>
          </w:p>
        </w:tc>
        <w:tc>
          <w:tcPr>
            <w:tcW w:type="dxa" w:w="64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Descripción y acción (INGRESO / SALIDA) de cada tipo.</w:t>
            </w:r>
          </w:p>
        </w:tc>
      </w:tr>
    </w:tbl>
    <w:p>
      <w:pPr>
        <w:spacing w:before="120"/>
        <w:jc w:val="center"/>
      </w:pPr>
      <w:r>
        <w:drawing>
          <wp:inline distT="0" distB="0" distL="0" distR="0">
            <wp:extent cx="5715000" cy="2581275"/>
            <wp:effectExtent t="0" r="0" b="0" l="0"/>
            <wp:docPr id="3" name="MER_Fisico_EurekaBank.png" descr="Modelo físico de la base de datos EUREKABANK." title="Modelo físico de la base de datos EUREKA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81275"/>
                    </a:xfrm>
                    <a:prstGeom prst="rect">
                      <a:avLst/>
                    </a:prstGeom>
                  </pic:spPr>
                </pic:pic>
              </a:graphicData>
            </a:graphic>
          </wp:inline>
        </w:drawing>
      </w:r>
    </w:p>
    <w:p>
      <w:pPr>
        <w:spacing w:after="240"/>
        <w:jc w:val="center"/>
      </w:pPr>
      <w:r>
        <w:rPr>
          <w:i/>
          <w:iCs/>
          <w:color w:val="555555"/>
          <w:sz w:val="18"/>
          <w:szCs w:val="18"/>
        </w:rPr>
        <w:t xml:space="preserve">Figura 3. Modelo físico de la base de datos EUREKABANK.</w:t>
      </w:r>
    </w:p>
    <w:p>
      <w:pPr>
        <w:pStyle w:val="Heading2"/>
      </w:pPr>
      <w:r>
        <w:t xml:space="preserve">9.2. Requisitos de Interfaces Externas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tblHeader/>
        </w:trPr>
        <w:tc>
          <w:tcPr>
            <w:tcW w:type="dxa" w:w="24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Operación SOAP</w:t>
            </w:r>
          </w:p>
        </w:tc>
        <w:tc>
          <w:tcPr>
            <w:tcW w:type="dxa" w:w="2900"/>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726"/>
            <w:tcBorders>
              <w:top w:val="single" w:color="BFCAD6" w:sz="4"/>
              <w:left w:val="single" w:color="BFCAD6" w:sz="4"/>
              <w:bottom w:val="single" w:color="BFCAD6" w:sz="4"/>
              <w:right w:val="single" w:color="BFCAD6" w:sz="4"/>
            </w:tcBorders>
            <w:shd w:fill="0B4F8A" w:color="auto" w:val="clear"/>
            <w:tcMar>
              <w:top w:type="dxa" w:w="60"/>
              <w:left w:type="dxa" w:w="100"/>
              <w:bottom w:type="dxa" w:w="60"/>
              <w:right w:type="dxa" w:w="100"/>
            </w:tcMar>
          </w:tcPr>
          <w:p>
            <w:pPr>
              <w:spacing w:after="40"/>
            </w:pPr>
            <w:r>
              <w:rPr>
                <w:b/>
                <w:bCs/>
                <w:color w:val="FFFFFF"/>
                <w:sz w:val="20"/>
                <w:szCs w:val="20"/>
              </w:rPr>
              <w:t xml:space="preserve">Respuesta</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login</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usuario, clave</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Empleado { Codigo, Usuario, Nombre } o nil</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consultarCuenta</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 { Codigo, Cliente, Moneda, Sucursal, Saldo, Estado, FechaCreacion, NumeroMovimientos }</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traerMovimientos</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lista de Movimiento { Numero, Fecha, Tipo, Accion, Importe, Empleado, CuentaReferencia }</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registrarDeposito</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 importe, codEmpleado</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nuevo saldo (decimal)</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registrarRetiro</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cuenta, importe, codEmpleado</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nuevo saldo (decimal)</w:t>
            </w:r>
          </w:p>
        </w:tc>
      </w:tr>
      <w:tr>
        <w:tc>
          <w:tcPr>
            <w:tcW w:type="dxa" w:w="24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registrarTransferencia</w:t>
            </w:r>
          </w:p>
        </w:tc>
        <w:tc>
          <w:tcPr>
            <w:tcW w:type="dxa" w:w="2900"/>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cuentaOrigen, cuentaDestino, importe, codEmpleado</w:t>
            </w:r>
          </w:p>
        </w:tc>
        <w:tc>
          <w:tcPr>
            <w:tcW w:type="dxa" w:w="3726"/>
            <w:tcBorders>
              <w:top w:val="single" w:color="BFCAD6" w:sz="4"/>
              <w:left w:val="single" w:color="BFCAD6" w:sz="4"/>
              <w:bottom w:val="single" w:color="BFCAD6" w:sz="4"/>
              <w:right w:val="single" w:color="BFCAD6" w:sz="4"/>
            </w:tcBorders>
            <w:shd w:fill="F6F9FC" w:color="auto" w:val="clear"/>
            <w:tcMar>
              <w:top w:type="dxa" w:w="60"/>
              <w:left w:type="dxa" w:w="100"/>
              <w:bottom w:type="dxa" w:w="60"/>
              <w:right w:type="dxa" w:w="100"/>
            </w:tcMar>
          </w:tcPr>
          <w:p>
            <w:pPr>
              <w:spacing w:after="40"/>
            </w:pPr>
            <w:r>
              <w:rPr>
                <w:b w:val="false"/>
                <w:bCs w:val="false"/>
                <w:sz w:val="20"/>
                <w:szCs w:val="20"/>
              </w:rPr>
              <w:t xml:space="preserve">saldo de la cuenta de origen (decimal)</w:t>
            </w:r>
          </w:p>
        </w:tc>
      </w:tr>
      <w:tr>
        <w:tc>
          <w:tcPr>
            <w:tcW w:type="dxa" w:w="24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(cualquier error)</w:t>
            </w:r>
          </w:p>
        </w:tc>
        <w:tc>
          <w:tcPr>
            <w:tcW w:type="dxa" w:w="290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w:t>
            </w:r>
          </w:p>
        </w:tc>
        <w:tc>
          <w:tcPr>
            <w:tcW w:type="dxa" w:w="372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40"/>
            </w:pPr>
            <w:r>
              <w:rPr>
                <w:b w:val="false"/>
                <w:bCs w:val="false"/>
                <w:sz w:val="20"/>
                <w:szCs w:val="20"/>
              </w:rPr>
              <w:t xml:space="preserve">SOAP Fault ErrorServicio { Codigo: VALOR_INVALIDO | REGLA_NEGOCIO | ERROR_BD, Mensaje }</w:t>
            </w:r>
          </w:p>
        </w:tc>
      </w:tr>
    </w:tbl>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ERS EurekaBank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B4F8A" w:sz="6" w:space="4"/>
      </w:pBdr>
      <w:spacing w:after="160" w:before="360"/>
      <w:outlineLvl w:val="0"/>
    </w:pPr>
    <w:rPr>
      <w:rFonts w:ascii="Calibri" w:cs="Calibri" w:eastAsia="Calibri" w:hAnsi="Calibri"/>
      <w:b/>
      <w:bCs/>
      <w:color w:val="0B4F8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82E54"/>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8e2b0399d39f6dd215a9bb7821d0b890c542a8.png"/><Relationship Id="rId10" Type="http://schemas.openxmlformats.org/officeDocument/2006/relationships/image" Target="media/9babbd1821426b6869579d3421230a8bad84d66e.png"/><Relationship Id="rId11" Type="http://schemas.openxmlformats.org/officeDocument/2006/relationships/image" Target="media/538219a72f416847a9d4cce18fd8331ac4fa84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EurekaBank SOAP .NET con BDD</dc:title>
  <dc:creator>Grupo 1</dc:creator>
  <cp:lastModifiedBy>Un-named</cp:lastModifiedBy>
  <cp:revision>1</cp:revision>
  <dcterms:created xsi:type="dcterms:W3CDTF">2026-10-24T19:30:55.438Z</dcterms:created>
  <dcterms:modified xsi:type="dcterms:W3CDTF">2026-10-24T19:30:55.441Z</dcterms:modified>
</cp:coreProperties>
</file>

<file path=docProps/custom.xml><?xml version="1.0" encoding="utf-8"?>
<Properties xmlns="http://schemas.openxmlformats.org/officeDocument/2006/custom-properties" xmlns:vt="http://schemas.openxmlformats.org/officeDocument/2006/docPropsVTypes"/>
</file>