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B4F8A"/>
          <w:sz w:val="28"/>
          <w:szCs w:val="28"/>
        </w:rPr>
        <w:t xml:space="preserve">UNIVERSIDAD DE LAS FUERZAS ARMADAS ESPE</w:t>
      </w:r>
    </w:p>
    <w:p>
      <w:pPr>
        <w:spacing w:after="80"/>
        <w:jc w:val="center"/>
      </w:pPr>
      <w:r>
        <w:rPr>
          <w:sz w:val="22"/>
          <w:szCs w:val="22"/>
        </w:rPr>
        <w:t xml:space="preserve">DEPARTAMENTO DE CIENCIAS DE LA COMPUTACIÓN</w:t>
      </w:r>
    </w:p>
    <w:p>
      <w:pPr>
        <w:spacing w:after="600"/>
        <w:jc w:val="center"/>
      </w:pPr>
      <w:r>
        <w:rPr>
          <w:sz w:val="22"/>
          <w:szCs w:val="22"/>
        </w:rPr>
        <w:t xml:space="preserve">ARQUITECTURA DE SOFTWARE</w:t>
      </w:r>
    </w:p>
    <w:p>
      <w:pPr>
        <w:spacing w:after="400"/>
        <w:jc w:val="center"/>
      </w:pPr>
      <w:r>
        <w:rPr>
          <w:b/>
          <w:bCs/>
          <w:color w:val="0B4F8A"/>
          <w:sz w:val="32"/>
          <w:szCs w:val="32"/>
        </w:rPr>
        <w:t xml:space="preserve">ESPECIFICACIÓN DE CASOS DE USO DETALLADA (ECUD)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Tema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 xml:space="preserve">SISTEMA BANCARIO EUREKABANK (MOVIMIENTOS, DEPÓSITOS, RETIROS Y TRANSFERENCIAS) UTILIZANDO SERVICIOS WEB SOAP EN .NET CON BASE DE DATOS SQL SERVER</w:t>
      </w:r>
    </w:p>
    <w:p>
      <w:pPr>
        <w:spacing w:after="400"/>
        <w:jc w:val="center"/>
      </w:pPr>
      <w:r>
        <w:rPr>
          <w:sz w:val="22"/>
          <w:szCs w:val="22"/>
        </w:rPr>
        <w:t xml:space="preserve">PAO 2026-51 · NRC 36884 · Grupo 1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Autores</w:t>
      </w:r>
    </w:p>
    <w:p>
      <w:pPr>
        <w:spacing w:after="40"/>
        <w:jc w:val="center"/>
      </w:pPr>
      <w:r>
        <w:rPr>
          <w:sz w:val="24"/>
          <w:szCs w:val="24"/>
        </w:rPr>
        <w:t xml:space="preserve">Buestan Wilmer</w:t>
      </w:r>
    </w:p>
    <w:p>
      <w:pPr>
        <w:spacing w:after="40"/>
        <w:jc w:val="center"/>
      </w:pPr>
      <w:r>
        <w:rPr>
          <w:sz w:val="24"/>
          <w:szCs w:val="24"/>
        </w:rPr>
        <w:t xml:space="preserve">Masapanta Jefferson</w:t>
      </w:r>
    </w:p>
    <w:p>
      <w:pPr>
        <w:spacing w:after="400"/>
        <w:jc w:val="center"/>
      </w:pPr>
      <w:r>
        <w:rPr>
          <w:sz w:val="24"/>
          <w:szCs w:val="24"/>
        </w:rPr>
        <w:t xml:space="preserve">Benalcazar Moises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Tutor</w:t>
      </w:r>
    </w:p>
    <w:p>
      <w:pPr>
        <w:spacing w:after="20"/>
        <w:jc w:val="center"/>
      </w:pPr>
      <w:r>
        <w:rPr>
          <w:sz w:val="24"/>
          <w:szCs w:val="24"/>
        </w:rPr>
        <w:t xml:space="preserve">Ing. Eduardo Mauricio Campaña Ortega</w:t>
      </w:r>
    </w:p>
    <w:p>
      <w:pPr>
        <w:spacing w:after="20"/>
        <w:jc w:val="center"/>
      </w:pPr>
      <w:r>
        <w:rPr>
          <w:sz w:val="20"/>
          <w:szCs w:val="20"/>
        </w:rPr>
        <w:t xml:space="preserve">MIS.MDU.CCNA.CCIA.</w:t>
      </w:r>
    </w:p>
    <w:p>
      <w:pPr>
        <w:spacing w:after="20"/>
        <w:jc w:val="center"/>
      </w:pPr>
      <w:r>
        <w:rPr>
          <w:sz w:val="20"/>
          <w:szCs w:val="20"/>
        </w:rPr>
        <w:t xml:space="preserve">PhD. (c) Ingeniería de Software</w:t>
      </w:r>
    </w:p>
    <w:p>
      <w:pPr>
        <w:spacing w:after="400"/>
        <w:jc w:val="center"/>
      </w:pPr>
      <w:r>
        <w:rPr>
          <w:sz w:val="20"/>
          <w:szCs w:val="20"/>
        </w:rPr>
        <w:t xml:space="preserve">PhD. (c) Seguridad Información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Fecha</w:t>
      </w:r>
    </w:p>
    <w:p>
      <w:pPr>
        <w:spacing w:after="80"/>
        <w:jc w:val="center"/>
      </w:pPr>
      <w:r>
        <w:rPr>
          <w:sz w:val="24"/>
          <w:szCs w:val="24"/>
        </w:rPr>
        <w:t xml:space="preserve">04/11/2026</w:t>
      </w:r>
    </w:p>
    <w:p>
      <w:r>
        <w:br w:type="page"/>
      </w:r>
    </w:p>
    <w:p>
      <w:pPr>
        <w:pStyle w:val="Heading1"/>
      </w:pPr>
      <w:r>
        <w:t xml:space="preserve">1. Especificación de Casos de Uso Detallado</w:t>
      </w:r>
    </w:p>
    <w:p>
      <w:pPr>
        <w:spacing w:after="120" w:line="300"/>
        <w:jc w:val="both"/>
      </w:pPr>
      <w:r>
        <w:t xml:space="preserve">Este documento detalla los siete casos de uso del sistema EurekaBank identificados en el ERS. Cada ficha indica actores, precondiciones, flujo básico, flujos alternos, postcondiciones y requisitos funcionales relacionados.</w:t>
      </w:r>
    </w:p>
    <w:p>
      <w:pPr>
        <w:spacing w:before="120"/>
        <w:jc w:val="center"/>
      </w:pPr>
      <w:r>
        <w:drawing>
          <wp:inline distT="0" distB="0" distL="0" distR="0">
            <wp:extent cx="5715000" cy="4448175"/>
            <wp:effectExtent t="0" r="0" b="0" l="0"/>
            <wp:docPr id="1" name="DCU_EurekaBank.png" descr="Diagrama de casos de uso del sistema." title="Diagrama de casos de uso del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1. Diagrama de casos de uso del sistema.</w:t>
      </w:r>
    </w:p>
    <w:p>
      <w:pPr>
        <w:pStyle w:val="Heading2"/>
      </w:pPr>
      <w:r>
        <w:t xml:space="preserve">ECUD_CU01 — INICIAR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CU01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(principal), servicio WSEureka y SQL Server (secundarios)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se identifica con usuario y clave; el servidor los busca en la tabla Empleado.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SQL Server y el servidor SOAP están encendidos; el cliente tiene configurada la dirección del servidor.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empleado abre el cliente.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sistema muestra la pantalla de ingreso y la dirección del servidor.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empleado escribe usuario y clave y presiona Ingresar.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cliente invoca la operación SOAP login(usuario, clave).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EurekaServicio busca el usuario en Empleado (sin distinguir mayúsculas) y compara la clave.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servidor devuelve el Empleado { Codigo, Usuario, Nombre }.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cliente guarda el empleado de la sesión y muestra el menú principal.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3a. Campos vacíos: el servidor responde «Ingrese usuario y clave.».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6a. Usuario o clave incorrectos: el servidor responde con un SOAP Fault «Usuario o clave incorrectos. Intentos restantes: n.».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6b. Tercer intento fallido: el servidor bloquea al usuario 2 minutos («Se superaron los 3 intentos…»); mientras dure, responde «Usuario bloqueado…» aunque la clave sea correcta.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4a. Servidor apagado: «No se pudo conectar con el servidor en …» (no cuenta como intento).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SQL Server apagado: SOAP Fault ERROR_BD «No se pudo acceder a la base de datos EUREKABANK…».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autenticado; su código se enviará en cada operación.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RF01, RF02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3257550"/>
            <wp:effectExtent t="0" r="0" b="0" l="0"/>
            <wp:docPr id="2" name="DA_Ingresar_Sistema.png" descr="Diagrama de actividad: CU01 Iniciar sesión." title="Diagrama de actividad: CU01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2. Diagrama de actividad: CU01 Iniciar sesión.</w:t>
      </w:r>
    </w:p>
    <w:p>
      <w:pPr>
        <w:spacing w:before="120"/>
        <w:jc w:val="center"/>
      </w:pPr>
      <w:r>
        <w:drawing>
          <wp:inline distT="0" distB="0" distL="0" distR="0">
            <wp:extent cx="5715000" cy="4086225"/>
            <wp:effectExtent t="0" r="0" b="0" l="0"/>
            <wp:docPr id="3" name="DS_Ingresar_Sistema.png" descr="Diagrama de secuencia: CU01 Iniciar sesión." title="Diagrama de secuencia: CU01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3. Diagrama de secuencia: CU01 Iniciar sesión.</w:t>
      </w:r>
    </w:p>
    <w:p>
      <w:pPr>
        <w:pStyle w:val="Heading2"/>
      </w:pPr>
      <w:r>
        <w:t xml:space="preserve">ECUD_CU02 — CONSULTAR CUENTA Y MOVIMIENTOS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CU02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cuenta y movimientos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Empleado, servicio WSEureka, SQL Server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Muestra los datos y el saldo de una cuenta y la lista de sus movimientos.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inició sesión (CU01).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empleado elige «Movimientos».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Escribe el número de cuenta y presiona Consultar.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cliente valida que tenga 8 dígitos.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cliente invoca consultarCuenta(cuenta) y traerMovimientos(cuenta).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servidor consulta Cuenta con Cliente, Moneda y Sucursal, y Movimiento con TipoMovimiento ordenado del más reciente al más antiguo.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cliente muestra cliente, moneda, sucursal, estado, saldo y la tabla de movimientos (ingresos en verde y salidas en rojo).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3a. La cuenta no tiene 8 dígitos: «La cuenta debe tener 8 dígitos (ejemplo: 00100001)», sin llamar al servidor.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La cuenta no existe: SOAP Fault REGLA_NEGOCIO «La cuenta … no existe.»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5b. La cuenta no tiene movimientos: se muestra «La cuenta no tiene movimientos».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 muestran los datos actuales de la cuenta; no se modifica nada.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RF03, RF04, RF09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3857625"/>
            <wp:effectExtent t="0" r="0" b="0" l="0"/>
            <wp:docPr id="4" name="DS_Consultar_Movimientos.png" descr="Diagrama de secuencia: CU02 Consultar cuenta y movimientos." title="Diagrama de secuencia: CU02 Consultar cuenta y movimie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4. Diagrama de secuencia: CU02 Consultar cuenta y movimientos.</w:t>
      </w:r>
    </w:p>
    <w:p>
      <w:pPr>
        <w:pStyle w:val="Heading2"/>
      </w:pPr>
      <w:r>
        <w:t xml:space="preserve">ECUD_CU03 — REGISTRAR DEPÓSITO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CU03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depósito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Empleado, servicio WSEureka, SQL Server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Suma un importe al saldo de una cuenta y registra el movimiento 003.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inició sesión (CU01).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empleado elige «Depósito».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Escribe la cuenta y el importe y presiona Registrar.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cliente valida el formato y pide confirmación.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cliente invoca registrarDeposito(cuenta, importe, codEmpleado).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servidor abre una transacción, verifica el empleado y lee la cuenta con UPDLOCK.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Actualiza el saldo y el contador de movimientos e inserta el Movimiento (tipo 003, número = contador + 1).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Confirma la transacción (COMMIT) y devuelve el nuevo saldo.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cliente muestra «Depósito registrado» y el nuevo saldo, y lo agrega a las operaciones de la sesión.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3a. Formato inválido (cuenta o importe): mensaje en rojo sin llamar al servidor.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3b. El empleado no confirma: no se hace nada.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La cuenta no existe o no está ACTIVO: ROLLBACK y SOAP Fault REGLA_NEGOCIO.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4a. Importe con más de 2 decimales o mayor a 1 000 000: SOAP Fault VALOR_INVALIDO.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saldo aumenta y queda un movimiento nuevo con el código del empleado.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RF05, RF08, RF09, RF10, RF11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572000" cy="7429500"/>
            <wp:effectExtent t="0" r="0" b="0" l="0"/>
            <wp:docPr id="5" name="DA_Registrar_Deposito.png" descr="Diagrama de actividad: CU03 Registrar depósito." title="Diagrama de actividad: CU03 Registrar depósi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5. Diagrama de actividad: CU03 Registrar depósito.</w:t>
      </w:r>
    </w:p>
    <w:p>
      <w:pPr>
        <w:pStyle w:val="Heading2"/>
      </w:pPr>
      <w:r>
        <w:t xml:space="preserve">ECUD_CU04 — REGISTRAR RETIRO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CU04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retiro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Empleado, servicio WSEureka, SQL Server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Resta un importe del saldo, si alcanza, y registra el movimiento 004.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inició sesión (CU01).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empleado elige «Retiro».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Escribe la cuenta y el importe y presiona Registrar.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cliente valida el formato y pide confirmación.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cliente invoca registrarRetiro(cuenta, importe, codEmpleado).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servidor abre una transacción y lee la cuenta con UPDLOCK.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Comprueba que el saldo sea mayor o igual al importe.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Actualiza saldo y contador, inserta el Movimiento tipo 004 y confirma.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cliente muestra «Retiro registrado» y el nuevo saldo.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6a. Saldo insuficiente: ROLLBACK y «Saldo insuficiente en la cuenta …. Saldo disponible: …».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Cuenta cancelada: «La cuenta 00300001 no está activa (CANCELADO).»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3a. Formato inválido o el empleado no confirma: no se llama al servidor.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saldo disminuye y queda el movimiento de retiro; si hubo error, la cuenta no cambia.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RF06, RF08, RF09, RF10, RF11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3790950" cy="7429500"/>
            <wp:effectExtent t="0" r="0" b="0" l="0"/>
            <wp:docPr id="6" name="DA_Registrar_Retiro.png" descr="Diagrama de actividad: CU04 Registrar retiro." title="Diagrama de actividad: CU04 Registrar retir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6. Diagrama de actividad: CU04 Registrar retiro.</w:t>
      </w:r>
    </w:p>
    <w:p>
      <w:pPr>
        <w:pStyle w:val="Heading2"/>
      </w:pPr>
      <w:r>
        <w:t xml:space="preserve">ECUD_CU05 — REGISTRAR TRANSFERENCIA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CU05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transferencia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Empleado, servicio WSEureka, SQL Server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Pasa un importe de una cuenta a otra de la misma moneda.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inició sesión (CU01).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El empleado elige «Transferencia».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Escribe cuenta de origen, cuenta de destino e importe y presiona Registrar.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El cliente valida el formato, que las cuentas sean distintas, y pide confirmación.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El cliente invoca registrarTransferencia(origen, destino, importe, codEmpleado).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El servidor abre una transacción y bloquea ambas cuentas con UPDLOCK, siempre en el mismo orden para evitar bloqueos mutuos.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Comprueba que estén activas, que tengan la misma moneda y que el origen tenga saldo suficiente.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Registra el movimiento 009 en el origen y el 008 en el destino, cada uno con la otra cuenta como referencia, y confirma.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El cliente muestra «Transferencia registrada» y el nuevo saldo del origen.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3a. Cuentas iguales: «La cuenta de origen y la de destino deben ser distintas».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6a. Monedas distintas (Soles y Dólares): «Solo se puede transferir entre cuentas de la misma moneda.»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6b. Saldo insuficiente o cuenta no activa: ROLLBACK y mensaje del servidor; ninguna de las dos cuentas cambia.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saldo pasa del origen al destino y quedan dos movimientos enlazados.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RF07, RF08, RF09, RF10, RF11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3124200"/>
            <wp:effectExtent t="0" r="0" b="0" l="0"/>
            <wp:docPr id="7" name="DS_Registrar_Transferencia.png" descr="Diagrama de secuencia: CU05 Registrar transferencia." title="Diagrama de secuencia: CU05 Registrar transferenc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7. Diagrama de secuencia: CU05 Registrar transferencia.</w:t>
      </w:r>
    </w:p>
    <w:p>
      <w:pPr>
        <w:pStyle w:val="Heading2"/>
      </w:pPr>
      <w:r>
        <w:t xml:space="preserve">ECUD_CU06 — CERRAR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CU06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 la sesión del empleado.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inició sesión.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7"/>
              </w:numPr>
              <w:spacing w:after="40" w:line="264"/>
            </w:pPr>
            <w:r>
              <w:t xml:space="preserve">El empleado presiona Cerrar sesión (o la opción 0 en la consola).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40" w:line="264"/>
            </w:pPr>
            <w:r>
              <w:t xml:space="preserve">El sistema borra el empleado y las operaciones de la sesión.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40" w:line="264"/>
            </w:pPr>
            <w:r>
              <w:t xml:space="preserve">El sistema muestra la pantalla de ingreso.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En la web, la sesión también termina después de 30 minutos sin uso.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Para seguir usando el sistema se debe volver a iniciar sesión (CU01).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RF12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ECUD_CU07 — CONFIGURAR SERVIDOR (MÓVIL)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CU07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Configurar servidor (móvil)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Permite cambiar la dirección del servicio SOAP desde la aplicación móvil.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aplicación móvil está en la pantalla de ingreso.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8"/>
              </w:numPr>
              <w:spacing w:after="40" w:line="264"/>
            </w:pPr>
            <w:r>
              <w:t xml:space="preserve">La pantalla de ingreso muestra el cuadro «Servidor SOAP» con la última dirección usada.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40" w:line="264"/>
            </w:pPr>
            <w:r>
              <w:t xml:space="preserve">El empleado escribe la dirección, por ejemplo http://IP-de-la-PC:8087/WSEureka.svc.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40" w:line="264"/>
            </w:pPr>
            <w:r>
              <w:t xml:space="preserve">El empleado inicia sesión (CU01).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40" w:line="264"/>
            </w:pPr>
            <w:r>
              <w:t xml:space="preserve">La aplicación guarda la dirección en el teléfono (Preferences) y la usa en las siguientes llamadas.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Dirección vacía: «Ingrese la URL del servidor».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3a. Servidor inalcanzable: mensaje de conexión; la dirección se puede corregir.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1a. Primera ejecución: dirección del emulador http://10.0.2.2:8087/WSEureka.svc; por cable USB, adb reverse tcp:8087 tcp:8087 y http://localhost:8087/WSEureka.svc.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siguientes llamadas usan la nueva dirección, también al volver a abrir la aplicación.</w:t>
            </w:r>
          </w:p>
        </w:tc>
      </w:tr>
      <w:tr>
        <w:tc>
          <w:tcPr>
            <w:tcW w:type="dxa" w:w="2300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shd w:fill="E3EE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AD6" w:sz="4"/>
              <w:left w:val="single" w:color="BFCAD6" w:sz="4"/>
              <w:bottom w:val="single" w:color="BFCAD6" w:sz="4"/>
              <w:right w:val="single" w:color="BFCA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RF13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Página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6"/>
        <w:szCs w:val="16"/>
      </w:rPr>
      <w:t xml:space="preserve">ESPE · Arquitectura de Software · ECUD EurekaBank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Bdr>
        <w:bottom w:val="single" w:color="0B4F8A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0B4F8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082E5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babbd1821426b6869579d3421230a8bad84d66e.png"/><Relationship Id="rId10" Type="http://schemas.openxmlformats.org/officeDocument/2006/relationships/image" Target="media/5295d88983851c907a3ea2eec6b883eb0ece4fec.png"/><Relationship Id="rId11" Type="http://schemas.openxmlformats.org/officeDocument/2006/relationships/image" Target="media/69dd38f77e2fdd0c033fb4c6403d5500d8ff8041.png"/><Relationship Id="rId12" Type="http://schemas.openxmlformats.org/officeDocument/2006/relationships/image" Target="media/e45a1ff4b09dd3d528e697e2aec085103735faaf.png"/><Relationship Id="rId13" Type="http://schemas.openxmlformats.org/officeDocument/2006/relationships/image" Target="media/b193d5835cd4d573fa3b6fa2f90070e7d3b3b0f5.png"/><Relationship Id="rId14" Type="http://schemas.openxmlformats.org/officeDocument/2006/relationships/image" Target="media/457e8e911bd8d5cb27a612e8312c2e403241f0c1.png"/><Relationship Id="rId15" Type="http://schemas.openxmlformats.org/officeDocument/2006/relationships/image" Target="media/ccc533e13a8b86cd78c91245fdac8d19622404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ECUD EurekaBank SOAP .NET con BDD</dc:title>
  <dc:creator>Grupo 1</dc:creator>
  <cp:lastModifiedBy>Un-named</cp:lastModifiedBy>
  <cp:revision>1</cp:revision>
  <dcterms:created xsi:type="dcterms:W3CDTF">2026-10-25T04:49:15.515Z</dcterms:created>
  <dcterms:modified xsi:type="dcterms:W3CDTF">2026-10-25T04:49:15.516Z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