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6976" w14:textId="77777777" w:rsidR="00A22840" w:rsidRPr="00A22840" w:rsidRDefault="00A22840" w:rsidP="00A22840">
      <w:pPr>
        <w:rPr>
          <w:lang w:val="en-US"/>
        </w:rPr>
      </w:pPr>
      <w:r w:rsidRPr="00A22840">
        <w:rPr>
          <w:lang w:val="en-US"/>
        </w:rPr>
        <w:t>Dear Matthijs Baas and Micha Heilbron,</w:t>
      </w:r>
    </w:p>
    <w:p w14:paraId="64F2C442" w14:textId="77777777" w:rsidR="00A22840" w:rsidRPr="00A22840" w:rsidRDefault="00A22840" w:rsidP="00A22840">
      <w:pPr>
        <w:rPr>
          <w:lang w:val="en-US"/>
        </w:rPr>
      </w:pPr>
      <w:r w:rsidRPr="00A22840">
        <w:rPr>
          <w:lang w:val="en-US"/>
        </w:rPr>
        <w:t>Thank you for the positive words and constructive feedback on my thesis proposal, it has been very helpful in refining and clarifying the hypotheses and methodology. I have submitted an improved version of the thesis proposal, and I have added an explanation to each of the proposed changes in this letter. As requested, I have submitted the revised proposal in a Word document, and apologies for the previous formatting issues.</w:t>
      </w:r>
    </w:p>
    <w:p w14:paraId="5060037F" w14:textId="77777777" w:rsidR="00A22840" w:rsidRPr="00A22840" w:rsidRDefault="00A22840" w:rsidP="00A22840">
      <w:pPr>
        <w:rPr>
          <w:b/>
          <w:bCs/>
          <w:lang w:val="en-US"/>
        </w:rPr>
      </w:pPr>
      <w:r w:rsidRPr="00A22840">
        <w:rPr>
          <w:b/>
          <w:bCs/>
          <w:lang w:val="en-US"/>
        </w:rPr>
        <w:t>Responses to the review of Matthijs Baas:</w:t>
      </w:r>
    </w:p>
    <w:p w14:paraId="0E731214" w14:textId="77777777" w:rsidR="00A22840" w:rsidRPr="00A22840" w:rsidRDefault="00A22840" w:rsidP="00A22840">
      <w:pPr>
        <w:rPr>
          <w:lang w:val="en-US"/>
        </w:rPr>
      </w:pPr>
      <w:r w:rsidRPr="00A22840">
        <w:rPr>
          <w:b/>
          <w:bCs/>
          <w:lang w:val="en-US"/>
        </w:rPr>
        <w:t>The term Mode collapse should be explained.</w:t>
      </w:r>
    </w:p>
    <w:p w14:paraId="6F89552A" w14:textId="334879F5" w:rsidR="00A22840" w:rsidRPr="00A22840" w:rsidRDefault="00A22840" w:rsidP="00A22840">
      <w:pPr>
        <w:rPr>
          <w:lang w:val="en-US"/>
        </w:rPr>
      </w:pPr>
      <w:r>
        <w:rPr>
          <w:lang w:val="en-US"/>
        </w:rPr>
        <w:t>&gt;&gt;&gt;</w:t>
      </w:r>
      <w:r w:rsidRPr="00A22840">
        <w:rPr>
          <w:lang w:val="en-US"/>
        </w:rPr>
        <w:t>I have added a definition of mode collapse in Section 3.1, that is the tendency of models to restrict output only to the highest probability modes of a distribution, thus greatly lowering output diversity.</w:t>
      </w:r>
    </w:p>
    <w:p w14:paraId="02952C8A" w14:textId="77777777" w:rsidR="00A22840" w:rsidRPr="00A22840" w:rsidRDefault="00A22840" w:rsidP="00A22840">
      <w:pPr>
        <w:rPr>
          <w:lang w:val="en-US"/>
        </w:rPr>
      </w:pPr>
      <w:r w:rsidRPr="00A22840">
        <w:rPr>
          <w:b/>
          <w:bCs/>
          <w:lang w:val="en-US"/>
        </w:rPr>
        <w:t>My enthusiasm was somewhat limited by the fact that Proposal procedures were not followed (no Word-file, no pre-filled out forms) and that the attached pdf contains many formatting errors that make reading sentences difficult.</w:t>
      </w:r>
    </w:p>
    <w:p w14:paraId="2FDA5C69" w14:textId="4017B664" w:rsidR="00A22840" w:rsidRPr="00A22840" w:rsidRDefault="00A22840" w:rsidP="00A22840">
      <w:pPr>
        <w:rPr>
          <w:lang w:val="en-US"/>
        </w:rPr>
      </w:pPr>
      <w:r>
        <w:rPr>
          <w:lang w:val="en-US"/>
        </w:rPr>
        <w:t>&gt;&gt;&gt;</w:t>
      </w:r>
      <w:r w:rsidRPr="00A22840">
        <w:rPr>
          <w:lang w:val="en-US"/>
        </w:rPr>
        <w:t>I have reformatted the document to a Word-file, and included the filled-out forms as they were in the template.</w:t>
      </w:r>
    </w:p>
    <w:p w14:paraId="6717FD6A" w14:textId="77777777" w:rsidR="00A22840" w:rsidRPr="00A22840" w:rsidRDefault="00A22840" w:rsidP="00A22840">
      <w:pPr>
        <w:rPr>
          <w:lang w:val="en-US"/>
        </w:rPr>
      </w:pPr>
      <w:r w:rsidRPr="00A22840">
        <w:rPr>
          <w:b/>
          <w:bCs/>
          <w:lang w:val="en-US"/>
        </w:rPr>
        <w:t>Is it correct to talk about “neural” in the context of LLMs: “the neural mechanisms that enable this artificial creativity remain for the most part unknow”?</w:t>
      </w:r>
    </w:p>
    <w:p w14:paraId="1E61B11D" w14:textId="317FBAB5" w:rsidR="00A22840" w:rsidRPr="00A22840" w:rsidRDefault="00A22840" w:rsidP="00A22840">
      <w:pPr>
        <w:rPr>
          <w:lang w:val="en-US"/>
        </w:rPr>
      </w:pPr>
      <w:r>
        <w:rPr>
          <w:lang w:val="en-US"/>
        </w:rPr>
        <w:t>&gt;&gt;&gt;</w:t>
      </w:r>
      <w:r w:rsidRPr="00A22840">
        <w:rPr>
          <w:lang w:val="en-US"/>
        </w:rPr>
        <w:t>While I do not think it is entirely incorrect to talk about "neural mechanisms" in the context of LLMs, as they are based on artificial neural networks, it is indeed not neural in the way actual brain neurons work. To clarify the distinction, I have changed this into "computational mechanisms".</w:t>
      </w:r>
    </w:p>
    <w:p w14:paraId="24D464B4" w14:textId="77777777" w:rsidR="00A22840" w:rsidRPr="00A22840" w:rsidRDefault="00A22840" w:rsidP="00A22840">
      <w:pPr>
        <w:rPr>
          <w:lang w:val="en-US"/>
        </w:rPr>
      </w:pPr>
      <w:r w:rsidRPr="00A22840">
        <w:rPr>
          <w:b/>
          <w:bCs/>
          <w:lang w:val="en-US"/>
        </w:rPr>
        <w:t>Be careful with terms: suddenly “flexibility” was introduced, but it is unclear why or how it related to the core research objective, which is focused on LLM creativity.</w:t>
      </w:r>
    </w:p>
    <w:p w14:paraId="03280597" w14:textId="4B8A6F8E" w:rsidR="00A22840" w:rsidRPr="00A22840" w:rsidRDefault="00A22840" w:rsidP="00A22840">
      <w:pPr>
        <w:rPr>
          <w:lang w:val="en-US"/>
        </w:rPr>
      </w:pPr>
      <w:r>
        <w:rPr>
          <w:lang w:val="en-US"/>
        </w:rPr>
        <w:t>&gt;&gt;&gt;</w:t>
      </w:r>
      <w:r w:rsidRPr="00A22840">
        <w:rPr>
          <w:lang w:val="en-US"/>
        </w:rPr>
        <w:t>I have removed this mention of flexibility, and double checked for other newly introduced terms that could be better described with an already used term.</w:t>
      </w:r>
    </w:p>
    <w:p w14:paraId="316B2E2D" w14:textId="77777777" w:rsidR="00A22840" w:rsidRPr="00A22840" w:rsidRDefault="00A22840" w:rsidP="00A22840">
      <w:pPr>
        <w:rPr>
          <w:lang w:val="en-US"/>
        </w:rPr>
      </w:pPr>
      <w:r w:rsidRPr="00A22840">
        <w:rPr>
          <w:b/>
          <w:bCs/>
          <w:lang w:val="en-US"/>
        </w:rPr>
        <w:t xml:space="preserve">I also think that more information on the tasks would be desirable; here you could also substantiate that the planned analytical procedures (e.g., </w:t>
      </w:r>
      <w:proofErr w:type="spellStart"/>
      <w:r w:rsidRPr="00A22840">
        <w:rPr>
          <w:b/>
          <w:bCs/>
          <w:lang w:val="en-US"/>
        </w:rPr>
        <w:t>SemDis</w:t>
      </w:r>
      <w:proofErr w:type="spellEnd"/>
      <w:r w:rsidRPr="00A22840">
        <w:rPr>
          <w:b/>
          <w:bCs/>
          <w:lang w:val="en-US"/>
        </w:rPr>
        <w:t>) have been used for these tasks in previous work.</w:t>
      </w:r>
    </w:p>
    <w:p w14:paraId="77D7304A" w14:textId="3E463420" w:rsidR="00A22840" w:rsidRPr="00A22840" w:rsidRDefault="00A22840" w:rsidP="00A22840">
      <w:pPr>
        <w:rPr>
          <w:lang w:val="en-US"/>
        </w:rPr>
      </w:pPr>
      <w:r>
        <w:rPr>
          <w:lang w:val="en-US"/>
        </w:rPr>
        <w:t>&gt;&gt;&gt;</w:t>
      </w:r>
      <w:r w:rsidRPr="00A22840">
        <w:rPr>
          <w:lang w:val="en-US"/>
        </w:rPr>
        <w:t>Thank you, the explanation of the tasks was indeed a bit short. I have added more detail on those tasks, and have made a comparison with the metrics in these tasks in previous works and the current project.</w:t>
      </w:r>
    </w:p>
    <w:p w14:paraId="156483B7" w14:textId="77777777" w:rsidR="00A22840" w:rsidRPr="00A22840" w:rsidRDefault="00A22840" w:rsidP="00A22840">
      <w:pPr>
        <w:rPr>
          <w:lang w:val="en-US"/>
        </w:rPr>
      </w:pPr>
      <w:r w:rsidRPr="00A22840">
        <w:rPr>
          <w:b/>
          <w:bCs/>
          <w:lang w:val="en-US"/>
        </w:rPr>
        <w:t>Should “mech shift” be “mechanistic shift”?</w:t>
      </w:r>
    </w:p>
    <w:p w14:paraId="4C1DCEA2" w14:textId="36EDD89F" w:rsidR="00A22840" w:rsidRPr="00A22840" w:rsidRDefault="00A22840" w:rsidP="00A22840">
      <w:pPr>
        <w:rPr>
          <w:lang w:val="en-US"/>
        </w:rPr>
      </w:pPr>
      <w:r>
        <w:rPr>
          <w:lang w:val="en-US"/>
        </w:rPr>
        <w:t>&gt;&gt;&gt;</w:t>
      </w:r>
      <w:r w:rsidRPr="00A22840">
        <w:rPr>
          <w:lang w:val="en-US"/>
        </w:rPr>
        <w:t>This should indeed be "mechanistic shift" and has been changed.</w:t>
      </w:r>
    </w:p>
    <w:p w14:paraId="2E8CFDCF" w14:textId="77777777" w:rsidR="00A22840" w:rsidRPr="00A22840" w:rsidRDefault="00A22840" w:rsidP="00A22840">
      <w:pPr>
        <w:rPr>
          <w:lang w:val="en-US"/>
        </w:rPr>
      </w:pPr>
      <w:r w:rsidRPr="00A22840">
        <w:rPr>
          <w:b/>
          <w:bCs/>
          <w:lang w:val="en-US"/>
        </w:rPr>
        <w:t>A good reflection is presented. I was wondering whether findings also inform the general finding that the proposal starts with: That LLMS output across many ideation attempts shows limited variance.</w:t>
      </w:r>
    </w:p>
    <w:p w14:paraId="71F1C9AF" w14:textId="67F8334E" w:rsidR="00A22840" w:rsidRPr="00A22840" w:rsidRDefault="00A22840" w:rsidP="00A22840">
      <w:pPr>
        <w:rPr>
          <w:lang w:val="en-US"/>
        </w:rPr>
      </w:pPr>
      <w:r>
        <w:rPr>
          <w:lang w:val="en-US"/>
        </w:rPr>
        <w:t>&gt;&gt;&gt;</w:t>
      </w:r>
      <w:r w:rsidRPr="00A22840">
        <w:rPr>
          <w:lang w:val="en-US"/>
        </w:rPr>
        <w:t xml:space="preserve">In section 4 (Expected Results), I have added a short expectation on how finding a causal vector explains the general finding at the start: if creativity requires a specific geometric shift, it </w:t>
      </w:r>
      <w:r w:rsidRPr="00A22840">
        <w:rPr>
          <w:lang w:val="en-US"/>
        </w:rPr>
        <w:lastRenderedPageBreak/>
        <w:t>explains why standard generation naturally defaults to limited variance (mode collapse), as these models are usually post-hoc reinforced to provide the most rewarding answer, and thus optimize towards convergent responses rather than variance in answers.</w:t>
      </w:r>
    </w:p>
    <w:p w14:paraId="63D33675" w14:textId="77777777" w:rsidR="00A22840" w:rsidRPr="00A22840" w:rsidRDefault="00A22840" w:rsidP="00A22840">
      <w:pPr>
        <w:rPr>
          <w:b/>
          <w:bCs/>
          <w:lang w:val="en-US"/>
        </w:rPr>
      </w:pPr>
      <w:r w:rsidRPr="00A22840">
        <w:rPr>
          <w:b/>
          <w:bCs/>
          <w:lang w:val="en-US"/>
        </w:rPr>
        <w:t>Responses to the review of Micha Heilbron:</w:t>
      </w:r>
    </w:p>
    <w:p w14:paraId="38DD1852" w14:textId="77777777" w:rsidR="00A22840" w:rsidRPr="00A22840" w:rsidRDefault="00A22840" w:rsidP="00A22840">
      <w:pPr>
        <w:rPr>
          <w:lang w:val="en-US"/>
        </w:rPr>
      </w:pPr>
      <w:r w:rsidRPr="00A22840">
        <w:rPr>
          <w:b/>
          <w:bCs/>
          <w:lang w:val="en-US"/>
        </w:rPr>
        <w:t xml:space="preserve">First, there is a much wider </w:t>
      </w:r>
      <w:proofErr w:type="spellStart"/>
      <w:r w:rsidRPr="00A22840">
        <w:rPr>
          <w:b/>
          <w:bCs/>
          <w:lang w:val="en-US"/>
        </w:rPr>
        <w:t>mechinterp</w:t>
      </w:r>
      <w:proofErr w:type="spellEnd"/>
      <w:r w:rsidRPr="00A22840">
        <w:rPr>
          <w:b/>
          <w:bCs/>
          <w:lang w:val="en-US"/>
        </w:rPr>
        <w:t xml:space="preserve"> literature on how some prompts can alter internal states to induce "styles" or "</w:t>
      </w:r>
      <w:proofErr w:type="spellStart"/>
      <w:r w:rsidRPr="00A22840">
        <w:rPr>
          <w:b/>
          <w:bCs/>
          <w:lang w:val="en-US"/>
        </w:rPr>
        <w:t>behaviours</w:t>
      </w:r>
      <w:proofErr w:type="spellEnd"/>
      <w:r w:rsidRPr="00A22840">
        <w:rPr>
          <w:b/>
          <w:bCs/>
          <w:lang w:val="en-US"/>
        </w:rPr>
        <w:t>", of which creativity seems a specific case. Notably, this is the origin of the steering vector literature. Creativity is not my area, but I know at least one paper that appears to ask almost exactly the same question, with similar prompt contrasts and tasks (Schapiro et al., 2026). If I understand correctly it found that a prompt-derived activation vector did no better than plain prompting, so it would appears to partly answer some your questions already (current hypothesis 3). Things are probably not so simple but this is a paper to check out, and I suspect there are quite a few others too, so I thought for the thesis engagement with prior AI work can be improved.</w:t>
      </w:r>
    </w:p>
    <w:p w14:paraId="14FAD842" w14:textId="0D254DC1" w:rsidR="00A22840" w:rsidRPr="00A22840" w:rsidRDefault="00A22840" w:rsidP="00A22840">
      <w:pPr>
        <w:rPr>
          <w:lang w:val="en-US"/>
        </w:rPr>
      </w:pPr>
      <w:r>
        <w:rPr>
          <w:lang w:val="en-US"/>
        </w:rPr>
        <w:t>&gt;&gt;&gt;</w:t>
      </w:r>
      <w:r w:rsidRPr="00A22840">
        <w:rPr>
          <w:lang w:val="en-US"/>
        </w:rPr>
        <w:t>Thank you for the suggestion, and indeed it does answer somewhat the vector injection part of current H3, although the main question on the mechanistic causes of this process is not entirely answered by this paper. I have also added some more relevant citations to better engage with prior work in AI.</w:t>
      </w:r>
    </w:p>
    <w:p w14:paraId="764726FA" w14:textId="77777777" w:rsidR="00A22840" w:rsidRPr="00A22840" w:rsidRDefault="00A22840" w:rsidP="00A22840">
      <w:pPr>
        <w:rPr>
          <w:lang w:val="en-US"/>
        </w:rPr>
      </w:pPr>
      <w:r w:rsidRPr="00A22840">
        <w:rPr>
          <w:b/>
          <w:bCs/>
          <w:lang w:val="en-US"/>
        </w:rPr>
        <w:t>Second, mode collapse is key to the framing but not really defined, and the current citations are mostly critique papers of LLM like Bender et al, instead of technical work on mode collapse (this also pertains to how to quantify e.g. the degradation in diversity).</w:t>
      </w:r>
    </w:p>
    <w:p w14:paraId="22AF3E35" w14:textId="439C9B1F" w:rsidR="00A22840" w:rsidRPr="00A22840" w:rsidRDefault="00A22840" w:rsidP="00A22840">
      <w:pPr>
        <w:rPr>
          <w:lang w:val="en-US"/>
        </w:rPr>
      </w:pPr>
      <w:r>
        <w:rPr>
          <w:lang w:val="en-US"/>
        </w:rPr>
        <w:t>&gt;&gt;&gt;</w:t>
      </w:r>
      <w:r w:rsidRPr="00A22840">
        <w:rPr>
          <w:lang w:val="en-US"/>
        </w:rPr>
        <w:t>The definition of mode collapse was indeed missing, I have added it supported by other citations. Mainly, it describes how the output distributions are increasingly restricted to the most probable outputs, thereby losing the "tails" of the distributions where the more diverse outputs exist.</w:t>
      </w:r>
    </w:p>
    <w:p w14:paraId="37F2349F" w14:textId="77777777" w:rsidR="00A22840" w:rsidRPr="00A22840" w:rsidRDefault="00A22840" w:rsidP="00A22840">
      <w:pPr>
        <w:rPr>
          <w:lang w:val="en-US"/>
        </w:rPr>
      </w:pPr>
      <w:r w:rsidRPr="00A22840">
        <w:rPr>
          <w:b/>
          <w:bCs/>
          <w:lang w:val="en-US"/>
        </w:rPr>
        <w:t xml:space="preserve">Finally, the text writes that creativity is unlikely to sit in single heads, but H2 then predicts exactly that? Or am I misunderstanding? Note that H2 and H3 rest on different tools: </w:t>
      </w:r>
      <w:proofErr w:type="spellStart"/>
      <w:r w:rsidRPr="00A22840">
        <w:rPr>
          <w:b/>
          <w:bCs/>
          <w:lang w:val="en-US"/>
        </w:rPr>
        <w:t>Opielka</w:t>
      </w:r>
      <w:proofErr w:type="spellEnd"/>
      <w:r w:rsidRPr="00A22840">
        <w:rPr>
          <w:b/>
          <w:bCs/>
          <w:lang w:val="en-US"/>
        </w:rPr>
        <w:t xml:space="preserve"> et al. build on function vectors (Todd et al. 2023), which capture a task applied at one token, whereas H3 is a steering vector, which captures a style applied over a whole text. "Be creative" seems closer to the latter. So is the </w:t>
      </w:r>
      <w:proofErr w:type="spellStart"/>
      <w:r w:rsidRPr="00A22840">
        <w:rPr>
          <w:b/>
          <w:bCs/>
          <w:lang w:val="en-US"/>
        </w:rPr>
        <w:t>Opielka</w:t>
      </w:r>
      <w:proofErr w:type="spellEnd"/>
      <w:r w:rsidRPr="00A22840">
        <w:rPr>
          <w:b/>
          <w:bCs/>
          <w:lang w:val="en-US"/>
        </w:rPr>
        <w:t xml:space="preserve"> approach really the right tool for such a "broad" manipulation? Or should H3 perhaps be primary and H2 exploratory? And how the </w:t>
      </w:r>
      <w:proofErr w:type="spellStart"/>
      <w:r w:rsidRPr="00A22840">
        <w:rPr>
          <w:b/>
          <w:bCs/>
          <w:lang w:val="en-US"/>
        </w:rPr>
        <w:t>the</w:t>
      </w:r>
      <w:proofErr w:type="spellEnd"/>
      <w:r w:rsidRPr="00A22840">
        <w:rPr>
          <w:b/>
          <w:bCs/>
          <w:lang w:val="en-US"/>
        </w:rPr>
        <w:t xml:space="preserve"> negative results from Schapiro inform this plan if H3 becomes primary? Anyhow, considering all this, I'm not yet convinced this is the best tool in the mech </w:t>
      </w:r>
      <w:proofErr w:type="spellStart"/>
      <w:r w:rsidRPr="00A22840">
        <w:rPr>
          <w:b/>
          <w:bCs/>
          <w:lang w:val="en-US"/>
        </w:rPr>
        <w:t>interp</w:t>
      </w:r>
      <w:proofErr w:type="spellEnd"/>
      <w:r w:rsidRPr="00A22840">
        <w:rPr>
          <w:b/>
          <w:bCs/>
          <w:lang w:val="en-US"/>
        </w:rPr>
        <w:t xml:space="preserve"> toolbox for this question, or the best way to set up the research project such that the resulting project can be maximally impactful!</w:t>
      </w:r>
    </w:p>
    <w:p w14:paraId="61D98888" w14:textId="65046503" w:rsidR="00A22840" w:rsidRPr="00A22840" w:rsidRDefault="00A22840" w:rsidP="00A22840">
      <w:pPr>
        <w:rPr>
          <w:lang w:val="en-US"/>
        </w:rPr>
      </w:pPr>
      <w:r>
        <w:rPr>
          <w:lang w:val="en-US"/>
        </w:rPr>
        <w:t>&gt;&gt;&gt;</w:t>
      </w:r>
      <w:r w:rsidRPr="00A22840">
        <w:rPr>
          <w:lang w:val="en-US"/>
        </w:rPr>
        <w:t>I do agree that it makes more sense to swap the hypotheses, that is to make H3 the primary hypothesis and H2 exploratory, as this would be more in line with the support that creativity is quite complex and therefore less likely to reside in a single attention head.</w:t>
      </w:r>
    </w:p>
    <w:p w14:paraId="7157C243" w14:textId="77777777" w:rsidR="00A22840" w:rsidRPr="00A22840" w:rsidRDefault="00A22840" w:rsidP="00A22840">
      <w:pPr>
        <w:rPr>
          <w:lang w:val="en-US"/>
        </w:rPr>
      </w:pPr>
      <w:r w:rsidRPr="00A22840">
        <w:rPr>
          <w:lang w:val="en-US"/>
        </w:rPr>
        <w:t xml:space="preserve">Regarding the negative results from Schapiro et al. (2026), there are two different ways it may influence this research. The finding that the prompt-derived activation vector did no better than plain prompting is relevant to the "causal test" with the vector injection, but this is not the primary question we aim to answer (and herein we differ from the Schapiro paper): our goal is primarily to understand the mechanisms of creative reasoning, and not to improve creative </w:t>
      </w:r>
      <w:r w:rsidRPr="00A22840">
        <w:rPr>
          <w:lang w:val="en-US"/>
        </w:rPr>
        <w:lastRenderedPageBreak/>
        <w:t>reasoning per se. If we could find a mechanism with just steering through prompting, that would be good.</w:t>
      </w:r>
    </w:p>
    <w:p w14:paraId="4EC48404" w14:textId="77777777" w:rsidR="00A22840" w:rsidRPr="00A22840" w:rsidRDefault="00A22840" w:rsidP="00A22840">
      <w:pPr>
        <w:rPr>
          <w:lang w:val="en-US"/>
        </w:rPr>
      </w:pPr>
      <w:r w:rsidRPr="00A22840">
        <w:rPr>
          <w:lang w:val="en-US"/>
        </w:rPr>
        <w:t>A solution to the second point from the Schapiro paper, that divergent thinking and factual reasoning are inseparable in weight-space, is a bit more difficult, and it somewhat counters the findings in the AGC-bench (Beaty et al., 2026). For this, the already introduced perplexity metric might give information on whether these can indeed not be separated, as we could increase the strength of the injection, and see whether when semantic distance increases, perplexity stays relatively similar (meaning that sentence coherence is not degraded by increasing divergent thinking, and is thus in some ways separable), or that it increases quickly, meaning that the factual reasoning is entangled to divergent thinking. The latter would mean that there may be a limit to current artificial creativity that does not hinder reasoning capabilities, and may also be a positive finding. Here, there is now also value for H2 as an exploratory hypothesis: if the entanglement is indeed present in the models residual activations, we can explore whether this can be circumvented through mechanisms in individual attention heads (for example the concept vectors).</w:t>
      </w:r>
    </w:p>
    <w:p w14:paraId="64097B12" w14:textId="77777777" w:rsidR="00A22840" w:rsidRPr="00A22840" w:rsidRDefault="00A22840" w:rsidP="00A22840">
      <w:pPr>
        <w:rPr>
          <w:lang w:val="en-US"/>
        </w:rPr>
      </w:pPr>
      <w:r w:rsidRPr="00A22840">
        <w:rPr>
          <w:b/>
          <w:bCs/>
          <w:lang w:val="en-US"/>
        </w:rPr>
        <w:t xml:space="preserve">Can you probe KIMI or GLM through </w:t>
      </w:r>
      <w:proofErr w:type="spellStart"/>
      <w:r w:rsidRPr="00A22840">
        <w:rPr>
          <w:b/>
          <w:bCs/>
          <w:lang w:val="en-US"/>
        </w:rPr>
        <w:t>openrouter</w:t>
      </w:r>
      <w:proofErr w:type="spellEnd"/>
      <w:r w:rsidRPr="00A22840">
        <w:rPr>
          <w:b/>
          <w:bCs/>
          <w:lang w:val="en-US"/>
        </w:rPr>
        <w:t xml:space="preserve">? I thought </w:t>
      </w:r>
      <w:proofErr w:type="spellStart"/>
      <w:r w:rsidRPr="00A22840">
        <w:rPr>
          <w:b/>
          <w:bCs/>
          <w:lang w:val="en-US"/>
        </w:rPr>
        <w:t>OpenRouter</w:t>
      </w:r>
      <w:proofErr w:type="spellEnd"/>
      <w:r w:rsidRPr="00A22840">
        <w:rPr>
          <w:b/>
          <w:bCs/>
          <w:lang w:val="en-US"/>
        </w:rPr>
        <w:t xml:space="preserve"> would just give you output tokens? Does not seem like a feasible plan to me? For Kimi and GLM, you mean the latest huge </w:t>
      </w:r>
      <w:proofErr w:type="spellStart"/>
      <w:r w:rsidRPr="00A22840">
        <w:rPr>
          <w:b/>
          <w:bCs/>
          <w:lang w:val="en-US"/>
        </w:rPr>
        <w:t>MoE</w:t>
      </w:r>
      <w:proofErr w:type="spellEnd"/>
      <w:r w:rsidRPr="00A22840">
        <w:rPr>
          <w:b/>
          <w:bCs/>
          <w:lang w:val="en-US"/>
        </w:rPr>
        <w:t xml:space="preserve"> models? Do you have the compute to run such a massive </w:t>
      </w:r>
      <w:proofErr w:type="spellStart"/>
      <w:r w:rsidRPr="00A22840">
        <w:rPr>
          <w:b/>
          <w:bCs/>
          <w:lang w:val="en-US"/>
        </w:rPr>
        <w:t>MoE</w:t>
      </w:r>
      <w:proofErr w:type="spellEnd"/>
      <w:r w:rsidRPr="00A22840">
        <w:rPr>
          <w:b/>
          <w:bCs/>
          <w:lang w:val="en-US"/>
        </w:rPr>
        <w:t xml:space="preserve"> with </w:t>
      </w:r>
      <w:proofErr w:type="spellStart"/>
      <w:r w:rsidRPr="00A22840">
        <w:rPr>
          <w:b/>
          <w:bCs/>
          <w:lang w:val="en-US"/>
        </w:rPr>
        <w:t>NNsight</w:t>
      </w:r>
      <w:proofErr w:type="spellEnd"/>
      <w:r w:rsidRPr="00A22840">
        <w:rPr>
          <w:b/>
          <w:bCs/>
          <w:lang w:val="en-US"/>
        </w:rPr>
        <w:t xml:space="preserve">? Isn’t that even beyond the biggest 4xH100 of </w:t>
      </w:r>
      <w:proofErr w:type="spellStart"/>
      <w:r w:rsidRPr="00A22840">
        <w:rPr>
          <w:b/>
          <w:bCs/>
          <w:lang w:val="en-US"/>
        </w:rPr>
        <w:t>snellius</w:t>
      </w:r>
      <w:proofErr w:type="spellEnd"/>
      <w:r w:rsidRPr="00A22840">
        <w:rPr>
          <w:b/>
          <w:bCs/>
          <w:lang w:val="en-US"/>
        </w:rPr>
        <w:t>? Sure this is feasible?</w:t>
      </w:r>
    </w:p>
    <w:p w14:paraId="5AC357C6" w14:textId="6B7AE061" w:rsidR="00A22840" w:rsidRPr="00A22840" w:rsidRDefault="00A22840" w:rsidP="00A22840">
      <w:pPr>
        <w:rPr>
          <w:lang w:val="en-US"/>
        </w:rPr>
      </w:pPr>
      <w:r>
        <w:rPr>
          <w:lang w:val="en-US"/>
        </w:rPr>
        <w:t>&gt;&gt;&gt;</w:t>
      </w:r>
      <w:r w:rsidRPr="00A22840">
        <w:rPr>
          <w:lang w:val="en-US"/>
        </w:rPr>
        <w:t xml:space="preserve">Thank you for mentioning the limitation of the output of </w:t>
      </w:r>
      <w:proofErr w:type="spellStart"/>
      <w:r w:rsidRPr="00A22840">
        <w:rPr>
          <w:lang w:val="en-US"/>
        </w:rPr>
        <w:t>OpenRouter</w:t>
      </w:r>
      <w:proofErr w:type="spellEnd"/>
      <w:r w:rsidRPr="00A22840">
        <w:rPr>
          <w:lang w:val="en-US"/>
        </w:rPr>
        <w:t xml:space="preserve">, that was an oversight on my end. For the mechanistic interpretability, the models will indeed be ran on </w:t>
      </w:r>
      <w:proofErr w:type="spellStart"/>
      <w:r w:rsidRPr="00A22840">
        <w:rPr>
          <w:lang w:val="en-US"/>
        </w:rPr>
        <w:t>Snellius</w:t>
      </w:r>
      <w:proofErr w:type="spellEnd"/>
      <w:r w:rsidRPr="00A22840">
        <w:rPr>
          <w:lang w:val="en-US"/>
        </w:rPr>
        <w:t xml:space="preserve"> to access the internal state. For feasibility, we will indeed have to restrict this part to smaller (sub-14B) open-weight models such as Llama-3.1-8B, Gemma-4-12B, Qwen-2.5-7B and Mistral-v0.3-7B. I have adjusted this in the research plan in the proposal.</w:t>
      </w:r>
    </w:p>
    <w:p w14:paraId="130B38E6" w14:textId="77777777" w:rsidR="00A22840" w:rsidRPr="00A22840" w:rsidRDefault="00A22840" w:rsidP="00A22840">
      <w:pPr>
        <w:rPr>
          <w:lang w:val="en-US"/>
        </w:rPr>
      </w:pPr>
      <w:r w:rsidRPr="00A22840">
        <w:rPr>
          <w:b/>
          <w:bCs/>
          <w:lang w:val="en-US"/>
        </w:rPr>
        <w:t>Also, how is diversity quantified? Over a specific generation or over many samples? Only one really quantifies collapse?</w:t>
      </w:r>
    </w:p>
    <w:p w14:paraId="30928D99" w14:textId="19AEEA19" w:rsidR="00A22840" w:rsidRPr="00A22840" w:rsidRDefault="00A22840" w:rsidP="00A22840">
      <w:pPr>
        <w:rPr>
          <w:lang w:val="en-US"/>
        </w:rPr>
      </w:pPr>
      <w:r>
        <w:rPr>
          <w:lang w:val="en-US"/>
        </w:rPr>
        <w:t>&gt;&gt;&gt;</w:t>
      </w:r>
      <w:r w:rsidRPr="00A22840">
        <w:rPr>
          <w:lang w:val="en-US"/>
        </w:rPr>
        <w:t>Diversity was originally intended to be quantified over a specific generation by measuring the semantic distance between the generated response and the task item, alongside inverse frequency compared to an existing response database. However, for some of the tasks may not be as sensible to measure actual diversity this way, thus I have now included to run generation over many samples (N=30) for those tasks to have a diversity metric between the different generated responses. That way we can also quantify collapse better, as obtaining very similar responses each time would signify mode collapse/strong mode seeking behavior.</w:t>
      </w:r>
    </w:p>
    <w:p w14:paraId="014EE959" w14:textId="77777777" w:rsidR="00A22840" w:rsidRPr="00A22840" w:rsidRDefault="00A22840" w:rsidP="00A22840">
      <w:pPr>
        <w:rPr>
          <w:lang w:val="en-US"/>
        </w:rPr>
      </w:pPr>
      <w:r w:rsidRPr="00A22840">
        <w:rPr>
          <w:b/>
          <w:bCs/>
          <w:lang w:val="en-US"/>
        </w:rPr>
        <w:t>Workplan seems okay but I note that some weeks (11 to 18) are dedicated to relating creativity to reasoning and improving/preventing collapse.</w:t>
      </w:r>
    </w:p>
    <w:p w14:paraId="4B5AA8BD" w14:textId="6502AFB2" w:rsidR="00A22840" w:rsidRPr="00A22840" w:rsidRDefault="00A22840" w:rsidP="00A22840">
      <w:pPr>
        <w:rPr>
          <w:lang w:val="en-US"/>
        </w:rPr>
      </w:pPr>
      <w:r>
        <w:rPr>
          <w:lang w:val="en-US"/>
        </w:rPr>
        <w:t>&gt;&gt;&gt;</w:t>
      </w:r>
      <w:r w:rsidRPr="00A22840">
        <w:rPr>
          <w:lang w:val="en-US"/>
        </w:rPr>
        <w:t>Thank you, these were indeed erroneously left over from a previous version of the proposal. I have now changed them to the correct planning of the mechanistic interpretability for the current hypotheses, and for investigating the implications of the potential findings.</w:t>
      </w:r>
    </w:p>
    <w:p w14:paraId="51154040" w14:textId="77777777" w:rsidR="00835788" w:rsidRPr="00A22840" w:rsidRDefault="00835788">
      <w:pPr>
        <w:rPr>
          <w:lang w:val="en-US"/>
        </w:rPr>
      </w:pPr>
    </w:p>
    <w:sectPr w:rsidR="00835788" w:rsidRPr="00A228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40"/>
    <w:rsid w:val="00490791"/>
    <w:rsid w:val="00713153"/>
    <w:rsid w:val="00835788"/>
    <w:rsid w:val="00890777"/>
    <w:rsid w:val="009A142C"/>
    <w:rsid w:val="00A228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CD7E"/>
  <w15:chartTrackingRefBased/>
  <w15:docId w15:val="{365B25CE-0E02-4BA4-9331-C711EDDC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142C"/>
    <w:pPr>
      <w:keepNext/>
      <w:keepLines/>
      <w:spacing w:before="240" w:after="0"/>
      <w:jc w:val="center"/>
      <w:outlineLvl w:val="0"/>
    </w:pPr>
    <w:rPr>
      <w:rFonts w:ascii="Calibri" w:eastAsiaTheme="majorEastAsia" w:hAnsi="Calibri" w:cstheme="majorBidi"/>
      <w:b/>
      <w:color w:val="0F4761" w:themeColor="accent1" w:themeShade="BF"/>
      <w:szCs w:val="32"/>
    </w:rPr>
  </w:style>
  <w:style w:type="paragraph" w:styleId="Kop2">
    <w:name w:val="heading 2"/>
    <w:basedOn w:val="Standaard"/>
    <w:next w:val="Standaard"/>
    <w:link w:val="Kop2Char"/>
    <w:uiPriority w:val="9"/>
    <w:semiHidden/>
    <w:unhideWhenUsed/>
    <w:qFormat/>
    <w:rsid w:val="00A22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2284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2284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2284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2284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2284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2284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2284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42C"/>
    <w:rPr>
      <w:rFonts w:ascii="Calibri" w:eastAsiaTheme="majorEastAsia" w:hAnsi="Calibri" w:cstheme="majorBidi"/>
      <w:b/>
      <w:color w:val="0F4761" w:themeColor="accent1" w:themeShade="BF"/>
      <w:szCs w:val="32"/>
    </w:rPr>
  </w:style>
  <w:style w:type="character" w:customStyle="1" w:styleId="Kop2Char">
    <w:name w:val="Kop 2 Char"/>
    <w:basedOn w:val="Standaardalinea-lettertype"/>
    <w:link w:val="Kop2"/>
    <w:uiPriority w:val="9"/>
    <w:semiHidden/>
    <w:rsid w:val="00A2284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2284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2284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2284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2284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2284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2284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22840"/>
    <w:rPr>
      <w:rFonts w:eastAsiaTheme="majorEastAsia" w:cstheme="majorBidi"/>
      <w:color w:val="272727" w:themeColor="text1" w:themeTint="D8"/>
    </w:rPr>
  </w:style>
  <w:style w:type="paragraph" w:styleId="Titel">
    <w:name w:val="Title"/>
    <w:basedOn w:val="Standaard"/>
    <w:next w:val="Standaard"/>
    <w:link w:val="TitelChar"/>
    <w:uiPriority w:val="10"/>
    <w:qFormat/>
    <w:rsid w:val="00A2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2284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2284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2284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2284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22840"/>
    <w:rPr>
      <w:i/>
      <w:iCs/>
      <w:color w:val="404040" w:themeColor="text1" w:themeTint="BF"/>
    </w:rPr>
  </w:style>
  <w:style w:type="paragraph" w:styleId="Lijstalinea">
    <w:name w:val="List Paragraph"/>
    <w:basedOn w:val="Standaard"/>
    <w:uiPriority w:val="34"/>
    <w:qFormat/>
    <w:rsid w:val="00A22840"/>
    <w:pPr>
      <w:ind w:left="720"/>
      <w:contextualSpacing/>
    </w:pPr>
  </w:style>
  <w:style w:type="character" w:styleId="Intensievebenadrukking">
    <w:name w:val="Intense Emphasis"/>
    <w:basedOn w:val="Standaardalinea-lettertype"/>
    <w:uiPriority w:val="21"/>
    <w:qFormat/>
    <w:rsid w:val="00A22840"/>
    <w:rPr>
      <w:i/>
      <w:iCs/>
      <w:color w:val="0F4761" w:themeColor="accent1" w:themeShade="BF"/>
    </w:rPr>
  </w:style>
  <w:style w:type="paragraph" w:styleId="Duidelijkcitaat">
    <w:name w:val="Intense Quote"/>
    <w:basedOn w:val="Standaard"/>
    <w:next w:val="Standaard"/>
    <w:link w:val="DuidelijkcitaatChar"/>
    <w:uiPriority w:val="30"/>
    <w:qFormat/>
    <w:rsid w:val="00A22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22840"/>
    <w:rPr>
      <w:i/>
      <w:iCs/>
      <w:color w:val="0F4761" w:themeColor="accent1" w:themeShade="BF"/>
    </w:rPr>
  </w:style>
  <w:style w:type="character" w:styleId="Intensieveverwijzing">
    <w:name w:val="Intense Reference"/>
    <w:basedOn w:val="Standaardalinea-lettertype"/>
    <w:uiPriority w:val="32"/>
    <w:qFormat/>
    <w:rsid w:val="00A22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F489652DB8E6438C9ED39DB6087A3A" ma:contentTypeVersion="9" ma:contentTypeDescription="Een nieuw document maken." ma:contentTypeScope="" ma:versionID="e4aa0cced16035b5e00bcb55151ecdd4">
  <xsd:schema xmlns:xsd="http://www.w3.org/2001/XMLSchema" xmlns:xs="http://www.w3.org/2001/XMLSchema" xmlns:p="http://schemas.microsoft.com/office/2006/metadata/properties" xmlns:ns3="1fb30c03-21be-4606-8252-0e8da85d7285" xmlns:ns4="98dadf28-01f9-46f4-9a21-5d55c03ce55c" targetNamespace="http://schemas.microsoft.com/office/2006/metadata/properties" ma:root="true" ma:fieldsID="b06a814aaf894bfff6b2698745159b7e" ns3:_="" ns4:_="">
    <xsd:import namespace="1fb30c03-21be-4606-8252-0e8da85d7285"/>
    <xsd:import namespace="98dadf28-01f9-46f4-9a21-5d55c03ce55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DateTaken"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30c03-21be-4606-8252-0e8da85d7285"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dadf28-01f9-46f4-9a21-5d55c03ce55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dadf28-01f9-46f4-9a21-5d55c03ce55c" xsi:nil="true"/>
  </documentManagement>
</p:properties>
</file>

<file path=customXml/itemProps1.xml><?xml version="1.0" encoding="utf-8"?>
<ds:datastoreItem xmlns:ds="http://schemas.openxmlformats.org/officeDocument/2006/customXml" ds:itemID="{F1191974-8D64-4851-B6E9-924D4FCC0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30c03-21be-4606-8252-0e8da85d7285"/>
    <ds:schemaRef ds:uri="98dadf28-01f9-46f4-9a21-5d55c03ce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EC40B6-CC42-4AAD-8B4B-F9B2B966573D}">
  <ds:schemaRefs>
    <ds:schemaRef ds:uri="http://schemas.microsoft.com/sharepoint/v3/contenttype/forms"/>
  </ds:schemaRefs>
</ds:datastoreItem>
</file>

<file path=customXml/itemProps3.xml><?xml version="1.0" encoding="utf-8"?>
<ds:datastoreItem xmlns:ds="http://schemas.openxmlformats.org/officeDocument/2006/customXml" ds:itemID="{56BD79C3-25CF-4231-9609-DEFF44ECB436}">
  <ds:schemaRefs>
    <ds:schemaRef ds:uri="http://schemas.microsoft.com/office/2006/metadata/properties"/>
    <ds:schemaRef ds:uri="http://schemas.microsoft.com/office/infopath/2007/PartnerControls"/>
    <ds:schemaRef ds:uri="98dadf28-01f9-46f4-9a21-5d55c03ce55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1475</Words>
  <Characters>8116</Characters>
  <Application>Microsoft Office Word</Application>
  <DocSecurity>0</DocSecurity>
  <Lines>67</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Smidi</dc:creator>
  <cp:keywords/>
  <dc:description/>
  <cp:lastModifiedBy>Julio Smidi</cp:lastModifiedBy>
  <cp:revision>2</cp:revision>
  <dcterms:created xsi:type="dcterms:W3CDTF">2026-09-20T20:53:00Z</dcterms:created>
  <dcterms:modified xsi:type="dcterms:W3CDTF">2026-09-20T20:53:00Z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0x0101001CF489652DB8E6438C9ED39DB6087A3A</vt:lpwstr>
  </property>
</Properties>
</file>