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center"/>
        <w:rPr>
          <w:rFonts w:ascii="Times" w:cs="Times" w:eastAsia="Times" w:hAnsi="Times"/>
          <w:sz w:val="28"/>
          <w:szCs w:val="28"/>
        </w:rPr>
        <w:sectPr>
          <w:footerReference r:id="rId6" w:type="default"/>
          <w:pgSz w:h="16838" w:w="11906" w:orient="portrait"/>
          <w:pgMar w:bottom="1133.8582677165355" w:top="1133.8582677165355" w:left="1133.8582677165355" w:right="1133.8582677165355" w:header="283.46456692913387" w:footer="283.46456692913387"/>
          <w:pgNumType w:start="1"/>
        </w:sect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Tema </w:t>
      </w:r>
      <w:r w:rsidDel="00000000" w:rsidR="00000000" w:rsidRPr="00000000">
        <w:rPr>
          <w:b w:val="1"/>
          <w:sz w:val="28"/>
          <w:szCs w:val="28"/>
          <w:rtl w:val="0"/>
        </w:rPr>
        <w:t xml:space="preserve">8 Ética y religión</w:t>
      </w:r>
      <w:r w:rsidDel="00000000" w:rsidR="00000000" w:rsidRPr="00000000">
        <w:rPr>
          <w:rtl w:val="0"/>
        </w:rPr>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tabs>
              <w:tab w:val="right" w:leader="dot" w:pos="12000"/>
            </w:tabs>
            <w:spacing w:before="60" w:line="240" w:lineRule="auto"/>
            <w:ind w:firstLine="0"/>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rj453gvkr3a">
            <w:r w:rsidDel="00000000" w:rsidR="00000000" w:rsidRPr="00000000">
              <w:rPr>
                <w:b w:val="1"/>
                <w:color w:val="000000"/>
                <w:u w:val="none"/>
                <w:rtl w:val="0"/>
              </w:rPr>
              <w:t xml:space="preserve">1. El ámbito de lo religiosos</w:t>
              <w:tab/>
            </w:r>
          </w:hyperlink>
          <w:r w:rsidDel="00000000" w:rsidR="00000000" w:rsidRPr="00000000">
            <w:fldChar w:fldCharType="begin"/>
            <w:instrText xml:space="preserve"> PAGEREF _jrj453gvkr3a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dot" w:pos="12000"/>
            </w:tabs>
            <w:spacing w:before="60" w:line="240" w:lineRule="auto"/>
            <w:ind w:firstLine="0"/>
            <w:jc w:val="left"/>
            <w:rPr>
              <w:b w:val="1"/>
              <w:color w:val="000000"/>
              <w:u w:val="none"/>
            </w:rPr>
          </w:pPr>
          <w:hyperlink w:anchor="_fhbx9dp41nf0">
            <w:r w:rsidDel="00000000" w:rsidR="00000000" w:rsidRPr="00000000">
              <w:rPr>
                <w:b w:val="1"/>
                <w:color w:val="000000"/>
                <w:u w:val="none"/>
                <w:rtl w:val="0"/>
              </w:rPr>
              <w:t xml:space="preserve">2. Problemas de fundamentación</w:t>
              <w:tab/>
            </w:r>
          </w:hyperlink>
          <w:r w:rsidDel="00000000" w:rsidR="00000000" w:rsidRPr="00000000">
            <w:fldChar w:fldCharType="begin"/>
            <w:instrText xml:space="preserve"> PAGEREF _fhbx9dp41nf0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dot" w:pos="12000"/>
            </w:tabs>
            <w:spacing w:before="60" w:line="240" w:lineRule="auto"/>
            <w:ind w:left="360" w:firstLine="0"/>
            <w:jc w:val="left"/>
            <w:rPr>
              <w:color w:val="000000"/>
              <w:u w:val="none"/>
            </w:rPr>
          </w:pPr>
          <w:hyperlink w:anchor="_y70ip9utumeo">
            <w:r w:rsidDel="00000000" w:rsidR="00000000" w:rsidRPr="00000000">
              <w:rPr>
                <w:color w:val="000000"/>
                <w:u w:val="none"/>
                <w:rtl w:val="0"/>
              </w:rPr>
              <w:t xml:space="preserve">2.1. La trayectoria de la pregunta</w:t>
              <w:tab/>
            </w:r>
          </w:hyperlink>
          <w:r w:rsidDel="00000000" w:rsidR="00000000" w:rsidRPr="00000000">
            <w:fldChar w:fldCharType="begin"/>
            <w:instrText xml:space="preserve"> PAGEREF _y70ip9utumeo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dot" w:pos="12000"/>
            </w:tabs>
            <w:spacing w:before="60" w:line="240" w:lineRule="auto"/>
            <w:ind w:left="720" w:firstLine="0"/>
            <w:jc w:val="left"/>
            <w:rPr>
              <w:color w:val="000000"/>
              <w:u w:val="none"/>
            </w:rPr>
          </w:pPr>
          <w:hyperlink w:anchor="_fuvxqerz3tq4">
            <w:r w:rsidDel="00000000" w:rsidR="00000000" w:rsidRPr="00000000">
              <w:rPr>
                <w:color w:val="000000"/>
                <w:u w:val="none"/>
                <w:rtl w:val="0"/>
              </w:rPr>
              <w:t xml:space="preserve">2.1.1. Crítica de la moral natural. El concepto de humanidad como categoría moral.</w:t>
              <w:tab/>
            </w:r>
          </w:hyperlink>
          <w:r w:rsidDel="00000000" w:rsidR="00000000" w:rsidRPr="00000000">
            <w:fldChar w:fldCharType="begin"/>
            <w:instrText xml:space="preserve"> PAGEREF _fuvxqerz3tq4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dot" w:pos="12000"/>
            </w:tabs>
            <w:spacing w:before="60" w:line="240" w:lineRule="auto"/>
            <w:ind w:left="720" w:firstLine="0"/>
            <w:jc w:val="left"/>
            <w:rPr>
              <w:color w:val="000000"/>
              <w:u w:val="none"/>
            </w:rPr>
          </w:pPr>
          <w:hyperlink w:anchor="_udp1xibpexcu">
            <w:r w:rsidDel="00000000" w:rsidR="00000000" w:rsidRPr="00000000">
              <w:rPr>
                <w:color w:val="000000"/>
                <w:u w:val="none"/>
                <w:rtl w:val="0"/>
              </w:rPr>
              <w:t xml:space="preserve">2.1.2. La muerte de Dios</w:t>
              <w:tab/>
            </w:r>
          </w:hyperlink>
          <w:r w:rsidDel="00000000" w:rsidR="00000000" w:rsidRPr="00000000">
            <w:fldChar w:fldCharType="begin"/>
            <w:instrText xml:space="preserve"> PAGEREF _udp1xibpexcu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dot" w:pos="12000"/>
            </w:tabs>
            <w:spacing w:before="60" w:line="240" w:lineRule="auto"/>
            <w:ind w:left="360" w:firstLine="0"/>
            <w:jc w:val="left"/>
            <w:rPr>
              <w:color w:val="000000"/>
              <w:u w:val="none"/>
            </w:rPr>
          </w:pPr>
          <w:hyperlink w:anchor="_t8qam7os0ful">
            <w:r w:rsidDel="00000000" w:rsidR="00000000" w:rsidRPr="00000000">
              <w:rPr>
                <w:color w:val="000000"/>
                <w:u w:val="none"/>
                <w:rtl w:val="0"/>
              </w:rPr>
              <w:t xml:space="preserve">2.2. El intento kantiano y sus límites</w:t>
              <w:tab/>
            </w:r>
          </w:hyperlink>
          <w:r w:rsidDel="00000000" w:rsidR="00000000" w:rsidRPr="00000000">
            <w:fldChar w:fldCharType="begin"/>
            <w:instrText xml:space="preserve"> PAGEREF _t8qam7os0ful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dot" w:pos="12000"/>
            </w:tabs>
            <w:spacing w:before="60" w:line="240" w:lineRule="auto"/>
            <w:ind w:left="720" w:firstLine="0"/>
            <w:jc w:val="left"/>
            <w:rPr>
              <w:color w:val="000000"/>
              <w:u w:val="none"/>
            </w:rPr>
          </w:pPr>
          <w:hyperlink w:anchor="_7s7g1cs45f3i">
            <w:r w:rsidDel="00000000" w:rsidR="00000000" w:rsidRPr="00000000">
              <w:rPr>
                <w:color w:val="000000"/>
                <w:u w:val="none"/>
                <w:rtl w:val="0"/>
              </w:rPr>
              <w:t xml:space="preserve">2.2.1. El alegato de Kolakowski</w:t>
              <w:tab/>
            </w:r>
          </w:hyperlink>
          <w:r w:rsidDel="00000000" w:rsidR="00000000" w:rsidRPr="00000000">
            <w:fldChar w:fldCharType="begin"/>
            <w:instrText xml:space="preserve"> PAGEREF _7s7g1cs45f3i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dot" w:pos="12000"/>
            </w:tabs>
            <w:spacing w:before="60" w:line="240" w:lineRule="auto"/>
            <w:ind w:left="1080" w:firstLine="0"/>
            <w:jc w:val="left"/>
            <w:rPr>
              <w:color w:val="000000"/>
              <w:u w:val="none"/>
            </w:rPr>
          </w:pPr>
          <w:hyperlink w:anchor="_5ld4gvh6hnsz">
            <w:r w:rsidDel="00000000" w:rsidR="00000000" w:rsidRPr="00000000">
              <w:rPr>
                <w:color w:val="000000"/>
                <w:u w:val="none"/>
                <w:rtl w:val="0"/>
              </w:rPr>
              <w:t xml:space="preserve">2.2.1.1. Sobre las formulaciones del imperativo categórico y la dignidad humana</w:t>
              <w:tab/>
            </w:r>
          </w:hyperlink>
          <w:r w:rsidDel="00000000" w:rsidR="00000000" w:rsidRPr="00000000">
            <w:fldChar w:fldCharType="begin"/>
            <w:instrText xml:space="preserve"> PAGEREF _5ld4gvh6hnsz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dot" w:pos="12000"/>
            </w:tabs>
            <w:spacing w:before="60" w:line="240" w:lineRule="auto"/>
            <w:ind w:left="1080" w:firstLine="0"/>
            <w:jc w:val="left"/>
            <w:rPr>
              <w:color w:val="000000"/>
              <w:u w:val="none"/>
            </w:rPr>
          </w:pPr>
          <w:hyperlink w:anchor="_kkyzl0ufl0ge">
            <w:r w:rsidDel="00000000" w:rsidR="00000000" w:rsidRPr="00000000">
              <w:rPr>
                <w:color w:val="000000"/>
                <w:u w:val="none"/>
                <w:rtl w:val="0"/>
              </w:rPr>
              <w:t xml:space="preserve">2.2.1.2. El tabú y la cupla</w:t>
              <w:tab/>
            </w:r>
          </w:hyperlink>
          <w:r w:rsidDel="00000000" w:rsidR="00000000" w:rsidRPr="00000000">
            <w:fldChar w:fldCharType="begin"/>
            <w:instrText xml:space="preserve"> PAGEREF _kkyzl0ufl0ge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dot" w:pos="12000"/>
            </w:tabs>
            <w:spacing w:before="60" w:line="240" w:lineRule="auto"/>
            <w:ind w:left="720" w:firstLine="0"/>
            <w:jc w:val="left"/>
            <w:rPr>
              <w:color w:val="000000"/>
              <w:u w:val="none"/>
            </w:rPr>
          </w:pPr>
          <w:hyperlink w:anchor="_qyttahq00ke4">
            <w:r w:rsidDel="00000000" w:rsidR="00000000" w:rsidRPr="00000000">
              <w:rPr>
                <w:color w:val="000000"/>
                <w:u w:val="none"/>
                <w:rtl w:val="0"/>
              </w:rPr>
              <w:t xml:space="preserve">2.2.2. Otros comentarios</w:t>
              <w:tab/>
            </w:r>
          </w:hyperlink>
          <w:r w:rsidDel="00000000" w:rsidR="00000000" w:rsidRPr="00000000">
            <w:fldChar w:fldCharType="begin"/>
            <w:instrText xml:space="preserve"> PAGEREF _qyttahq00ke4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dot" w:pos="12000"/>
            </w:tabs>
            <w:spacing w:before="60" w:line="240" w:lineRule="auto"/>
            <w:ind w:left="360" w:firstLine="0"/>
            <w:jc w:val="left"/>
            <w:rPr>
              <w:color w:val="000000"/>
              <w:u w:val="none"/>
            </w:rPr>
          </w:pPr>
          <w:hyperlink w:anchor="_e191qxz4p8d8">
            <w:r w:rsidDel="00000000" w:rsidR="00000000" w:rsidRPr="00000000">
              <w:rPr>
                <w:color w:val="000000"/>
                <w:u w:val="none"/>
                <w:rtl w:val="0"/>
              </w:rPr>
              <w:t xml:space="preserve">2.3. Replanteamiento en las éticas discursivas</w:t>
              <w:tab/>
            </w:r>
          </w:hyperlink>
          <w:r w:rsidDel="00000000" w:rsidR="00000000" w:rsidRPr="00000000">
            <w:fldChar w:fldCharType="begin"/>
            <w:instrText xml:space="preserve"> PAGEREF _e191qxz4p8d8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dot" w:pos="12000"/>
            </w:tabs>
            <w:spacing w:before="60" w:line="240" w:lineRule="auto"/>
            <w:ind w:left="360" w:firstLine="0"/>
            <w:jc w:val="left"/>
            <w:rPr>
              <w:color w:val="000000"/>
              <w:u w:val="none"/>
            </w:rPr>
          </w:pPr>
          <w:hyperlink w:anchor="_frua19dxajvl">
            <w:r w:rsidDel="00000000" w:rsidR="00000000" w:rsidRPr="00000000">
              <w:rPr>
                <w:color w:val="000000"/>
                <w:u w:val="none"/>
                <w:rtl w:val="0"/>
              </w:rPr>
              <w:t xml:space="preserve">2.4. Una fundamentación débil</w:t>
              <w:tab/>
            </w:r>
          </w:hyperlink>
          <w:r w:rsidDel="00000000" w:rsidR="00000000" w:rsidRPr="00000000">
            <w:fldChar w:fldCharType="begin"/>
            <w:instrText xml:space="preserve"> PAGEREF _frua19dxajvl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dot" w:pos="12000"/>
            </w:tabs>
            <w:spacing w:before="60" w:line="240" w:lineRule="auto"/>
            <w:ind w:firstLine="0"/>
            <w:jc w:val="left"/>
            <w:rPr>
              <w:b w:val="1"/>
              <w:color w:val="000000"/>
              <w:u w:val="none"/>
            </w:rPr>
          </w:pPr>
          <w:hyperlink w:anchor="_d5j5u8tbvp89">
            <w:r w:rsidDel="00000000" w:rsidR="00000000" w:rsidRPr="00000000">
              <w:rPr>
                <w:b w:val="1"/>
                <w:color w:val="000000"/>
                <w:u w:val="none"/>
                <w:rtl w:val="0"/>
              </w:rPr>
              <w:t xml:space="preserve">3. Autonomía ética y concepción religiosa</w:t>
              <w:tab/>
            </w:r>
          </w:hyperlink>
          <w:r w:rsidDel="00000000" w:rsidR="00000000" w:rsidRPr="00000000">
            <w:fldChar w:fldCharType="begin"/>
            <w:instrText xml:space="preserve"> PAGEREF _d5j5u8tbvp89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dot" w:pos="12000"/>
            </w:tabs>
            <w:spacing w:before="60" w:line="240" w:lineRule="auto"/>
            <w:ind w:left="360" w:firstLine="0"/>
            <w:jc w:val="left"/>
            <w:rPr>
              <w:color w:val="000000"/>
              <w:u w:val="none"/>
            </w:rPr>
          </w:pPr>
          <w:hyperlink w:anchor="_upq9gf7s6f2y">
            <w:r w:rsidDel="00000000" w:rsidR="00000000" w:rsidRPr="00000000">
              <w:rPr>
                <w:color w:val="000000"/>
                <w:u w:val="none"/>
                <w:rtl w:val="0"/>
              </w:rPr>
              <w:t xml:space="preserve">3.1. La ética en el cristianismo</w:t>
              <w:tab/>
            </w:r>
          </w:hyperlink>
          <w:r w:rsidDel="00000000" w:rsidR="00000000" w:rsidRPr="00000000">
            <w:fldChar w:fldCharType="begin"/>
            <w:instrText xml:space="preserve"> PAGEREF _upq9gf7s6f2y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dot" w:pos="12000"/>
            </w:tabs>
            <w:spacing w:before="60" w:line="240" w:lineRule="auto"/>
            <w:ind w:left="360" w:firstLine="0"/>
            <w:jc w:val="left"/>
            <w:rPr>
              <w:color w:val="000000"/>
              <w:u w:val="none"/>
            </w:rPr>
          </w:pPr>
          <w:hyperlink w:anchor="_lyr85topb1d6">
            <w:r w:rsidDel="00000000" w:rsidR="00000000" w:rsidRPr="00000000">
              <w:rPr>
                <w:color w:val="000000"/>
                <w:u w:val="none"/>
                <w:rtl w:val="0"/>
              </w:rPr>
              <w:t xml:space="preserve">3.2. La fantasía del Dios legislador</w:t>
              <w:tab/>
            </w:r>
          </w:hyperlink>
          <w:r w:rsidDel="00000000" w:rsidR="00000000" w:rsidRPr="00000000">
            <w:fldChar w:fldCharType="begin"/>
            <w:instrText xml:space="preserve"> PAGEREF _lyr85topb1d6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dot" w:pos="12000"/>
            </w:tabs>
            <w:spacing w:before="60" w:line="240" w:lineRule="auto"/>
            <w:ind w:left="360" w:firstLine="0"/>
            <w:jc w:val="left"/>
            <w:rPr>
              <w:color w:val="000000"/>
              <w:u w:val="none"/>
            </w:rPr>
          </w:pPr>
          <w:hyperlink w:anchor="_g6hlte4c2qkc">
            <w:r w:rsidDel="00000000" w:rsidR="00000000" w:rsidRPr="00000000">
              <w:rPr>
                <w:color w:val="000000"/>
                <w:u w:val="none"/>
                <w:rtl w:val="0"/>
              </w:rPr>
              <w:t xml:space="preserve">3.3. Autonomía ética y teocentrismo</w:t>
              <w:tab/>
            </w:r>
          </w:hyperlink>
          <w:r w:rsidDel="00000000" w:rsidR="00000000" w:rsidRPr="00000000">
            <w:fldChar w:fldCharType="begin"/>
            <w:instrText xml:space="preserve"> PAGEREF _g6hlte4c2qkc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dot" w:pos="12000"/>
            </w:tabs>
            <w:spacing w:before="60" w:line="240" w:lineRule="auto"/>
            <w:ind w:firstLine="0"/>
            <w:jc w:val="left"/>
            <w:rPr>
              <w:b w:val="1"/>
              <w:color w:val="000000"/>
              <w:u w:val="none"/>
            </w:rPr>
          </w:pPr>
          <w:hyperlink w:anchor="_ikrotdjnmmej">
            <w:r w:rsidDel="00000000" w:rsidR="00000000" w:rsidRPr="00000000">
              <w:rPr>
                <w:b w:val="1"/>
                <w:color w:val="000000"/>
                <w:u w:val="none"/>
                <w:rtl w:val="0"/>
              </w:rPr>
              <w:t xml:space="preserve">4. Derroteros de la esperanza</w:t>
              <w:tab/>
            </w:r>
          </w:hyperlink>
          <w:r w:rsidDel="00000000" w:rsidR="00000000" w:rsidRPr="00000000">
            <w:fldChar w:fldCharType="begin"/>
            <w:instrText xml:space="preserve"> PAGEREF _ikrotdjnmmej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dot" w:pos="12000"/>
            </w:tabs>
            <w:spacing w:before="60" w:line="240" w:lineRule="auto"/>
            <w:ind w:left="360" w:firstLine="0"/>
            <w:jc w:val="left"/>
            <w:rPr>
              <w:color w:val="000000"/>
              <w:u w:val="none"/>
            </w:rPr>
          </w:pPr>
          <w:hyperlink w:anchor="_81gy3iovguid">
            <w:r w:rsidDel="00000000" w:rsidR="00000000" w:rsidRPr="00000000">
              <w:rPr>
                <w:color w:val="000000"/>
                <w:u w:val="none"/>
                <w:rtl w:val="0"/>
              </w:rPr>
              <w:t xml:space="preserve">4.1. La esperanza en las encrucijadas de la Modernidad</w:t>
              <w:tab/>
            </w:r>
          </w:hyperlink>
          <w:r w:rsidDel="00000000" w:rsidR="00000000" w:rsidRPr="00000000">
            <w:fldChar w:fldCharType="begin"/>
            <w:instrText xml:space="preserve"> PAGEREF _81gy3iovguid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dot" w:pos="12000"/>
            </w:tabs>
            <w:spacing w:before="60" w:line="240" w:lineRule="auto"/>
            <w:ind w:left="360" w:firstLine="0"/>
            <w:jc w:val="left"/>
            <w:rPr>
              <w:color w:val="000000"/>
              <w:u w:val="none"/>
            </w:rPr>
          </w:pPr>
          <w:hyperlink w:anchor="_1zgw7jblowoo">
            <w:r w:rsidDel="00000000" w:rsidR="00000000" w:rsidRPr="00000000">
              <w:rPr>
                <w:color w:val="000000"/>
                <w:u w:val="none"/>
                <w:rtl w:val="0"/>
              </w:rPr>
              <w:t xml:space="preserve">4.2. Temor y deseo en la génesis de la religión</w:t>
              <w:tab/>
            </w:r>
          </w:hyperlink>
          <w:r w:rsidDel="00000000" w:rsidR="00000000" w:rsidRPr="00000000">
            <w:fldChar w:fldCharType="begin"/>
            <w:instrText xml:space="preserve"> PAGEREF _1zgw7jblowoo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dot" w:pos="12000"/>
            </w:tabs>
            <w:spacing w:before="60" w:line="240" w:lineRule="auto"/>
            <w:ind w:left="360" w:firstLine="0"/>
            <w:jc w:val="left"/>
            <w:rPr>
              <w:color w:val="000000"/>
              <w:u w:val="none"/>
            </w:rPr>
          </w:pPr>
          <w:hyperlink w:anchor="_uffupu8y2hwq">
            <w:r w:rsidDel="00000000" w:rsidR="00000000" w:rsidRPr="00000000">
              <w:rPr>
                <w:color w:val="000000"/>
                <w:u w:val="none"/>
                <w:rtl w:val="0"/>
              </w:rPr>
              <w:t xml:space="preserve">4.3. Entre la muerte de Dios y el retorno de la religión</w:t>
              <w:tab/>
            </w:r>
          </w:hyperlink>
          <w:r w:rsidDel="00000000" w:rsidR="00000000" w:rsidRPr="00000000">
            <w:fldChar w:fldCharType="begin"/>
            <w:instrText xml:space="preserve"> PAGEREF _uffupu8y2hwq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both"/>
        <w:rPr/>
        <w:sectPr>
          <w:type w:val="continuous"/>
          <w:pgSz w:h="16838" w:w="11906" w:orient="portrait"/>
          <w:pgMar w:bottom="1133.8582677165355" w:top="1133.8582677165355" w:left="1133.8582677165355" w:right="1133.8582677165355" w:header="283.46456692913387" w:footer="283.46456692913387"/>
        </w:sectPr>
      </w:pPr>
      <w:r w:rsidDel="00000000" w:rsidR="00000000" w:rsidRPr="00000000">
        <w:rPr>
          <w:rtl w:val="0"/>
        </w:rPr>
      </w:r>
    </w:p>
    <w:p w:rsidR="00000000" w:rsidDel="00000000" w:rsidP="00000000" w:rsidRDefault="00000000" w:rsidRPr="00000000" w14:paraId="00000018">
      <w:pPr>
        <w:pStyle w:val="Heading1"/>
        <w:tabs>
          <w:tab w:val="right" w:leader="none" w:pos="9638"/>
        </w:tabs>
        <w:rPr/>
      </w:pPr>
      <w:bookmarkStart w:colFirst="0" w:colLast="0" w:name="_jrj453gvkr3a" w:id="0"/>
      <w:bookmarkEnd w:id="0"/>
      <w:r w:rsidDel="00000000" w:rsidR="00000000" w:rsidRPr="00000000">
        <w:rPr>
          <w:rtl w:val="0"/>
        </w:rPr>
        <w:t xml:space="preserve">1. </w:t>
      </w:r>
      <w:r w:rsidDel="00000000" w:rsidR="00000000" w:rsidRPr="00000000">
        <w:rPr>
          <w:rtl w:val="0"/>
        </w:rPr>
        <w:t xml:space="preserve">El ámbito de lo religiosos</w:t>
      </w:r>
    </w:p>
    <w:p w:rsidR="00000000" w:rsidDel="00000000" w:rsidP="00000000" w:rsidRDefault="00000000" w:rsidRPr="00000000" w14:paraId="00000019">
      <w:pPr>
        <w:tabs>
          <w:tab w:val="right" w:leader="none" w:pos="9638"/>
        </w:tabs>
        <w:rPr/>
      </w:pPr>
      <w:r w:rsidDel="00000000" w:rsidR="00000000" w:rsidRPr="00000000">
        <w:rPr>
          <w:rtl w:val="0"/>
        </w:rPr>
        <w:t xml:space="preserve">Con la muerte de Dios, a partir del s. xviii, la religión ha perdido peso en la sociedad pasando a ser más un supuesto limitado y cambiante. El problema de las creencias tradicionales, el conflicto entre la visión sagrada del mundo y la secular, entre lo sagrado y lo profano. El conflicto afecta a nuestra visión moral del mundo, pues, tradicionalmente, las diversas morales estaban enraizadas en una concepción religiosa. Al desprenderse de ésta, la moral ha de buscar nuevas fuentes de inspiración, cómo afrontar esas cuestiones límite a las que se ve abocada y que la acercan a temas tratados habitualmente por la religión.</w:t>
      </w:r>
    </w:p>
    <w:p w:rsidR="00000000" w:rsidDel="00000000" w:rsidP="00000000" w:rsidRDefault="00000000" w:rsidRPr="00000000" w14:paraId="0000001A">
      <w:pPr>
        <w:tabs>
          <w:tab w:val="right" w:leader="none" w:pos="9638"/>
        </w:tabs>
        <w:rPr/>
      </w:pPr>
      <w:r w:rsidDel="00000000" w:rsidR="00000000" w:rsidRPr="00000000">
        <w:rPr>
          <w:rtl w:val="0"/>
        </w:rPr>
        <w:t xml:space="preserve">La religión puede ser de tipo: (</w:t>
      </w:r>
      <w:r w:rsidDel="00000000" w:rsidR="00000000" w:rsidRPr="00000000">
        <w:rPr>
          <w:i w:val="1"/>
          <w:rtl w:val="0"/>
        </w:rPr>
        <w:t xml:space="preserve">i</w:t>
      </w:r>
      <w:r w:rsidDel="00000000" w:rsidR="00000000" w:rsidRPr="00000000">
        <w:rPr>
          <w:rtl w:val="0"/>
        </w:rPr>
        <w:t xml:space="preserve">) sustantivo, tratan de indicar el contenido y la esencia de la religión, o (</w:t>
      </w:r>
      <w:r w:rsidDel="00000000" w:rsidR="00000000" w:rsidRPr="00000000">
        <w:rPr>
          <w:i w:val="1"/>
          <w:rtl w:val="0"/>
        </w:rPr>
        <w:t xml:space="preserve">ii</w:t>
      </w:r>
      <w:r w:rsidDel="00000000" w:rsidR="00000000" w:rsidRPr="00000000">
        <w:rPr>
          <w:rtl w:val="0"/>
        </w:rPr>
        <w:t xml:space="preserve">) funcionales, indagan sobre el papel, psicológico o social, que la religión cumple, con independencia de la verdad o falsedad de sus creencias. Estas definiciones oscilan entre (</w:t>
      </w:r>
      <w:r w:rsidDel="00000000" w:rsidR="00000000" w:rsidRPr="00000000">
        <w:rPr>
          <w:i w:val="1"/>
          <w:rtl w:val="0"/>
        </w:rPr>
        <w:t xml:space="preserve">i</w:t>
      </w:r>
      <w:r w:rsidDel="00000000" w:rsidR="00000000" w:rsidRPr="00000000">
        <w:rPr>
          <w:rtl w:val="0"/>
        </w:rPr>
        <w:t xml:space="preserve">) una perspectiva etnocéntrica, lo religioso es aquello que se parezca más o menos vagamente  a la religión prevalente en el medio social, y otra (</w:t>
      </w:r>
      <w:r w:rsidDel="00000000" w:rsidR="00000000" w:rsidRPr="00000000">
        <w:rPr>
          <w:i w:val="1"/>
          <w:rtl w:val="0"/>
        </w:rPr>
        <w:t xml:space="preserve">ii</w:t>
      </w:r>
      <w:r w:rsidDel="00000000" w:rsidR="00000000" w:rsidRPr="00000000">
        <w:rPr>
          <w:rtl w:val="0"/>
        </w:rPr>
        <w:t xml:space="preserve">) que quiere superar tales limitaciones, ampliando de tal modo el concepto que acaba por difuminarse.</w:t>
        <w:br w:type="textWrapping"/>
        <w:t xml:space="preserve">Por ejemplo, las versiones de la religión cristiana son tan variadas que se tendría que elegir entre una concepciń normativa, lo que el cristianismo debería ser o esencialmente es, y otra descriptiva, en la que habría que incluir todas las distintas sensibilidades por las cuales se ha expresado, las distintas ortodoxias de las diversas confesiones, las iglesias , sectas, movimientos sociales, la mística, la Inquisición, etc.</w:t>
      </w:r>
    </w:p>
    <w:p w:rsidR="00000000" w:rsidDel="00000000" w:rsidP="00000000" w:rsidRDefault="00000000" w:rsidRPr="00000000" w14:paraId="0000001B">
      <w:pPr>
        <w:tabs>
          <w:tab w:val="right" w:leader="none" w:pos="9638"/>
        </w:tabs>
        <w:rPr/>
      </w:pPr>
      <w:r w:rsidDel="00000000" w:rsidR="00000000" w:rsidRPr="00000000">
        <w:rPr>
          <w:rtl w:val="0"/>
        </w:rPr>
        <w:t xml:space="preserve">La religión ya no se entiende a modo ilustrado como un religión natural o racional, sino parece más apropiado concebirla a través de la fenomenología de la religión, la cual trata de alcanzar la estructura de lo religioso más que desde el análisis racional, a partir del estudio y la comparación de las diversas religiones históricas, sin entrar a discutir la verdad o falsedad de sus contenidos, sino tratando de describirlos.</w:t>
      </w:r>
    </w:p>
    <w:p w:rsidR="00000000" w:rsidDel="00000000" w:rsidP="00000000" w:rsidRDefault="00000000" w:rsidRPr="00000000" w14:paraId="0000001C">
      <w:pPr>
        <w:tabs>
          <w:tab w:val="right" w:leader="none" w:pos="9638"/>
        </w:tabs>
        <w:rPr/>
      </w:pPr>
      <w:r w:rsidDel="00000000" w:rsidR="00000000" w:rsidRPr="00000000">
        <w:rPr>
          <w:rtl w:val="0"/>
        </w:rPr>
        <w:t xml:space="preserve">Para Rudolf Otto, la religión se podría concebir, más que como relación con Dios, como relación con lo sagrado, definiendo lo sagrado como misterio tremendo y fascinante. El término misterioso a su vez es ambiguo. Los jerarcas eclesiásticos lo han usado a modo autoritario, como consigna de silencio y prohibición de pensar. Pero también canaliza otros aspectos de la realidad relevantes. Frente a la mentalidad positivista, se podría diferenciar entre diversos niveles de cuestionamientos de la realidad: (</w:t>
      </w:r>
      <w:r w:rsidDel="00000000" w:rsidR="00000000" w:rsidRPr="00000000">
        <w:rPr>
          <w:i w:val="1"/>
          <w:rtl w:val="0"/>
        </w:rPr>
        <w:t xml:space="preserve">i</w:t>
      </w:r>
      <w:r w:rsidDel="00000000" w:rsidR="00000000" w:rsidRPr="00000000">
        <w:rPr>
          <w:rtl w:val="0"/>
        </w:rPr>
        <w:t xml:space="preserve">) problema, forma concreta, (</w:t>
      </w:r>
      <w:r w:rsidDel="00000000" w:rsidR="00000000" w:rsidRPr="00000000">
        <w:rPr>
          <w:i w:val="1"/>
          <w:rtl w:val="0"/>
        </w:rPr>
        <w:t xml:space="preserve">ii</w:t>
      </w:r>
      <w:r w:rsidDel="00000000" w:rsidR="00000000" w:rsidRPr="00000000">
        <w:rPr>
          <w:rtl w:val="0"/>
        </w:rPr>
        <w:t xml:space="preserve">) como enigma, noción más borros, (</w:t>
      </w:r>
      <w:r w:rsidDel="00000000" w:rsidR="00000000" w:rsidRPr="00000000">
        <w:rPr>
          <w:i w:val="1"/>
          <w:rtl w:val="0"/>
        </w:rPr>
        <w:t xml:space="preserve">iii</w:t>
      </w:r>
      <w:r w:rsidDel="00000000" w:rsidR="00000000" w:rsidRPr="00000000">
        <w:rPr>
          <w:rtl w:val="0"/>
        </w:rPr>
        <w:t xml:space="preserve">) misterio, relativo a cuestiones globales como el sentido último de la vida. De este cuestionamiento surge, no tanto unos problemas bien definidos, sino actitudes de estupor, perplejidad, asombro, admiración, etc. Para Aristóteles, los hombres comenzaron a filosofar al quedarse maravillados ante algo. Kant confesaba que dos cosas colman el ánimo con una admiración y una veneración siempre renovadas y crecientes, el cielo estrellado sobre mí y la ley moral dentro de mí.</w:t>
        <w:br w:type="textWrapping"/>
        <w:t xml:space="preserve">Sin embargo, admiración no exenta de estremecimiento o temor, siendo estas ambivalencias entre lo fascinante y lo aterrador la que caracteriza la experiencia de lo sublime. Wittgenstein escribió que la experiencia de la ética era la del asombro ante la existencia del mundo; refiriéndose a la mística, dijo que no cómo sea el mundo es lo místico sino que sea.</w:t>
      </w:r>
    </w:p>
    <w:p w:rsidR="00000000" w:rsidDel="00000000" w:rsidP="00000000" w:rsidRDefault="00000000" w:rsidRPr="00000000" w14:paraId="0000001D">
      <w:pPr>
        <w:tabs>
          <w:tab w:val="right" w:leader="none" w:pos="9638"/>
        </w:tabs>
        <w:rPr/>
      </w:pPr>
      <w:r w:rsidDel="00000000" w:rsidR="00000000" w:rsidRPr="00000000">
        <w:rPr>
          <w:rtl w:val="0"/>
        </w:rPr>
        <w:t xml:space="preserve">La fenomenología religiosa no alude a una esfera particular de la realidad, sino a la misma realidad experimentada en la vida cotidiana, desde una perspectiva por la que lo presuntamente conocido pasa a </w:t>
      </w:r>
      <w:r w:rsidDel="00000000" w:rsidR="00000000" w:rsidRPr="00000000">
        <w:rPr>
          <w:rtl w:val="0"/>
        </w:rPr>
        <w:t xml:space="preserve">suscitarnos</w:t>
      </w:r>
      <w:r w:rsidDel="00000000" w:rsidR="00000000" w:rsidRPr="00000000">
        <w:rPr>
          <w:rtl w:val="0"/>
        </w:rPr>
        <w:t xml:space="preserve"> asombro e inquietud, a provocar nuestra admiración pero también extrañeza, y espanto. Así, el ámbito de los sagrado es el ámbito donde nos situamos en las fronteras del mundo y de nuestra existencia, con independencia del valor de verdad que a los posibles referentes religiosos se les pueda atribuir.</w:t>
      </w:r>
    </w:p>
    <w:p w:rsidR="00000000" w:rsidDel="00000000" w:rsidP="00000000" w:rsidRDefault="00000000" w:rsidRPr="00000000" w14:paraId="0000001E">
      <w:pPr>
        <w:pStyle w:val="Heading1"/>
        <w:tabs>
          <w:tab w:val="right" w:leader="none" w:pos="9638"/>
        </w:tabs>
        <w:rPr/>
      </w:pPr>
      <w:bookmarkStart w:colFirst="0" w:colLast="0" w:name="_fhbx9dp41nf0" w:id="1"/>
      <w:bookmarkEnd w:id="1"/>
      <w:r w:rsidDel="00000000" w:rsidR="00000000" w:rsidRPr="00000000">
        <w:rPr>
          <w:rtl w:val="0"/>
        </w:rPr>
        <w:t xml:space="preserve">2. </w:t>
      </w:r>
      <w:r w:rsidDel="00000000" w:rsidR="00000000" w:rsidRPr="00000000">
        <w:rPr>
          <w:rtl w:val="0"/>
        </w:rPr>
        <w:t xml:space="preserve">Problemas de fundamentación</w:t>
      </w:r>
    </w:p>
    <w:p w:rsidR="00000000" w:rsidDel="00000000" w:rsidP="00000000" w:rsidRDefault="00000000" w:rsidRPr="00000000" w14:paraId="0000001F">
      <w:pPr>
        <w:pStyle w:val="Heading2"/>
        <w:tabs>
          <w:tab w:val="right" w:leader="none" w:pos="9638"/>
        </w:tabs>
        <w:rPr/>
      </w:pPr>
      <w:bookmarkStart w:colFirst="0" w:colLast="0" w:name="_y70ip9utumeo" w:id="2"/>
      <w:bookmarkEnd w:id="2"/>
      <w:r w:rsidDel="00000000" w:rsidR="00000000" w:rsidRPr="00000000">
        <w:rPr>
          <w:rtl w:val="0"/>
        </w:rPr>
        <w:t xml:space="preserve">2.1. La trayectoria de la pregunta</w:t>
      </w:r>
    </w:p>
    <w:p w:rsidR="00000000" w:rsidDel="00000000" w:rsidP="00000000" w:rsidRDefault="00000000" w:rsidRPr="00000000" w14:paraId="00000020">
      <w:pPr>
        <w:tabs>
          <w:tab w:val="right" w:leader="none" w:pos="9638"/>
        </w:tabs>
        <w:rPr/>
      </w:pPr>
      <w:r w:rsidDel="00000000" w:rsidR="00000000" w:rsidRPr="00000000">
        <w:rPr>
          <w:rtl w:val="0"/>
        </w:rPr>
        <w:t xml:space="preserve">Dos son los grandes modelos del problema de la fundamentación, en la que se da la propuesta de Kant.</w:t>
      </w:r>
    </w:p>
    <w:p w:rsidR="00000000" w:rsidDel="00000000" w:rsidP="00000000" w:rsidRDefault="00000000" w:rsidRPr="00000000" w14:paraId="00000021">
      <w:pPr>
        <w:pStyle w:val="Heading3"/>
        <w:tabs>
          <w:tab w:val="right" w:leader="none" w:pos="9638"/>
        </w:tabs>
        <w:rPr/>
      </w:pPr>
      <w:bookmarkStart w:colFirst="0" w:colLast="0" w:name="_fuvxqerz3tq4" w:id="3"/>
      <w:bookmarkEnd w:id="3"/>
      <w:r w:rsidDel="00000000" w:rsidR="00000000" w:rsidRPr="00000000">
        <w:rPr>
          <w:rtl w:val="0"/>
        </w:rPr>
        <w:t xml:space="preserve">2.1.1. Crítica de la moral natural. El concepto de humanidad como categoría moral.</w:t>
      </w:r>
    </w:p>
    <w:p w:rsidR="00000000" w:rsidDel="00000000" w:rsidP="00000000" w:rsidRDefault="00000000" w:rsidRPr="00000000" w14:paraId="00000022">
      <w:pPr>
        <w:tabs>
          <w:tab w:val="right" w:leader="none" w:pos="9638"/>
        </w:tabs>
        <w:rPr/>
      </w:pPr>
      <w:r w:rsidDel="00000000" w:rsidR="00000000" w:rsidRPr="00000000">
        <w:rPr>
          <w:rtl w:val="0"/>
        </w:rPr>
        <w:t xml:space="preserve">El concepto de naturaleza viene del mundo griego clásico cuando Aristóteles apelaba a la naturaleza humana para definir su fin, su telos. Pasando por el mundo cristiano medieval. Con la llegada de la Modernidad, el hombre es concebido como un ser que ha de hacerse a sí mismo, sin contar con una naturaleza como algo dado de antemano, fijo.</w:t>
        <w:br w:type="textWrapping"/>
        <w:t xml:space="preserve">Podemos encontrar ecos del sofisma de la moral natural cuando, por ejemplo, la Iglesia apela a la naturaleza para pedir respecto a la vida y posicionarse en contra la muerte digna o el aborto, al mismo tiempos que se nos aconseja no dejarse llevar demasiado fácilmente por las inclinaciones naturales.</w:t>
      </w:r>
    </w:p>
    <w:p w:rsidR="00000000" w:rsidDel="00000000" w:rsidP="00000000" w:rsidRDefault="00000000" w:rsidRPr="00000000" w14:paraId="00000023">
      <w:pPr>
        <w:tabs>
          <w:tab w:val="right" w:leader="none" w:pos="9638"/>
        </w:tabs>
        <w:rPr/>
      </w:pPr>
      <w:r w:rsidDel="00000000" w:rsidR="00000000" w:rsidRPr="00000000">
        <w:rPr>
          <w:rtl w:val="0"/>
        </w:rPr>
        <w:t xml:space="preserve">Hume fue el primero en denunciar formalmente la ilegitimidad del paso del orden del ser al deber ser en su fragmento sobre cuando un autor realiza observaciones sobre la existencia de dios o quehaceres humanos, hay un cambio imperceptible por el cual pasan de hablar de lo que es y no es, a un debe o no debe. Este cambio es imperceptible pero de mayor importancia, pues cuanto este debe o no debe epres una nueva relación o afirmación, es necesario que ésta sea observada y explicada, y que se dé razón de algo que parece absolutamente inconcebible, a saber, cómo es posible que esta nueva relación se deduzca de otras totalmente diferentes.</w:t>
        <w:br w:type="textWrapping"/>
        <w:t xml:space="preserve">E. G. Moore (1873-1958) calificó esta ilegitimidad como falacia naturalista.</w:t>
      </w:r>
    </w:p>
    <w:p w:rsidR="00000000" w:rsidDel="00000000" w:rsidP="00000000" w:rsidRDefault="00000000" w:rsidRPr="00000000" w14:paraId="00000024">
      <w:pPr>
        <w:tabs>
          <w:tab w:val="right" w:leader="none" w:pos="9638"/>
        </w:tabs>
        <w:rPr/>
      </w:pPr>
      <w:r w:rsidDel="00000000" w:rsidR="00000000" w:rsidRPr="00000000">
        <w:rPr>
          <w:rtl w:val="0"/>
        </w:rPr>
        <w:t xml:space="preserve">Nietzsche, sobre el lema estoic vivir según la naturaleza, insistió que vivir es evaluar, preferir, no ser indiferente, frente a un ser como la naturaleza, que es derrochadora sin medida, indiferente sin medida, que carece de intenciones y miramientos, de piedad y de justicia. Por lo que el lema acaba siendo un artificio, sin olvidar el absurdo de querer convertir en un imperativo aquello que vosotros sois y tenéis que ser.</w:t>
      </w:r>
    </w:p>
    <w:p w:rsidR="00000000" w:rsidDel="00000000" w:rsidP="00000000" w:rsidRDefault="00000000" w:rsidRPr="00000000" w14:paraId="00000025">
      <w:pPr>
        <w:tabs>
          <w:tab w:val="right" w:leader="none" w:pos="9638"/>
        </w:tabs>
        <w:rPr/>
      </w:pPr>
      <w:r w:rsidDel="00000000" w:rsidR="00000000" w:rsidRPr="00000000">
        <w:rPr>
          <w:rtl w:val="0"/>
        </w:rPr>
        <w:t xml:space="preserve">Hoy se tiende a considerar la humanidad, más que como una categoría ontológica, referida al ser de las cosas, como una categoría moral, referida al deber ser. El hombre, animal humanizado, ha de encontrar su rostro humano, su verdadera condición o humanidad, y ese empeño es básicamente un empeño moral.</w:t>
      </w:r>
    </w:p>
    <w:p w:rsidR="00000000" w:rsidDel="00000000" w:rsidP="00000000" w:rsidRDefault="00000000" w:rsidRPr="00000000" w14:paraId="00000026">
      <w:pPr>
        <w:pStyle w:val="Heading3"/>
        <w:tabs>
          <w:tab w:val="right" w:leader="none" w:pos="9638"/>
        </w:tabs>
        <w:rPr/>
      </w:pPr>
      <w:bookmarkStart w:colFirst="0" w:colLast="0" w:name="_udp1xibpexcu" w:id="4"/>
      <w:bookmarkEnd w:id="4"/>
      <w:r w:rsidDel="00000000" w:rsidR="00000000" w:rsidRPr="00000000">
        <w:rPr>
          <w:rtl w:val="0"/>
        </w:rPr>
        <w:t xml:space="preserve">2.1.2. La muerte de Dios</w:t>
      </w:r>
    </w:p>
    <w:p w:rsidR="00000000" w:rsidDel="00000000" w:rsidP="00000000" w:rsidRDefault="00000000" w:rsidRPr="00000000" w14:paraId="00000027">
      <w:pPr>
        <w:tabs>
          <w:tab w:val="right" w:leader="none" w:pos="9638"/>
        </w:tabs>
        <w:rPr/>
      </w:pPr>
      <w:r w:rsidDel="00000000" w:rsidR="00000000" w:rsidRPr="00000000">
        <w:rPr>
          <w:rtl w:val="0"/>
        </w:rPr>
        <w:t xml:space="preserve">El monoteísmo del Occidente medieval permitía una fundamentación de la moral más o menos fuerte y coherente. El ocaso de la religión socialmente acontecido ha llevado del antiguo monoteísmo una pluralidad de valores y a una mayor inestabilidad a la hora de dar razón de nuestros deberes y nuestros juicios de valor.</w:t>
      </w:r>
    </w:p>
    <w:p w:rsidR="00000000" w:rsidDel="00000000" w:rsidP="00000000" w:rsidRDefault="00000000" w:rsidRPr="00000000" w14:paraId="00000028">
      <w:pPr>
        <w:tabs>
          <w:tab w:val="right" w:leader="none" w:pos="9638"/>
        </w:tabs>
        <w:rPr/>
      </w:pPr>
      <w:r w:rsidDel="00000000" w:rsidR="00000000" w:rsidRPr="00000000">
        <w:rPr>
          <w:rtl w:val="0"/>
        </w:rPr>
        <w:t xml:space="preserve">La frase Dios ha muerto tiene dos grandes sentidos. En Hegel, la muerte de Dios no significa su desaparición del horizonte humano, sino una versión filosófica de la teología cristiana, el de un Dios crucificado, de un dios que muere, del dolor y sufrimiento, de la necesidad de pasar por la crucificción y el infinito calvario de lo negativo. </w:t>
      </w:r>
    </w:p>
    <w:p w:rsidR="00000000" w:rsidDel="00000000" w:rsidP="00000000" w:rsidRDefault="00000000" w:rsidRPr="00000000" w14:paraId="00000029">
      <w:pPr>
        <w:tabs>
          <w:tab w:val="right" w:leader="none" w:pos="9638"/>
        </w:tabs>
        <w:rPr/>
      </w:pPr>
      <w:r w:rsidDel="00000000" w:rsidR="00000000" w:rsidRPr="00000000">
        <w:rPr>
          <w:rtl w:val="0"/>
        </w:rPr>
        <w:t xml:space="preserve">el otro gran sentido es el que le otorgó Nietzsche cuando escribió la frase Dios ha muerto. y es la desaparición del propio Dios. Y lo hemos matado entre todos. Han desaparecido los viejos ideales, un desmoronamiento de toda nuestra moral europea. Esta conciencia llevó a Nietzsche a criticar el ateísmo trivial de los que no quieren hacerse cargo de lo que en la cuestión de Dios está en juego. Pero su crítica del ateísmo no se encaminó a ningún tipo de restauración religiosa, sino a una transvaloración de todos los valores que no ve en la noticia de que el viejo Dios ha muerto sino una aurora.</w:t>
      </w:r>
    </w:p>
    <w:p w:rsidR="00000000" w:rsidDel="00000000" w:rsidP="00000000" w:rsidRDefault="00000000" w:rsidRPr="00000000" w14:paraId="0000002A">
      <w:pPr>
        <w:pStyle w:val="Heading2"/>
        <w:tabs>
          <w:tab w:val="right" w:leader="none" w:pos="9638"/>
        </w:tabs>
        <w:rPr/>
      </w:pPr>
      <w:bookmarkStart w:colFirst="0" w:colLast="0" w:name="_t8qam7os0ful" w:id="5"/>
      <w:bookmarkEnd w:id="5"/>
      <w:r w:rsidDel="00000000" w:rsidR="00000000" w:rsidRPr="00000000">
        <w:rPr>
          <w:rtl w:val="0"/>
        </w:rPr>
        <w:t xml:space="preserve">2.2. El intento kantiano y sus límites</w:t>
      </w:r>
    </w:p>
    <w:p w:rsidR="00000000" w:rsidDel="00000000" w:rsidP="00000000" w:rsidRDefault="00000000" w:rsidRPr="00000000" w14:paraId="0000002B">
      <w:pPr>
        <w:tabs>
          <w:tab w:val="right" w:leader="none" w:pos="9638"/>
        </w:tabs>
        <w:rPr/>
      </w:pPr>
      <w:r w:rsidDel="00000000" w:rsidR="00000000" w:rsidRPr="00000000">
        <w:rPr>
          <w:rtl w:val="0"/>
        </w:rPr>
        <w:t xml:space="preserve">Con el intento de una fundamentación racional y autónoma de la ética, Kant llegó a los confines de la razón, no pudiendo demostrar la existencia, o no, de Dios, o la de la libertad humana. Sin embargo, aquello que la razón, desde un uso teórico, no puede pronunciarse, puede ser  postulado en su uso práctico.</w:t>
      </w:r>
    </w:p>
    <w:p w:rsidR="00000000" w:rsidDel="00000000" w:rsidP="00000000" w:rsidRDefault="00000000" w:rsidRPr="00000000" w14:paraId="0000002C">
      <w:pPr>
        <w:tabs>
          <w:tab w:val="right" w:leader="none" w:pos="9638"/>
        </w:tabs>
        <w:rPr/>
      </w:pPr>
      <w:r w:rsidDel="00000000" w:rsidR="00000000" w:rsidRPr="00000000">
        <w:rPr>
          <w:rtl w:val="0"/>
        </w:rPr>
        <w:t xml:space="preserve">Kant clasificó las acciones como contrarias al deber, conformes al deber pero no por deber, y aquellas que no sólo son conformes al deber sino que se realizan por deber. Estas últimas son las únicas que tienen un sentido moral. Se rigen por el imperativo categórico, independientes de cualquier condición o incondicionados, con el único propósito del respeto a la ley. Ley que no viene del reino de la naturaleza, ni en una voluntad que se impusiese a la de cada ser racional, aunque fuese la del propio Dios. Pues si no la asumiéramos nosotros mismos, correríamos el peligro de caer en la simple heteronomía, de aceptar los mandatos de la voluntad que nos vienen dados, al anular la libertad, e impediría nuestra posibilidad de vida moral. Los imperativos han de ser también autónomos, expresión de la ley que cada ser racional se da a sí mismo.</w:t>
      </w:r>
    </w:p>
    <w:p w:rsidR="00000000" w:rsidDel="00000000" w:rsidP="00000000" w:rsidRDefault="00000000" w:rsidRPr="00000000" w14:paraId="0000002D">
      <w:pPr>
        <w:tabs>
          <w:tab w:val="right" w:leader="none" w:pos="9638"/>
        </w:tabs>
        <w:rPr/>
      </w:pPr>
      <w:r w:rsidDel="00000000" w:rsidR="00000000" w:rsidRPr="00000000">
        <w:rPr>
          <w:rtl w:val="0"/>
        </w:rPr>
        <w:t xml:space="preserve">Veamos las razones de la insuficiencia de su fundamentación de la metafísica de las costumbres, o de sus límites.</w:t>
      </w:r>
    </w:p>
    <w:p w:rsidR="00000000" w:rsidDel="00000000" w:rsidP="00000000" w:rsidRDefault="00000000" w:rsidRPr="00000000" w14:paraId="0000002E">
      <w:pPr>
        <w:pStyle w:val="Heading3"/>
        <w:tabs>
          <w:tab w:val="right" w:leader="none" w:pos="9638"/>
        </w:tabs>
        <w:rPr/>
      </w:pPr>
      <w:bookmarkStart w:colFirst="0" w:colLast="0" w:name="_7s7g1cs45f3i" w:id="6"/>
      <w:bookmarkEnd w:id="6"/>
      <w:r w:rsidDel="00000000" w:rsidR="00000000" w:rsidRPr="00000000">
        <w:rPr>
          <w:rtl w:val="0"/>
        </w:rPr>
        <w:t xml:space="preserve">2.2.1. El alegato de Kolakowski</w:t>
      </w:r>
    </w:p>
    <w:p w:rsidR="00000000" w:rsidDel="00000000" w:rsidP="00000000" w:rsidRDefault="00000000" w:rsidRPr="00000000" w14:paraId="0000002F">
      <w:pPr>
        <w:tabs>
          <w:tab w:val="right" w:leader="none" w:pos="9638"/>
        </w:tabs>
        <w:rPr/>
      </w:pPr>
      <w:r w:rsidDel="00000000" w:rsidR="00000000" w:rsidRPr="00000000">
        <w:rPr>
          <w:rtl w:val="0"/>
        </w:rPr>
        <w:t xml:space="preserve">Kolakowski hace suya la sentencia de Dostoievski quien escribió que si Dios no existe, todo está permitido. Y esto no sólo en un sentido moral sino también epistemológico. Kolakowski se previene de la filosofía analítica manteniendo la especificidad del lenguaje de lo sagrado, en el que entender, creer y participar convergen en los rituales, considerados como una auténtica recreación de u n acontecimiento originario y no como actos de mero recuerdo. La diferencia entre lenguaje ideal de los conductistas, o el lenguaje de la vida secular, y el lenguaje de lo sagrado no estriba en la objetividad o en el acceso a la verdad que procuran o dejan de procurar, sino en que tiene propósitos diferentes: el primero en sus aspectos empíricos es apropiado para reaccionar ante nuestro entorno natural y para manipularlo; el segundo, para hacerlo inteligible.</w:t>
      </w:r>
    </w:p>
    <w:p w:rsidR="00000000" w:rsidDel="00000000" w:rsidP="00000000" w:rsidRDefault="00000000" w:rsidRPr="00000000" w14:paraId="00000030">
      <w:pPr>
        <w:pStyle w:val="Heading4"/>
        <w:tabs>
          <w:tab w:val="right" w:leader="none" w:pos="9638"/>
        </w:tabs>
        <w:rPr/>
      </w:pPr>
      <w:bookmarkStart w:colFirst="0" w:colLast="0" w:name="_5ld4gvh6hnsz" w:id="7"/>
      <w:bookmarkEnd w:id="7"/>
      <w:r w:rsidDel="00000000" w:rsidR="00000000" w:rsidRPr="00000000">
        <w:rPr>
          <w:rtl w:val="0"/>
        </w:rPr>
        <w:t xml:space="preserve">2.2.1.1. Sobre las formulaciones del imperativo categórico y la dignidad humana</w:t>
      </w:r>
    </w:p>
    <w:p w:rsidR="00000000" w:rsidDel="00000000" w:rsidP="00000000" w:rsidRDefault="00000000" w:rsidRPr="00000000" w14:paraId="00000031">
      <w:pPr>
        <w:tabs>
          <w:tab w:val="right" w:leader="none" w:pos="9638"/>
        </w:tabs>
        <w:rPr/>
      </w:pPr>
      <w:r w:rsidDel="00000000" w:rsidR="00000000" w:rsidRPr="00000000">
        <w:rPr>
          <w:rtl w:val="0"/>
        </w:rPr>
        <w:t xml:space="preserve">Kolakowski analiza las dos primeras formulaciones de los imperativos categóricos kantianos. La primera, sobre lo que podríamos llamar el imperativo de la universalidad, prescribía obrar sólo según aquella máxima por la cual puedas querer que al mismo tiempo se convierta en una ley universal. El mismo Kant dió un ejemplo en el que puedo desear hacer una promesa a sabiendas que sea mentira, pero no puede querer una ley universal de mentir, pues cuando todo el mundo tuviera derecho a hacerlo, al convertirse en ley universal, se destruiría a sí misma.</w:t>
        <w:br w:type="textWrapping"/>
        <w:t xml:space="preserve">Sin embargo, según Kolakowski, este argumento presenta fisuras, pues un imperativo que exige que yo me guíe por normas que desearía que fuesen universales no tiene, en sí, fundamento lógico ni psicológico; yo puedo rechazarlo sin caer en contradicciones.</w:t>
      </w:r>
    </w:p>
    <w:p w:rsidR="00000000" w:rsidDel="00000000" w:rsidP="00000000" w:rsidRDefault="00000000" w:rsidRPr="00000000" w14:paraId="00000032">
      <w:pPr>
        <w:tabs>
          <w:tab w:val="right" w:leader="none" w:pos="9638"/>
        </w:tabs>
        <w:rPr/>
      </w:pPr>
      <w:r w:rsidDel="00000000" w:rsidR="00000000" w:rsidRPr="00000000">
        <w:rPr>
          <w:rtl w:val="0"/>
        </w:rPr>
        <w:t xml:space="preserve">Así, a la pregunta de porqué deberíamos aceptar esa legalidad, la respuesta la encontramos en la el reino de los fines kantiano, de influencia rousseauniana. La segunda formulación del imperativo categórico no es tanto un equivalente de la primera, sino más bien un intento de dar con su fundamento o raíz. La razón de la legislación universal se encontraría en la básica igualdad moral de todos los seres humanos, que impediría tratar a alguno de ellos como un simple medio para nuestros fines. y es esa la condición lo que les otorga un valor moral, no meramente relativo o precio, sin un valor interno, una dignidad. Sin embargo, la construcción de este reino de los fines dista de ser trivial y Kant no consiguió terminarla.</w:t>
      </w:r>
    </w:p>
    <w:p w:rsidR="00000000" w:rsidDel="00000000" w:rsidP="00000000" w:rsidRDefault="00000000" w:rsidRPr="00000000" w14:paraId="00000033">
      <w:pPr>
        <w:tabs>
          <w:tab w:val="right" w:leader="none" w:pos="9638"/>
        </w:tabs>
        <w:rPr/>
      </w:pPr>
      <w:r w:rsidDel="00000000" w:rsidR="00000000" w:rsidRPr="00000000">
        <w:rPr>
          <w:rtl w:val="0"/>
        </w:rPr>
        <w:t xml:space="preserve">La básica igualdad moral de los seres humanos puede negarse sin que esa negación logre ser rebatida de un modo concluyente. Por ejemplo, Nietzsche, al que la universalidad de la dignidad humana y el trato igual no le daba ninguna importancia. Parece que hay una línea de rotura irreconocible entre la moral universal kantiana y la escisión nietzscheana entre esclavos y señores.</w:t>
      </w:r>
    </w:p>
    <w:p w:rsidR="00000000" w:rsidDel="00000000" w:rsidP="00000000" w:rsidRDefault="00000000" w:rsidRPr="00000000" w14:paraId="00000034">
      <w:pPr>
        <w:tabs>
          <w:tab w:val="right" w:leader="none" w:pos="9638"/>
        </w:tabs>
        <w:rPr/>
      </w:pPr>
      <w:r w:rsidDel="00000000" w:rsidR="00000000" w:rsidRPr="00000000">
        <w:rPr>
          <w:rtl w:val="0"/>
        </w:rPr>
        <w:t xml:space="preserve">Kolakowski ha retomado esta línea de argumentación para planear que la idea de dignidad humana sólo puede enraizarse en el orden de lo sagrado, como en el mito cristiano según el cual el hombre es imagen y semejanza de Dios. Pues se percibe más lejos de ser obvio que Dios suponga la negación de la dignidad del hombre que su contrario. Como  Hegel decía, siguiendo en esto la tradición cristian, la promoción del hombre por él mismo  la posición más elevada entraña una falta de respeto de sí: si el hombre se declara ser el supremo legislador en cuestiones de bien y de mal, no tiene fundamento convincente alguno para respetarse a sí mismo ni para respetar nada y que la idea misma de dignidad, si no es una fantasía caprichosa, sólo puede basarse en la autoridad de una Mente indestructible. Siempre se puede objetarse lo que dicen los racionalistas sobre las creencias religiosas: que tal noción no es sino una invención imaginaria para compensar la justificada y determinante conciencia del hombre de su propia flaqueza, fragilidad, incertidumbre, finitud La dignidad humana no puede validarse dentro de un concepto naturalista del hombre.</w:t>
      </w:r>
    </w:p>
    <w:p w:rsidR="00000000" w:rsidDel="00000000" w:rsidP="00000000" w:rsidRDefault="00000000" w:rsidRPr="00000000" w14:paraId="00000035">
      <w:pPr>
        <w:pStyle w:val="Heading4"/>
        <w:tabs>
          <w:tab w:val="right" w:leader="none" w:pos="9638"/>
        </w:tabs>
        <w:rPr/>
      </w:pPr>
      <w:bookmarkStart w:colFirst="0" w:colLast="0" w:name="_kkyzl0ufl0ge" w:id="8"/>
      <w:bookmarkEnd w:id="8"/>
      <w:r w:rsidDel="00000000" w:rsidR="00000000" w:rsidRPr="00000000">
        <w:rPr>
          <w:rtl w:val="0"/>
        </w:rPr>
        <w:t xml:space="preserve">2.2.1.2. El tabú y la cupla</w:t>
      </w:r>
    </w:p>
    <w:p w:rsidR="00000000" w:rsidDel="00000000" w:rsidP="00000000" w:rsidRDefault="00000000" w:rsidRPr="00000000" w14:paraId="00000036">
      <w:pPr>
        <w:tabs>
          <w:tab w:val="right" w:leader="none" w:pos="9638"/>
        </w:tabs>
        <w:rPr/>
      </w:pPr>
      <w:r w:rsidDel="00000000" w:rsidR="00000000" w:rsidRPr="00000000">
        <w:rPr>
          <w:rtl w:val="0"/>
        </w:rPr>
        <w:t xml:space="preserve">Para Kolakowski, la cuestión real entre las relaciones entre la vida religiosa y la vida moral no es de la validez epistemológica. Pues se puede estar convencido de que los enunciados sobre el bien y el mal son verdaderos o falsos y seguir ignorándolos con impunidad, cosa que sería imposible si se tratara de juicios científicos. Las creencias morales, al no ser contratables ni refutables de la misma manera que las creencias empíricas, también se adquieren de forma distinta. No asentimos a estas creencias morales admitiendo eso es verdad, sino sintiéndonos culpables si dejamos de acatarlas. De esta forma, la culpa, en consonancia con lo que dice Sigmund Freud y la Bíblia, sería la principal responsable de la especie humana. Las motivaciones morales funcionan no porque los correspondientes juicios de valor hayan sido inferidos en forma digna de confianza de proposiciones empíricas, sino porque somos capaces de sentirnos culpables. La culpa es la ansiedad que sigue a la transgresión, no de una ley, sino de un tabú, y el tabú reside en el reino de lo sagrado. </w:t>
      </w:r>
    </w:p>
    <w:p w:rsidR="00000000" w:rsidDel="00000000" w:rsidP="00000000" w:rsidRDefault="00000000" w:rsidRPr="00000000" w14:paraId="00000037">
      <w:pPr>
        <w:tabs>
          <w:tab w:val="right" w:leader="none" w:pos="9638"/>
        </w:tabs>
        <w:rPr/>
      </w:pPr>
      <w:r w:rsidDel="00000000" w:rsidR="00000000" w:rsidRPr="00000000">
        <w:rPr>
          <w:rtl w:val="0"/>
        </w:rPr>
        <w:t xml:space="preserve">Para Kolakowski, no sabemos si una sociedad sin tabúes sería o no viable y qué características tendría, pues no tenemos instrumentos para medir la fuerza de los viejos tabúes para mantener la cohesión de las comunidades humanas, aunque, sin embargo, tenemos buenas razones para conjeturar que su papel en las relaciones sociales es sustancial. Por lo demás, las denominadas religiones inmorales no supondrían una prueba en contra del argumento, aunque fuera verdad que en diversas religiones arcaicas los dioses no se describen como modelos de conducta, es la existencia misma de tabúes lo que importa y no el hecho de si los dioses están o no obligados a obedecerlos.</w:t>
      </w:r>
    </w:p>
    <w:p w:rsidR="00000000" w:rsidDel="00000000" w:rsidP="00000000" w:rsidRDefault="00000000" w:rsidRPr="00000000" w14:paraId="00000038">
      <w:pPr>
        <w:tabs>
          <w:tab w:val="right" w:leader="none" w:pos="9638"/>
        </w:tabs>
        <w:rPr/>
      </w:pPr>
      <w:r w:rsidDel="00000000" w:rsidR="00000000" w:rsidRPr="00000000">
        <w:rPr>
          <w:rtl w:val="0"/>
        </w:rPr>
        <w:t xml:space="preserve">Kolakowski nos quiere llevar a la conclusión de que nos vemos forzados a optar entre dos formas opuestas de ver el mundo, inconmensurables, cada una con sus propias reglas de validez, dos formas irreconciliables de aceptar el mundo y nuestro lugar en él, y ninguna de las dos puede pretender que es más racional que la otra. Al compararlas, nos enfrentamos a una opción; una vez tomada cualquier elección impone criterios de juicio que la apoyan infaliblemente en una lógica circular. Un mundo dotado de sentido, guiado por Dios, o un mundo absurdo.</w:t>
      </w:r>
    </w:p>
    <w:p w:rsidR="00000000" w:rsidDel="00000000" w:rsidP="00000000" w:rsidRDefault="00000000" w:rsidRPr="00000000" w14:paraId="00000039">
      <w:pPr>
        <w:tabs>
          <w:tab w:val="right" w:leader="none" w:pos="9638"/>
        </w:tabs>
        <w:rPr/>
      </w:pPr>
      <w:r w:rsidDel="00000000" w:rsidR="00000000" w:rsidRPr="00000000">
        <w:rPr>
          <w:rtl w:val="0"/>
        </w:rPr>
        <w:t xml:space="preserve">Estos dilemas tienen poco que ver con la legitimidad de la creencia o falta de creencia en términos canónicos científicos, ya que de todos los testimonios irrefutables de la miseria humana no sale una senda lógica correcta que llegue al gran Doctor. Por otra parte, todos los esquemas teóricos de reducción monistas de otra clase, no están en mejor posición epistemológica que los esfuerzos de los teólogos por hacer inteligible en categorías religiosas acontecimientos seculares.</w:t>
      </w:r>
    </w:p>
    <w:p w:rsidR="00000000" w:rsidDel="00000000" w:rsidP="00000000" w:rsidRDefault="00000000" w:rsidRPr="00000000" w14:paraId="0000003A">
      <w:pPr>
        <w:pStyle w:val="Heading3"/>
        <w:tabs>
          <w:tab w:val="right" w:leader="none" w:pos="9638"/>
        </w:tabs>
        <w:rPr/>
      </w:pPr>
      <w:bookmarkStart w:colFirst="0" w:colLast="0" w:name="_qyttahq00ke4" w:id="9"/>
      <w:bookmarkEnd w:id="9"/>
      <w:r w:rsidDel="00000000" w:rsidR="00000000" w:rsidRPr="00000000">
        <w:rPr>
          <w:rtl w:val="0"/>
        </w:rPr>
        <w:t xml:space="preserve">2.2.2. Otros comentarios</w:t>
      </w:r>
    </w:p>
    <w:p w:rsidR="00000000" w:rsidDel="00000000" w:rsidP="00000000" w:rsidRDefault="00000000" w:rsidRPr="00000000" w14:paraId="0000003B">
      <w:pPr>
        <w:tabs>
          <w:tab w:val="right" w:leader="none" w:pos="9638"/>
        </w:tabs>
        <w:rPr/>
      </w:pPr>
      <w:r w:rsidDel="00000000" w:rsidR="00000000" w:rsidRPr="00000000">
        <w:rPr>
          <w:rtl w:val="0"/>
        </w:rPr>
        <w:t xml:space="preserve">Otros comentarios que se podrían hacer sobre la obra de Kolakowski es sobre un sentido heteronómico sobre la relación entre moralidad y religión. La principal razón de esta crítica sería poner de manifiesto las dificultades de fundamentación de la ética. Pues la muerte de Dios no ha acarreado la ruina de toda moral, pero su fundamento no es tan fácil de encontrar como pudiera presumirse, al tratar de prescindir de la simbología religiosa, reteniendo esos ideales morales.</w:t>
      </w:r>
    </w:p>
    <w:p w:rsidR="00000000" w:rsidDel="00000000" w:rsidP="00000000" w:rsidRDefault="00000000" w:rsidRPr="00000000" w14:paraId="0000003C">
      <w:pPr>
        <w:tabs>
          <w:tab w:val="right" w:leader="none" w:pos="9638"/>
        </w:tabs>
        <w:rPr/>
      </w:pPr>
      <w:r w:rsidDel="00000000" w:rsidR="00000000" w:rsidRPr="00000000">
        <w:rPr>
          <w:rtl w:val="0"/>
        </w:rPr>
        <w:t xml:space="preserve">Freud ligó el tabú, la conciencia moral y los síntomas neurçticos, y aunque, en principio, trató de diferenciar entre las restricciones tabú y las prescripciones morales, poco a poco pasó de la analogía a la filiación, para llegar a afirmar que el tabú constituye probablemente, la forma más primitiva de conciencia moral. Los tabúes en su naturaleza psicológica no difieren del imperativo categórico de Kant, que trabaja de manera compulsiva rechazando toda motivación consciente.</w:t>
        <w:br w:type="textWrapping"/>
        <w:t xml:space="preserve">Sin renunciar a los progresos científicos, la ciencia por sí sola no basta para resolver los problemas sociales. Es preciso acertar a controlar las tendencias destructivas y agresivas de los seres humanos, para que los lazos libidinales entre ellos puedan fructificar. Pero la cultura no ha encontrado otro recurso mejor que el de devolver la destructividad hacia el propio hombre, haciéndole vigilar por la instancia superyoica, con lo que el sentimiento de culpabilidad resulta ineliminable y el problema más importante de toda la evolución cultural. Freu apela no sólo a Logos, sino ante todo a Eros, en su combate contra la destrucción y la muerte. Pero la regresión a la barbarie es una posibilidad siempre abierta, por lo que toda esperanza es radicalmente incierto para una humanidad capaz de los más sublimes logros pero también de destruirse con los medios que ella mismo se ha dado.</w:t>
      </w:r>
    </w:p>
    <w:p w:rsidR="00000000" w:rsidDel="00000000" w:rsidP="00000000" w:rsidRDefault="00000000" w:rsidRPr="00000000" w14:paraId="0000003D">
      <w:pPr>
        <w:pStyle w:val="Heading2"/>
        <w:tabs>
          <w:tab w:val="right" w:leader="none" w:pos="9638"/>
        </w:tabs>
        <w:rPr/>
      </w:pPr>
      <w:bookmarkStart w:colFirst="0" w:colLast="0" w:name="_e191qxz4p8d8" w:id="10"/>
      <w:bookmarkEnd w:id="10"/>
      <w:r w:rsidDel="00000000" w:rsidR="00000000" w:rsidRPr="00000000">
        <w:rPr>
          <w:rtl w:val="0"/>
        </w:rPr>
        <w:t xml:space="preserve">2.3. Replanteamiento en las éticas discursivas</w:t>
      </w:r>
    </w:p>
    <w:p w:rsidR="00000000" w:rsidDel="00000000" w:rsidP="00000000" w:rsidRDefault="00000000" w:rsidRPr="00000000" w14:paraId="0000003E">
      <w:pPr>
        <w:tabs>
          <w:tab w:val="right" w:leader="none" w:pos="9638"/>
        </w:tabs>
        <w:rPr/>
      </w:pPr>
      <w:r w:rsidDel="00000000" w:rsidR="00000000" w:rsidRPr="00000000">
        <w:rPr>
          <w:rtl w:val="0"/>
        </w:rPr>
        <w:t xml:space="preserve">Los pensadores de la primera generación de la Escuela de Frankfurt estuvo marcado por el giro lingüístico de la filosofía y que más tarde Habermas tratará de librarse. Tal giro permitiría escapar de los límites de la filosofía de la conciencia (Descartes, Kant) al tener en cuento no sólo las dimensiones sintáctica —la estructura de las proposiciones, con independencia de su contenido— y la semántica del lenguaje sino también la pragmática (Wittgenstein), la dimensión comunicativa del lenguaje, cayendo en la falacia abstractiva.</w:t>
      </w:r>
    </w:p>
    <w:p w:rsidR="00000000" w:rsidDel="00000000" w:rsidP="00000000" w:rsidRDefault="00000000" w:rsidRPr="00000000" w14:paraId="0000003F">
      <w:pPr>
        <w:tabs>
          <w:tab w:val="right" w:leader="none" w:pos="9638"/>
        </w:tabs>
        <w:rPr/>
      </w:pPr>
      <w:r w:rsidDel="00000000" w:rsidR="00000000" w:rsidRPr="00000000">
        <w:rPr>
          <w:rtl w:val="0"/>
        </w:rPr>
        <w:t xml:space="preserve">Habermas opera sobre la base de análisi weberiano del proceso de racionalización, según el cual era posible diferenciar dos principales tipos fundamentales de racionalidad.  En primer lugar. la racionalidad teleológica, aquella que se preocupa por escoger los medios idóneos para alcanzar un fin previamente estipulado, sin pronunciarse sobre el valor de tal fin (racionalidad de los medios, racionalidad técnica o técnico-estratégica). Según Weber, esta racionalidad la prevaleciente en el proceso de racionalización del mundo occidental, incrementando notablemente nuestra capacidad científico-técnica, pero que ha abandonado las cuestiones del sentido y de los valores, abocando al desencantamiento del mundo. El antiguo monoteísmo ha dejado  paso a un politeísmo de valores, en el que cada cual se entrega a su dios o a su demonio, sin que parezca poderse dar mediación racional alguna, con lo que los valores se remiten a la esfera puramente subjetiva y la ética queda abandonada a la irracionalidad. Parece que la humanidad se ve enfrentada a problemas éticos comunes pero carece de criterios capaces a la vez de regir universalmente y de respetar la pluralidad de formas de vida. A esta situación quiere hacerle frente Habermas.</w:t>
      </w:r>
    </w:p>
    <w:p w:rsidR="00000000" w:rsidDel="00000000" w:rsidP="00000000" w:rsidRDefault="00000000" w:rsidRPr="00000000" w14:paraId="00000040">
      <w:pPr>
        <w:tabs>
          <w:tab w:val="right" w:leader="none" w:pos="9638"/>
        </w:tabs>
        <w:rPr/>
      </w:pPr>
      <w:r w:rsidDel="00000000" w:rsidR="00000000" w:rsidRPr="00000000">
        <w:rPr>
          <w:rtl w:val="0"/>
        </w:rPr>
        <w:t xml:space="preserve">Habermas diferencia entre esferas de racionalidad según los intereses a los que sirven: la racionalidad instrumental (racionalidad técnica) responde al legítimo interés del ser humano por el control del mundo objetivado; junto a ese interés técnico, es preciso reconocer un interés práctico, que se expresa en las tradiciones culturales y en las ciencias de la cultura, i.e., uns esfera de interacción comunicativa, que no ser rige tanto por la acción orientada al éxito cuanto por la comprensión intersubjetiva. Ambos intereses han de verse dirigidos por el interés emancipatorio, que tiende a la liberación de nuestra especie. Sin embargo, en 1981 Habermas culmina sus esfuerzos por construir una teoría de la sociedad con intención práctica, obra a la que han seguido estudiosos sobre teoría del derecho, epistemología, teoría política y escritos de intervención en problemas de la sociedad actual.</w:t>
      </w:r>
    </w:p>
    <w:p w:rsidR="00000000" w:rsidDel="00000000" w:rsidP="00000000" w:rsidRDefault="00000000" w:rsidRPr="00000000" w14:paraId="00000041">
      <w:pPr>
        <w:tabs>
          <w:tab w:val="right" w:leader="none" w:pos="9638"/>
        </w:tabs>
        <w:rPr/>
      </w:pPr>
      <w:r w:rsidDel="00000000" w:rsidR="00000000" w:rsidRPr="00000000">
        <w:rPr>
          <w:rtl w:val="0"/>
        </w:rPr>
        <w:t xml:space="preserve">En su ética discursiva, parte de la interacción comunicativa para señalar que en el caso de que se planteen en ella conflictos acerca de la verdad de nuestras creencias o la corrección de nuestras convicciones morales, tales conflictos no tienen por qué desembocar en el enfrentamiento, la manipulación o la violencia, sino que pueden ser resueltos discursivamente, en la medida que la racionalidad comunicativa se traslade de la acción al discurso, donde las pretensiones de validez sobre l verdad y corrección de unas y otras pueden ser sometidas a argumentación. Esta discusión puede desembocar en un consenso acerca de los puntos en litigio, siempre que se de una situación ideal de habla, en que todos los afectados gocen de una posición simétrica para defender argumentativamente sus puntos de vista e intereses, de manera que el consenso resultante no se debiera a ningún tipo de coacción o control sino sólo a la fuerza del mejor argumento.</w:t>
      </w:r>
    </w:p>
    <w:p w:rsidR="00000000" w:rsidDel="00000000" w:rsidP="00000000" w:rsidRDefault="00000000" w:rsidRPr="00000000" w14:paraId="00000042">
      <w:pPr>
        <w:tabs>
          <w:tab w:val="right" w:leader="none" w:pos="9638"/>
        </w:tabs>
        <w:rPr/>
      </w:pPr>
      <w:r w:rsidDel="00000000" w:rsidR="00000000" w:rsidRPr="00000000">
        <w:rPr>
          <w:rtl w:val="0"/>
        </w:rPr>
        <w:t xml:space="preserve">Si bien la situación ideal de diálogo no siempre se da, no es un fenómeno empírico, estima que no es un mero constructo teórico. Por contrafáctico que sea, opera en el proceso de la comunicación como una suposición inevitabel que podemos cŕiticamente anticipar, operando sobre el presupuesto de la posibilidad de entender al otro.</w:t>
      </w:r>
    </w:p>
    <w:p w:rsidR="00000000" w:rsidDel="00000000" w:rsidP="00000000" w:rsidRDefault="00000000" w:rsidRPr="00000000" w14:paraId="00000043">
      <w:pPr>
        <w:tabs>
          <w:tab w:val="right" w:leader="none" w:pos="9638"/>
        </w:tabs>
        <w:rPr/>
      </w:pPr>
      <w:r w:rsidDel="00000000" w:rsidR="00000000" w:rsidRPr="00000000">
        <w:rPr>
          <w:rtl w:val="0"/>
        </w:rPr>
        <w:t xml:space="preserve">Habermas trata de respetar los dos pilares de la ética kantiana: la universalidad de los principios morales y la autonomía de cada uno de los hombres convertidos en legisladores, viniendo asegurada su conjugación por la unidad de la razón del sujeto trascendental. Pero quiere hacer frente al pluralismo cultural e individual de la modernidad. Se aleja de una filosofía trascendental de la conciencia, y procede a una reconstrucción teórica prácticas ya adquiridas y a la trasposición dialógica del imperativo categórico, según la cual el propio Habermas ha asumido que tengo que someter a mi máxima a todos los otros con el fin de examinar discursivamente su pretensión de universalidad. La ley universal vendría por lo que todos pueden acordar que se convierta en una norma universal.</w:t>
      </w:r>
    </w:p>
    <w:p w:rsidR="00000000" w:rsidDel="00000000" w:rsidP="00000000" w:rsidRDefault="00000000" w:rsidRPr="00000000" w14:paraId="00000044">
      <w:pPr>
        <w:tabs>
          <w:tab w:val="right" w:leader="none" w:pos="9638"/>
        </w:tabs>
        <w:rPr/>
      </w:pPr>
      <w:r w:rsidDel="00000000" w:rsidR="00000000" w:rsidRPr="00000000">
        <w:rPr>
          <w:rtl w:val="0"/>
        </w:rPr>
        <w:t xml:space="preserve">Se trata de una ética procedimental, nos proporciona una estructura para la instauración de una normatividad común </w:t>
      </w:r>
      <w:r w:rsidDel="00000000" w:rsidR="00000000" w:rsidRPr="00000000">
        <w:rPr>
          <w:rtl w:val="0"/>
        </w:rPr>
        <w:t xml:space="preserve">colegislada</w:t>
      </w:r>
      <w:r w:rsidDel="00000000" w:rsidR="00000000" w:rsidRPr="00000000">
        <w:rPr>
          <w:rtl w:val="0"/>
        </w:rPr>
        <w:t xml:space="preserve"> por todos los implicados a través de una discusión que busca la </w:t>
      </w:r>
      <w:r w:rsidDel="00000000" w:rsidR="00000000" w:rsidRPr="00000000">
        <w:rPr>
          <w:rtl w:val="0"/>
        </w:rPr>
        <w:t xml:space="preserve">generalizabilidad</w:t>
      </w:r>
      <w:r w:rsidDel="00000000" w:rsidR="00000000" w:rsidRPr="00000000">
        <w:rPr>
          <w:rtl w:val="0"/>
        </w:rPr>
        <w:t xml:space="preserve"> de sus intereses.</w:t>
        <w:br w:type="textWrapping"/>
        <w:t xml:space="preserve">Normatividad universal que no tendría por qué impedir un pluralismo de formas de vida, pues sobre éstas y cómo los individuos y grupos pueden buscar la felicidad no se pronuncia; el postulado de universalidad discrimina entre lo bueno y lo justo, entre enunciados evaluativos y enunciados normativos rigurosos.</w:t>
        <w:br w:type="textWrapping"/>
        <w:t xml:space="preserve">En este marco del proceso de formación discursiva de la voluntad común donde las aspiraciones plurales podrían afirmarse, </w:t>
      </w:r>
      <w:r w:rsidDel="00000000" w:rsidR="00000000" w:rsidRPr="00000000">
        <w:rPr>
          <w:rtl w:val="0"/>
        </w:rPr>
        <w:t xml:space="preserve">enraizándose</w:t>
      </w:r>
      <w:r w:rsidDel="00000000" w:rsidR="00000000" w:rsidRPr="00000000">
        <w:rPr>
          <w:rtl w:val="0"/>
        </w:rPr>
        <w:t xml:space="preserve"> en las diversas tradiciones de sentido y simbologías a que cada grupo o individuo sea afecto. Frente a la desconfianza postmoderna hacia el universalismo, por lo que éste puede tener de uniformizador, se trata de instaurar un universalismo desde el que quepa afrontar problemas comunes, sin menoscabo de las diferencias, más sin reducirse a los límites particularistas de una determinada comunidad.</w:t>
      </w:r>
    </w:p>
    <w:p w:rsidR="00000000" w:rsidDel="00000000" w:rsidP="00000000" w:rsidRDefault="00000000" w:rsidRPr="00000000" w14:paraId="00000045">
      <w:pPr>
        <w:tabs>
          <w:tab w:val="right" w:leader="none" w:pos="9638"/>
        </w:tabs>
        <w:rPr/>
      </w:pPr>
      <w:r w:rsidDel="00000000" w:rsidR="00000000" w:rsidRPr="00000000">
        <w:rPr>
          <w:rtl w:val="0"/>
        </w:rPr>
        <w:t xml:space="preserve">Para poder llegar a entender al otro no implica que hayamos de llegar a un entendimiento con él. El diálogo podría desembocar en un pacto o compromiso que canalizaría la violencia sin uniformizar puntos de vista irrecusablemente plurales.</w:t>
      </w:r>
    </w:p>
    <w:p w:rsidR="00000000" w:rsidDel="00000000" w:rsidP="00000000" w:rsidRDefault="00000000" w:rsidRPr="00000000" w14:paraId="00000046">
      <w:pPr>
        <w:tabs>
          <w:tab w:val="right" w:leader="none" w:pos="9638"/>
        </w:tabs>
        <w:rPr/>
      </w:pPr>
      <w:r w:rsidDel="00000000" w:rsidR="00000000" w:rsidRPr="00000000">
        <w:rPr>
          <w:rtl w:val="0"/>
        </w:rPr>
        <w:t xml:space="preserve">Cabe resaltar que se sigue partiendo del supuesto de las personas como fines en sí, que en una posición de simetría, habrían de encontrar discursivamente las normas de lo justo. Si bien Habermas ha señalado que la opción entre racionalidad estratégica y racionalidad comunicativa es una opción abstracta, las solidaridades de clase, en el proceso de socialización, así como los intentos individuales por alzarse frente a las restricciones de la cultura permanecen como una posibilidad siempre abierta, que no es posible acabar de rebatir de un modo puramente racional. Lo que supone un coeficiente de decisionismo insuprimible: La decisión por la propia vida moral ejercida por cada cual desde su conciencia individual.</w:t>
      </w:r>
    </w:p>
    <w:p w:rsidR="00000000" w:rsidDel="00000000" w:rsidP="00000000" w:rsidRDefault="00000000" w:rsidRPr="00000000" w14:paraId="00000047">
      <w:pPr>
        <w:tabs>
          <w:tab w:val="right" w:leader="none" w:pos="9638"/>
        </w:tabs>
        <w:rPr/>
      </w:pPr>
      <w:r w:rsidDel="00000000" w:rsidR="00000000" w:rsidRPr="00000000">
        <w:rPr>
          <w:rtl w:val="0"/>
        </w:rPr>
        <w:t xml:space="preserve">Habermas, al referirse a las intuiciones morales que esa ética trae a concepto, habla de la solidaridad y del intento de contrarrestar mediante la consideración y el respeto la extrema vulnerabilidad de las personas, i.e. la intuición moral canalizada en la compasión. Nietzsche le rebatiría con el argumento de que la compasión liga a las formas morales que él trataba de superar.</w:t>
      </w:r>
    </w:p>
    <w:p w:rsidR="00000000" w:rsidDel="00000000" w:rsidP="00000000" w:rsidRDefault="00000000" w:rsidRPr="00000000" w14:paraId="00000048">
      <w:pPr>
        <w:tabs>
          <w:tab w:val="right" w:leader="none" w:pos="9638"/>
        </w:tabs>
        <w:rPr/>
      </w:pPr>
      <w:r w:rsidDel="00000000" w:rsidR="00000000" w:rsidRPr="00000000">
        <w:rPr>
          <w:rtl w:val="0"/>
        </w:rPr>
        <w:t xml:space="preserve">Sobre la religión y la ética, Habermas escribió que mientras el lenguaje religioso siga llevando consigo contenidos semánticos inspiradores, que resultan irrenunciables, pero se sustraen a la capacidad de expresión del lenguaje filosófico, la filosofía no podrá ni sustituir ni eliminar la religión.</w:t>
        <w:br w:type="textWrapping"/>
        <w:t xml:space="preserve">La razón comunicativa renuncia a la exclusividad. Mientras en el medio que representa el habla argumentativa no encuentre mejores palabras para decir aquello que puede decir la religión, tendrá incluso que coexistir con ella, sin apoyarla ni combatirla.</w:t>
      </w:r>
    </w:p>
    <w:p w:rsidR="00000000" w:rsidDel="00000000" w:rsidP="00000000" w:rsidRDefault="00000000" w:rsidRPr="00000000" w14:paraId="00000049">
      <w:pPr>
        <w:tabs>
          <w:tab w:val="right" w:leader="none" w:pos="9638"/>
        </w:tabs>
        <w:rPr/>
      </w:pPr>
      <w:r w:rsidDel="00000000" w:rsidR="00000000" w:rsidRPr="00000000">
        <w:rPr>
          <w:rtl w:val="0"/>
        </w:rPr>
        <w:t xml:space="preserve">Respecto alos orígenes judíos del cristianismo, Habermas señaka que en esa polémica habría que tener en cuenta no sólo la helenización del cristianismo, sino asimismo la histroria plural de una tradicíon filosófica que no se agota en idealismo y que ha hecho suyos hasta conmocionar lo más hondo de sus raíces griegas, contenidos de la tradicíon judeocristiana. Este concepto religiosos de salvación para una reconciliación retroactiva, para Habermas excede el horizonte de aquello que la filosofía puede hacer plausible bajo condiciones del pensamiento postmetafísico, es a partir de este concepto de remomeración salvadora como se abre al campo de experiencias y motivos religiosos que tuvieron que hacerse oír durante mucho tiempo ante las puertas del idealismo filosófico, hasta que finalmente fueron tomados en serio.</w:t>
        <w:br w:type="textWrapping"/>
        <w:t xml:space="preserve">Dice que sin esta infiltración del pensamiento de origen judaico y cristiano en la metafísica griega no hubiéramos podido constituir aquel entramado de conceptos específicamente modernos que convergen en un concepto de razón a la vez comunicativa e históricamente situada. Pienso en el concepto de libertad subjetiva y el imperativo de igual respeto para todos para el que resulta extraño en virtud de su particularidad y su carácter diferenciado. Pienso en el concepto de autonomía de una autovinculación de la voluntad por convicción moral que depende de relaciones de reconocimiento recíproco. Pienso en el concepto de sujeto socializado que se individualiza en su trayectoria biográfica y, como individuo insustituible, es simultáneamente miembro de una comunidad, i.e., sólo puede llevar a cabo una auténtica vida propia en convivencia solidaria con otros. Pienso en el concepto de liberación, en su doble acepción de emancipación de relaciones humanas humillantes y de proyectos utópicos de una forma de vida lograda. A ello hay que añadir también la conciencia de falibilidad de la mente humana, de la contingencia de las condiciones bajo las cuales ésta sigue formulando pretensiones incondicionadas.</w:t>
      </w:r>
    </w:p>
    <w:p w:rsidR="00000000" w:rsidDel="00000000" w:rsidP="00000000" w:rsidRDefault="00000000" w:rsidRPr="00000000" w14:paraId="0000004A">
      <w:pPr>
        <w:pStyle w:val="Heading2"/>
        <w:tabs>
          <w:tab w:val="right" w:leader="none" w:pos="9638"/>
        </w:tabs>
        <w:rPr/>
      </w:pPr>
      <w:bookmarkStart w:colFirst="0" w:colLast="0" w:name="_frua19dxajvl" w:id="11"/>
      <w:bookmarkEnd w:id="11"/>
      <w:r w:rsidDel="00000000" w:rsidR="00000000" w:rsidRPr="00000000">
        <w:rPr>
          <w:rtl w:val="0"/>
        </w:rPr>
        <w:t xml:space="preserve">2.4. Una fundamentación débil</w:t>
      </w:r>
    </w:p>
    <w:p w:rsidR="00000000" w:rsidDel="00000000" w:rsidP="00000000" w:rsidRDefault="00000000" w:rsidRPr="00000000" w14:paraId="0000004B">
      <w:pPr>
        <w:tabs>
          <w:tab w:val="right" w:leader="none" w:pos="9638"/>
        </w:tabs>
        <w:rPr/>
      </w:pPr>
      <w:r w:rsidDel="00000000" w:rsidR="00000000" w:rsidRPr="00000000">
        <w:rPr>
          <w:rtl w:val="0"/>
        </w:rPr>
        <w:t xml:space="preserve">La dificultad de fundamentación de la ética, no tienen por qué conducir a arrojarse en el irracionalismo. Entre una razón enfáticamente mantenida y la pura arbitrariedad cabe la posibilidad de la alegación de buenos motivos y razones que, pese a conservar un resto de decisionismo, tampoco ha de dejar inerme ante los reproches escépticos.</w:t>
        <w:br w:type="textWrapping"/>
        <w:t xml:space="preserve">En este sentido Albrecht Wellmer sugiere, en lugar de una fundamentación fuerte y unidimensional, una pretensión débil y pluridimensional.</w:t>
      </w:r>
    </w:p>
    <w:p w:rsidR="00000000" w:rsidDel="00000000" w:rsidP="00000000" w:rsidRDefault="00000000" w:rsidRPr="00000000" w14:paraId="0000004C">
      <w:pPr>
        <w:tabs>
          <w:tab w:val="right" w:leader="none" w:pos="9638"/>
        </w:tabs>
        <w:rPr/>
      </w:pPr>
      <w:r w:rsidDel="00000000" w:rsidR="00000000" w:rsidRPr="00000000">
        <w:rPr>
          <w:rtl w:val="0"/>
        </w:rPr>
        <w:t xml:space="preserve">Escribe Wellmer que la ética debe evitar la falsa alternativa entre el absolutismo y el relativismo. El destino de lo moral y de la razón no está inexorablemente ligado al absolutismo de los acuerdos definitivos o de las fundamentaciones últimas. Estamos en mejor condiciones para seguir en el camino trazado por la Ilustración y por el humanismo revolucionario, si prescindimos de algunos de los ideales de la razón, lo cual no significa que vayamos a alejarnos de ella, sino que haremos que ésta se despoje de una falsa concepción de sí misma. </w:t>
      </w:r>
    </w:p>
    <w:p w:rsidR="00000000" w:rsidDel="00000000" w:rsidP="00000000" w:rsidRDefault="00000000" w:rsidRPr="00000000" w14:paraId="0000004D">
      <w:pPr>
        <w:tabs>
          <w:tab w:val="right" w:leader="none" w:pos="9638"/>
        </w:tabs>
        <w:rPr/>
      </w:pPr>
      <w:r w:rsidDel="00000000" w:rsidR="00000000" w:rsidRPr="00000000">
        <w:rPr>
          <w:rtl w:val="0"/>
        </w:rPr>
        <w:t xml:space="preserve">En el problema de la fundamentación de la moral se oscila entre darla por resuelta, facilitando la intolerancia y el dogmatismo de los que creen poseer la verdad o corrección, y el de tenerla por completamente imposible, debilitando el discurso racional y favoreciendo cualquier desvarío o despotismo ético-político.</w:t>
        <w:br w:type="textWrapping"/>
        <w:t xml:space="preserve">Los problemas de fundamentación, por ser fundamentales, no se pueden ni acabar de resolver, ni acabara de abandonar, pues se dejaría en manos del irracionalismo.</w:t>
        <w:br w:type="textWrapping"/>
        <w:t xml:space="preserve">Frente a este, el tipo de fundamentación que tomara buena nota de su coeficiente de decisionismo y de la complejidad de la tarea, pero que no banalizara las razone expuestas, por más que no fueran del todo concluyentes, sería suficiente respuesta al relativismo simplista y al escepticismo. De concluir no se puede acabar de concluir, pues la propia opción moral quedaría anulada. Pero el respeto a ese margen opcional que la vida moral comporta no niega la legitimidad de la discusión racional, una vez que despachamos por ilusorios los espejismo racionalistas.</w:t>
      </w:r>
    </w:p>
    <w:p w:rsidR="00000000" w:rsidDel="00000000" w:rsidP="00000000" w:rsidRDefault="00000000" w:rsidRPr="00000000" w14:paraId="0000004E">
      <w:pPr>
        <w:tabs>
          <w:tab w:val="right" w:leader="none" w:pos="9638"/>
        </w:tabs>
        <w:rPr/>
      </w:pPr>
      <w:r w:rsidDel="00000000" w:rsidR="00000000" w:rsidRPr="00000000">
        <w:rPr>
          <w:rtl w:val="0"/>
        </w:rPr>
        <w:t xml:space="preserve">La dignidad del hombre, pues, no puede ser racionalmente demostrada pero puede ser razonablemente postulada y atribuida por cada uno de nosotros a todos los demás.  Incluso el malvado, al que hemos de seguir respetando, sin </w:t>
      </w:r>
      <w:r w:rsidDel="00000000" w:rsidR="00000000" w:rsidRPr="00000000">
        <w:rPr>
          <w:rtl w:val="0"/>
        </w:rPr>
        <w:t xml:space="preserve">instrumentalizarle</w:t>
      </w:r>
      <w:r w:rsidDel="00000000" w:rsidR="00000000" w:rsidRPr="00000000">
        <w:rPr>
          <w:rtl w:val="0"/>
        </w:rPr>
        <w:t xml:space="preserve"> ni torturarle, pues, como Kant expresó, tal atribución de dignidad no se basa en su conducta fenoménica, sino en su capacidad de obrar, no solo conforme a leyes, sino conforme a la representación de leyes que se da a sí mismo, en su libertad, por mal uso que haya hecho de ella.</w:t>
      </w:r>
    </w:p>
    <w:p w:rsidR="00000000" w:rsidDel="00000000" w:rsidP="00000000" w:rsidRDefault="00000000" w:rsidRPr="00000000" w14:paraId="0000004F">
      <w:pPr>
        <w:tabs>
          <w:tab w:val="right" w:leader="none" w:pos="9638"/>
        </w:tabs>
        <w:rPr/>
      </w:pPr>
      <w:r w:rsidDel="00000000" w:rsidR="00000000" w:rsidRPr="00000000">
        <w:rPr>
          <w:rtl w:val="0"/>
        </w:rPr>
        <w:t xml:space="preserve">Dignidad con base a la autonomía, donde la libertad del autós no es anomia —ausencia de ley—, sino que se refiere esencialmente a la ley, al nómos, pues de acuerdo con Rousseau seguir la ley que uno se da a sí mismo es libertad. Y esa dignidad diferencia al ser humano del mundo animal y le convierte en un fin en sí mismo, igualando a todo ser humano independientemente de sus rasgos fisiológicos, creencias, etc.</w:t>
      </w:r>
    </w:p>
    <w:p w:rsidR="00000000" w:rsidDel="00000000" w:rsidP="00000000" w:rsidRDefault="00000000" w:rsidRPr="00000000" w14:paraId="00000050">
      <w:pPr>
        <w:pStyle w:val="Heading1"/>
        <w:tabs>
          <w:tab w:val="right" w:leader="none" w:pos="9638"/>
        </w:tabs>
        <w:rPr/>
      </w:pPr>
      <w:bookmarkStart w:colFirst="0" w:colLast="0" w:name="_d5j5u8tbvp89" w:id="12"/>
      <w:bookmarkEnd w:id="12"/>
      <w:r w:rsidDel="00000000" w:rsidR="00000000" w:rsidRPr="00000000">
        <w:rPr>
          <w:rtl w:val="0"/>
        </w:rPr>
        <w:t xml:space="preserve">3. Autonomía ética y concepción religiosa</w:t>
      </w:r>
    </w:p>
    <w:p w:rsidR="00000000" w:rsidDel="00000000" w:rsidP="00000000" w:rsidRDefault="00000000" w:rsidRPr="00000000" w14:paraId="00000051">
      <w:pPr>
        <w:pStyle w:val="Heading2"/>
        <w:tabs>
          <w:tab w:val="right" w:leader="none" w:pos="9638"/>
        </w:tabs>
        <w:rPr/>
      </w:pPr>
      <w:bookmarkStart w:colFirst="0" w:colLast="0" w:name="_upq9gf7s6f2y" w:id="13"/>
      <w:bookmarkEnd w:id="13"/>
      <w:r w:rsidDel="00000000" w:rsidR="00000000" w:rsidRPr="00000000">
        <w:rPr>
          <w:rtl w:val="0"/>
        </w:rPr>
        <w:t xml:space="preserve">3.1. La ética en el cristianismo</w:t>
      </w:r>
    </w:p>
    <w:p w:rsidR="00000000" w:rsidDel="00000000" w:rsidP="00000000" w:rsidRDefault="00000000" w:rsidRPr="00000000" w14:paraId="00000052">
      <w:pPr>
        <w:tabs>
          <w:tab w:val="right" w:leader="none" w:pos="9638"/>
        </w:tabs>
        <w:rPr/>
      </w:pPr>
      <w:r w:rsidDel="00000000" w:rsidR="00000000" w:rsidRPr="00000000">
        <w:rPr>
          <w:rtl w:val="0"/>
        </w:rPr>
        <w:t xml:space="preserve">Los problemas hasta aquí considerados no deberían llevar al intento de restaurar una ética teónoma o religiosa. La cuestión de la autonomía, la posible ilegitimidad del paso de los descriptivo a lo normativo, etc, habría que añadir que cualquier pretensión de una ética teónoma debería en primer lugar mostrar la posible racionalidad de las creencias religiosas. Pero estas creencias religiosas, indemostrables para la razón teórica, no tienen necesariamente por qué ir en contra de la propia razón, sino que pueden manifestarse como una opción razonable que contempla junto a sí otras posibles, dependiendo de la elección de cada cual de un complejo de conjunto de factores argumentativos, sociales, biográficos, etc. En un mundo con un pluralismo de valores, axiológico irreductible, las éticas discursivas se centraron en encontrar normas intersubjetivamente compartidas. Si bien la posibilidad de confluencias prácticas no deben pretender clausurar la diversidad de concepciones del mundo, pues dar por zanjadas cuestiones que sólo pueden quedar abiertas sería caer en el dogmatismo, del que las religiones han hecho, en muchas ocasiones, gala.</w:t>
      </w:r>
    </w:p>
    <w:p w:rsidR="00000000" w:rsidDel="00000000" w:rsidP="00000000" w:rsidRDefault="00000000" w:rsidRPr="00000000" w14:paraId="00000053">
      <w:pPr>
        <w:tabs>
          <w:tab w:val="right" w:leader="none" w:pos="9638"/>
        </w:tabs>
        <w:rPr/>
      </w:pPr>
      <w:r w:rsidDel="00000000" w:rsidR="00000000" w:rsidRPr="00000000">
        <w:rPr>
          <w:rtl w:val="0"/>
        </w:rPr>
        <w:t xml:space="preserve">Por otra parte, desde el propio cristianismo no se ha dejado de protestar repetidas veces contra la indebida equiparación de religión y moral. Kierkegaard, en la estela de Lutero, insistió en la imposibilidad de mediación entre el estadio ético y el religioso, con el fin de subrayar la trascendencia de Dios, como por ejemplo el caso de Abraham que obediente a la llamada de divina, está dispuesto a matar a su hijo Isaac, y que Kant hizo crítica insistiendo que el hombre haría bien en no tomarla como un proveniente de Dioes; pues que el cristianismo no se reduzca a ética no quiere decir que vaya contra ella.</w:t>
      </w:r>
    </w:p>
    <w:p w:rsidR="00000000" w:rsidDel="00000000" w:rsidP="00000000" w:rsidRDefault="00000000" w:rsidRPr="00000000" w14:paraId="00000054">
      <w:pPr>
        <w:tabs>
          <w:tab w:val="right" w:leader="none" w:pos="9638"/>
        </w:tabs>
        <w:rPr/>
      </w:pPr>
      <w:r w:rsidDel="00000000" w:rsidR="00000000" w:rsidRPr="00000000">
        <w:rPr>
          <w:rtl w:val="0"/>
        </w:rPr>
        <w:t xml:space="preserve">El concepto de moralidad cristiana es ambigüo por su diversidad de manifestaciones. Esta diversidad de formas de vida puede dar como resultado una teología con una gama amplia de opiniones éticas. Para una época como la nuestra, que busca continuamente encontrar la solución de sus propios problemas en la moralidad cristiana, quizá sería un alivio considerar que el problema de la moralidad cristiana quizá consista en descubrir lo que precisamente es.</w:t>
      </w:r>
    </w:p>
    <w:p w:rsidR="00000000" w:rsidDel="00000000" w:rsidP="00000000" w:rsidRDefault="00000000" w:rsidRPr="00000000" w14:paraId="00000055">
      <w:pPr>
        <w:tabs>
          <w:tab w:val="right" w:leader="none" w:pos="9638"/>
        </w:tabs>
        <w:rPr/>
      </w:pPr>
      <w:r w:rsidDel="00000000" w:rsidR="00000000" w:rsidRPr="00000000">
        <w:rPr>
          <w:rtl w:val="0"/>
        </w:rPr>
        <w:t xml:space="preserve">Sin embargo, la no confusión entre moral y religión no puede llevarnos a pasar por alto las fuertes implicaciones morales que la religión suele comportar. Caffarena, en un intento de aproximar la filosofía moral cristiana al kantismo ha hablado de </w:t>
      </w:r>
      <w:r w:rsidDel="00000000" w:rsidR="00000000" w:rsidRPr="00000000">
        <w:rPr>
          <w:i w:val="1"/>
          <w:rtl w:val="0"/>
        </w:rPr>
        <w:t xml:space="preserve">formalismo del amor</w:t>
      </w:r>
      <w:r w:rsidDel="00000000" w:rsidR="00000000" w:rsidRPr="00000000">
        <w:rPr>
          <w:rtl w:val="0"/>
        </w:rPr>
        <w:t xml:space="preserve">, aprovechando la similitud del imperativo categórico y el mandamiento principal del evangelio (el fundamento de esta fe).</w:t>
        <w:br w:type="textWrapping"/>
        <w:t xml:space="preserve">Dos puntos importantes respecto de la relevancia de lo ético en el cristianismo son (</w:t>
      </w:r>
      <w:r w:rsidDel="00000000" w:rsidR="00000000" w:rsidRPr="00000000">
        <w:rPr>
          <w:i w:val="1"/>
          <w:rtl w:val="0"/>
        </w:rPr>
        <w:t xml:space="preserve">i</w:t>
      </w:r>
      <w:r w:rsidDel="00000000" w:rsidR="00000000" w:rsidRPr="00000000">
        <w:rPr>
          <w:rtl w:val="0"/>
        </w:rPr>
        <w:t xml:space="preserve">) la imagen de un Dios legislador y (</w:t>
      </w:r>
      <w:r w:rsidDel="00000000" w:rsidR="00000000" w:rsidRPr="00000000">
        <w:rPr>
          <w:i w:val="1"/>
          <w:rtl w:val="0"/>
        </w:rPr>
        <w:t xml:space="preserve">ii</w:t>
      </w:r>
      <w:r w:rsidDel="00000000" w:rsidR="00000000" w:rsidRPr="00000000">
        <w:rPr>
          <w:rtl w:val="0"/>
        </w:rPr>
        <w:t xml:space="preserve">)la relación entre autonomía y teocentrismo.</w:t>
      </w:r>
    </w:p>
    <w:p w:rsidR="00000000" w:rsidDel="00000000" w:rsidP="00000000" w:rsidRDefault="00000000" w:rsidRPr="00000000" w14:paraId="00000056">
      <w:pPr>
        <w:tabs>
          <w:tab w:val="right" w:leader="none" w:pos="9638"/>
        </w:tabs>
        <w:rPr/>
      </w:pPr>
      <w:r w:rsidDel="00000000" w:rsidR="00000000" w:rsidRPr="00000000">
        <w:rPr>
          <w:rtl w:val="0"/>
        </w:rPr>
        <w:t xml:space="preserve">La relevancia de lo ético en el cristianismo requiere dos precisiones: la imagen de un dios legislador, y </w:t>
      </w:r>
    </w:p>
    <w:p w:rsidR="00000000" w:rsidDel="00000000" w:rsidP="00000000" w:rsidRDefault="00000000" w:rsidRPr="00000000" w14:paraId="00000057">
      <w:pPr>
        <w:pStyle w:val="Heading2"/>
        <w:tabs>
          <w:tab w:val="right" w:leader="none" w:pos="9638"/>
        </w:tabs>
        <w:rPr/>
      </w:pPr>
      <w:bookmarkStart w:colFirst="0" w:colLast="0" w:name="_lyr85topb1d6" w:id="14"/>
      <w:bookmarkEnd w:id="14"/>
      <w:r w:rsidDel="00000000" w:rsidR="00000000" w:rsidRPr="00000000">
        <w:rPr>
          <w:rtl w:val="0"/>
        </w:rPr>
        <w:t xml:space="preserve">3.2. </w:t>
      </w:r>
      <w:r w:rsidDel="00000000" w:rsidR="00000000" w:rsidRPr="00000000">
        <w:rPr>
          <w:rtl w:val="0"/>
        </w:rPr>
        <w:t xml:space="preserve">La fantasía del Dios legislador</w:t>
      </w:r>
    </w:p>
    <w:p w:rsidR="00000000" w:rsidDel="00000000" w:rsidP="00000000" w:rsidRDefault="00000000" w:rsidRPr="00000000" w14:paraId="00000058">
      <w:pPr>
        <w:tabs>
          <w:tab w:val="right" w:leader="none" w:pos="9638"/>
        </w:tabs>
        <w:rPr/>
      </w:pPr>
      <w:r w:rsidDel="00000000" w:rsidR="00000000" w:rsidRPr="00000000">
        <w:rPr>
          <w:rtl w:val="0"/>
        </w:rPr>
        <w:t xml:space="preserve">El peligro de mantener valores incondicionados, si bien pudiese parecer más coherente, es que aquellos líderes que ejercen como mediadores pueden fácilmente tratar de imponer su propio código y su visión de las cosas a los demás. Problema que tiene relevancia sociológica.</w:t>
      </w:r>
    </w:p>
    <w:p w:rsidR="00000000" w:rsidDel="00000000" w:rsidP="00000000" w:rsidRDefault="00000000" w:rsidRPr="00000000" w14:paraId="00000059">
      <w:pPr>
        <w:tabs>
          <w:tab w:val="right" w:leader="none" w:pos="9638"/>
        </w:tabs>
        <w:rPr/>
      </w:pPr>
      <w:r w:rsidDel="00000000" w:rsidR="00000000" w:rsidRPr="00000000">
        <w:rPr>
          <w:rtl w:val="0"/>
        </w:rPr>
        <w:t xml:space="preserve">La fórmula Kolakowski-Dostoievski sugiere la imagen de un Dios despótico y autoritario, de la que habría que desconfiar, que realza la omnipotencia divina.</w:t>
        <w:br w:type="textWrapping"/>
        <w:t xml:space="preserve">La cuestión planteada ya estaba presente en el pensamiento de Platón, cuando Sócrates pregunta si lo piadoso es querido por los dioses porque es piadoso, o es piadoso porque es querido por los dioses. O en el voluntarismo de Ockham, lo bueno es bueno porque Dios lo quiere y no a la inversa, que Dios lo quiera por ser bueno.</w:t>
        <w:br w:type="textWrapping"/>
        <w:t xml:space="preserve">Esta problemática se prolonga en el luteranismo con la potencia absoluta de Dios, frente a la que el cumplimiento de la ley moral no puede tratar de hacer valer como justificación ante Dios. El hombre no puede salvar la distancia entre él y Dios, por su condición radicalmente perdida; pretendiendo su autosuficiencia, se hace esclavo de ella, pues los hombres creen ser amados por ser bellos, cuando en realidad se vuelven bellos por ser amados.</w:t>
      </w:r>
    </w:p>
    <w:p w:rsidR="00000000" w:rsidDel="00000000" w:rsidP="00000000" w:rsidRDefault="00000000" w:rsidRPr="00000000" w14:paraId="0000005A">
      <w:pPr>
        <w:tabs>
          <w:tab w:val="right" w:leader="none" w:pos="9638"/>
        </w:tabs>
        <w:rPr/>
      </w:pPr>
      <w:r w:rsidDel="00000000" w:rsidR="00000000" w:rsidRPr="00000000">
        <w:rPr>
          <w:rtl w:val="0"/>
        </w:rPr>
        <w:t xml:space="preserve">Dentro de las éticas teológicas, se considera superficial la concepción de que lo bueno lo es porque Dios lo quiere así. Para Wittgenstein, la concepción más profunda es: lo bueno es lo que Dios manda. Esto corta el camino a toda explicación de por qué es bueno, mientras que la segunda concepción es precisamente la superficial, la racionalista que procede como si lo que es bueno todavía se pudiera fundamentar.</w:t>
      </w:r>
    </w:p>
    <w:p w:rsidR="00000000" w:rsidDel="00000000" w:rsidP="00000000" w:rsidRDefault="00000000" w:rsidRPr="00000000" w14:paraId="0000005B">
      <w:pPr>
        <w:tabs>
          <w:tab w:val="right" w:leader="none" w:pos="9638"/>
        </w:tabs>
        <w:rPr/>
      </w:pPr>
      <w:r w:rsidDel="00000000" w:rsidR="00000000" w:rsidRPr="00000000">
        <w:rPr>
          <w:rtl w:val="0"/>
        </w:rPr>
        <w:t xml:space="preserve">La tradición evitó los extremos de este dilema con un Dios limitado al tenerse que someter a un orden que le constriñe, un Dios arbitrario que podría haber ordenado la bondad del asesinato o de cualquier otro actoconsiderado actualmente malvado. Y quizá una salida pudiera encontrarse en las categorías lúcidas y estéticas que ofrecen el modelo de un hacer no necesario pero con sentido. Aunque estas categorías habrían de aplicarse en forma distinta a Dios y a los hombres.</w:t>
      </w:r>
    </w:p>
    <w:p w:rsidR="00000000" w:rsidDel="00000000" w:rsidP="00000000" w:rsidRDefault="00000000" w:rsidRPr="00000000" w14:paraId="0000005C">
      <w:pPr>
        <w:tabs>
          <w:tab w:val="right" w:leader="none" w:pos="9638"/>
        </w:tabs>
        <w:rPr/>
      </w:pPr>
      <w:r w:rsidDel="00000000" w:rsidR="00000000" w:rsidRPr="00000000">
        <w:rPr>
          <w:rtl w:val="0"/>
        </w:rPr>
        <w:t xml:space="preserve">Estos problemas teológicos encontrarían su correlato antropológico: Al hacer pivotar la ética sobre la voluntad del sujeto, por más que se trate de Dios, la teología luterana rindió un servicio inestimable a la ética moderna, pues bastaría esperar a que sobreviniese es fenómeno cultural que conocemos como la muerte de Dios (y que a los sociólogos les gusta más referirse como proceso de secularización) para que se pasase de una perspectiva de potencia de Dios absoluta a una perspectiva de potencia humana absoluta que consagra la autonomía moral del individuo.</w:t>
      </w:r>
    </w:p>
    <w:p w:rsidR="00000000" w:rsidDel="00000000" w:rsidP="00000000" w:rsidRDefault="00000000" w:rsidRPr="00000000" w14:paraId="0000005D">
      <w:pPr>
        <w:tabs>
          <w:tab w:val="right" w:leader="none" w:pos="9638"/>
        </w:tabs>
        <w:rPr/>
      </w:pPr>
      <w:r w:rsidDel="00000000" w:rsidR="00000000" w:rsidRPr="00000000">
        <w:rPr>
          <w:rtl w:val="0"/>
        </w:rPr>
        <w:t xml:space="preserve">Sin embargo, la imagen de Dios luterana es problemática y hace difícil el párrafo anterior por la peculiar forma en que se liga a la omnipotencia, más que a la autonomía.</w:t>
      </w:r>
    </w:p>
    <w:p w:rsidR="00000000" w:rsidDel="00000000" w:rsidP="00000000" w:rsidRDefault="00000000" w:rsidRPr="00000000" w14:paraId="0000005E">
      <w:pPr>
        <w:tabs>
          <w:tab w:val="right" w:leader="none" w:pos="9638"/>
        </w:tabs>
        <w:rPr/>
      </w:pPr>
      <w:r w:rsidDel="00000000" w:rsidR="00000000" w:rsidRPr="00000000">
        <w:rPr>
          <w:rtl w:val="0"/>
        </w:rPr>
        <w:t xml:space="preserve">Desde la perspectiva psicoanalítica, no es difícil sospechar la fantasía del padre primitivo y omnipotente, no castrado en el sentido de no reconocer el límite impuesto por la diferencia sexual, dios imaginario que es preciso cancelar si queremos acceder al orden simbólico de la historia y de la vida, que implica precisamente límite y posibilita el deseo.</w:t>
        <w:br w:type="textWrapping"/>
        <w:t xml:space="preserve">y no menos equívoca que esa omnipotencia subrayada de Dios lo es la del hombre, que se encuentra en conexión con la de aquel al que pretende sustituir. Pues la autonomía ética del individuo y la moral como invención no permiten sin embargo pensar esa autonomía como autosuficiencia ni invención como si cualquier posibilidad fuese igualmente valiosa. No todo invento nos hace igualmente humanos. Por eso, frente a la concepción sartreana de libertad como fundamento de todos los valores es preciso subrayar que si la invención no ha de degenerar en mero capricho o arbitrariedad, la libertad ha de ir unida a la perspectiva de los otros, a la razón, siendo articulada lo que lleva a Kant a diferenciar la voluntad del libre albedrío.</w:t>
        <w:br w:type="textWrapping"/>
        <w:t xml:space="preserve">Desde el punto de vista psicoanalítico no se puede dejar de recelar de una moral que no se enraíce en el diálogo con la realidad y los demás. Diálogo que no sólo habría de llevarse a cabo con los otros individuos, sino también con uno mismo, a fin de hacer un lugar al diálogo en que cada uno de nosotros consistimos. Diálogo que para el individuo religioso, estaría abierto no sólo a sí mismo y a los otros, sino también a ese Otro, que dice es su esperanza y al que quizá no pueda manipular ni siquiera bajo la forma de obediencia.</w:t>
      </w:r>
    </w:p>
    <w:p w:rsidR="00000000" w:rsidDel="00000000" w:rsidP="00000000" w:rsidRDefault="00000000" w:rsidRPr="00000000" w14:paraId="0000005F">
      <w:pPr>
        <w:tabs>
          <w:tab w:val="right" w:leader="none" w:pos="9638"/>
        </w:tabs>
        <w:rPr/>
      </w:pPr>
      <w:r w:rsidDel="00000000" w:rsidR="00000000" w:rsidRPr="00000000">
        <w:rPr>
          <w:rtl w:val="0"/>
        </w:rPr>
        <w:t xml:space="preserve">El problema de la necesidad de la desaparición de Dios para que el hombre sea libre se sustenta sobre esta problemática psicoanalista. La imagen que se pone en juego se corresponde con el padre primordial del mito de expresado por Freud. A diferencia de lo que sucede en el Edipo individual, en el que la renuncia a la madre permite el acceso a las demás mujeres, el padre primordial las posee a todas ellas, lo que colocaría al hijo en la alternativa de asesinarle, para suplantarle y heredar sus atributos, o anularse, negándose a sí mismo a costa de una supuesta protección. Solo al dar por cancelada esta fantasía nos permite el acceso al orden simbólico de la historia y de la cultura, a una potencia limitada, pero real, por la que uno podrá ser hijo, esposo y padre a su vez, dejando vacío el lugar del </w:t>
      </w:r>
      <w:r w:rsidDel="00000000" w:rsidR="00000000" w:rsidRPr="00000000">
        <w:rPr>
          <w:rtl w:val="0"/>
        </w:rPr>
        <w:t xml:space="preserve">todopoder</w:t>
      </w:r>
      <w:r w:rsidDel="00000000" w:rsidR="00000000" w:rsidRPr="00000000">
        <w:rPr>
          <w:rtl w:val="0"/>
        </w:rPr>
        <w:t xml:space="preserve"> arbitrario. En esta perspectiva, en cambio, su existencia amenaza la mayoría de edad del hombre, pues es como si mientras el padre exista, uno no pudiera alcanzar la mayoría de edad y la autonomía.</w:t>
        <w:br w:type="textWrapping"/>
        <w:t xml:space="preserve">A esta cuestión le sigue la nietzscheana pregunta de si hubiera dioses, cómo soportaría yo no el no ser Dios. Pero al tratar de suplantar a Dios reintroduciendo los mismos rasgos que le había prestado nuestro imaginario infantil de omnipotencia, no salimos de él. Para Freud, el hombre religiosos </w:t>
      </w:r>
      <w:r w:rsidDel="00000000" w:rsidR="00000000" w:rsidRPr="00000000">
        <w:rPr>
          <w:rtl w:val="0"/>
        </w:rPr>
        <w:t xml:space="preserve">restablecía</w:t>
      </w:r>
      <w:r w:rsidDel="00000000" w:rsidR="00000000" w:rsidRPr="00000000">
        <w:rPr>
          <w:rtl w:val="0"/>
        </w:rPr>
        <w:t xml:space="preserve"> el deseo de su propia omnipotencia al creen en Dios. Pero si bien no hay nada más parecido al amor a Dios que el amor ilimitado de sí, no todo individuo religioso se orienta de ese modo. En las grandes figuras religiosas, la creencia delirante no ha ido acompañada de una anulación de la realidad, sino de una percepción crítica de esa misma realidad que ha alimentado los ideales éticos de los hombres —libertad, igualdad, fraternidad—, al tomar partido, frente al delirio de poder, por los humillados y ofendidos por el poder.</w:t>
        <w:br w:type="textWrapping"/>
        <w:t xml:space="preserve">También muchos hombres religiosos parecen tender, más que a la recuperación de una mítica totalidad originaria y excluyente, a la consecución de una nueva realidad abierta a la pluralidad de seres finitos.</w:t>
        <w:br w:type="textWrapping"/>
        <w:t xml:space="preserve">Y detrás de sus manifestaciones, tras ellas siempre han de anidar los impulsos indestructibles del inconsciente, inasequibles a cualquier elaboración, con independencia de la actitud que se mantenga, incluso por una perspectiva ateísta también habría que encogerse, pese a la aparente renuncia a la omnipotencia, el secreto deseo de ocupar el lugar del padre destronado.</w:t>
        <w:br w:type="textWrapping"/>
        <w:t xml:space="preserve">También cabe pensar en una castración simbólica de forma que si al igual que es posible un ateísmo no autodivinizante, también lo es una religiosidad que deja a Dios ser Dios sin pretender el hombre serlo.</w:t>
      </w:r>
      <w:r w:rsidDel="00000000" w:rsidR="00000000" w:rsidRPr="00000000">
        <w:rPr>
          <w:rtl w:val="0"/>
        </w:rPr>
      </w:r>
    </w:p>
    <w:p w:rsidR="00000000" w:rsidDel="00000000" w:rsidP="00000000" w:rsidRDefault="00000000" w:rsidRPr="00000000" w14:paraId="00000060">
      <w:pPr>
        <w:tabs>
          <w:tab w:val="right" w:leader="none" w:pos="9638"/>
        </w:tabs>
        <w:rPr/>
      </w:pPr>
      <w:r w:rsidDel="00000000" w:rsidR="00000000" w:rsidRPr="00000000">
        <w:rPr>
          <w:rtl w:val="0"/>
        </w:rPr>
        <w:t xml:space="preserve">Jacques Lacan señaló que la solución del problema de la castración no radica en el dilema de tener o no tener falo; el sujeto necesita ante todo reconocer que él no lo es. De manera similar, en el terreno de la religión, en la que se trata del Padre, de Dios, como significante del deseo, podríamos decir que el dilemo no consiste en poseer al Padre, en tenerle en la creencia —y así hacerse uno mismo dios— o en rechazarle en la increencia —para ocupar su lugar. Las dos opciones pueden pertenecer al mismo campo de la omnipotencia soñada. La cuestión no es tener o no tener aquello que hace del padre padre, aquello que se fantasea que es el padre, i.e. el dilema de Edipo no resuelto, sino reconocer ante todo que uno no lo es.</w:t>
      </w:r>
    </w:p>
    <w:p w:rsidR="00000000" w:rsidDel="00000000" w:rsidP="00000000" w:rsidRDefault="00000000" w:rsidRPr="00000000" w14:paraId="00000061">
      <w:pPr>
        <w:tabs>
          <w:tab w:val="right" w:leader="none" w:pos="9638"/>
        </w:tabs>
        <w:rPr/>
      </w:pPr>
      <w:r w:rsidDel="00000000" w:rsidR="00000000" w:rsidRPr="00000000">
        <w:rPr>
          <w:rtl w:val="0"/>
        </w:rPr>
        <w:t xml:space="preserve">Estas implicaciones psicoanalíticas de las imágenes de Dios no permiten resolver la cuestión de la verdad o falsedad de las creencias religiosas. Pero pueden ayudar a replantear algunos de los problemas que ellas conllevan. Por ejemplo, el problema del poder de Dios y sus relaciones con la ética o el problema del mal.</w:t>
      </w:r>
    </w:p>
    <w:p w:rsidR="00000000" w:rsidDel="00000000" w:rsidP="00000000" w:rsidRDefault="00000000" w:rsidRPr="00000000" w14:paraId="00000062">
      <w:pPr>
        <w:pStyle w:val="Heading2"/>
        <w:tabs>
          <w:tab w:val="right" w:leader="none" w:pos="9638"/>
        </w:tabs>
        <w:rPr/>
      </w:pPr>
      <w:bookmarkStart w:colFirst="0" w:colLast="0" w:name="_g6hlte4c2qkc" w:id="15"/>
      <w:bookmarkEnd w:id="15"/>
      <w:r w:rsidDel="00000000" w:rsidR="00000000" w:rsidRPr="00000000">
        <w:rPr>
          <w:rtl w:val="0"/>
        </w:rPr>
        <w:t xml:space="preserve">3.3. Autonomía ética y teocentrismo</w:t>
      </w:r>
    </w:p>
    <w:p w:rsidR="00000000" w:rsidDel="00000000" w:rsidP="00000000" w:rsidRDefault="00000000" w:rsidRPr="00000000" w14:paraId="00000063">
      <w:pPr>
        <w:tabs>
          <w:tab w:val="right" w:leader="none" w:pos="9638"/>
        </w:tabs>
        <w:rPr/>
      </w:pPr>
      <w:r w:rsidDel="00000000" w:rsidR="00000000" w:rsidRPr="00000000">
        <w:rPr>
          <w:rtl w:val="0"/>
        </w:rPr>
        <w:t xml:space="preserve">¿Mantener la creencia en Dios, significa la ruina de la autonomía ética humana? Seguramente no. Sostener que el carácter incondicionado y absoluto de algún valor se hace más coherente con la referencia a Dios, no quiere decir que el creyente tenga que anular su autonomía no que los criterios de distinción estén resueltos.</w:t>
        <w:br w:type="textWrapping"/>
        <w:t xml:space="preserve">Kant expresó que los problemas que sobrevendrían si no hubiera posibilidad de hallar nada con valor absoluto,  pues si todo valor estuviera condicionado y fuera contingente, entonces no se podría encontrar para la razón ningún principio práctico supremo.</w:t>
        <w:br w:type="textWrapping"/>
        <w:t xml:space="preserve">Y si quizás se pueda renunciar a la fundamentación última sin hacerlo a la ética, no cabe duda de que la referencia a lo Absoluto otorga un sentido coherente. Aun así, lo moral no estaría ni resuelto ni codificado.</w:t>
        <w:br w:type="textWrapping"/>
        <w:t xml:space="preserve">Kolakowski señala que en el campo epistemológico, son dos cuestiones distintas: una pregunta por lo que la afirmación de un valor de tal tipo implica; otra, por los criterios de valor. Y éstos no los tenemos.</w:t>
      </w:r>
    </w:p>
    <w:p w:rsidR="00000000" w:rsidDel="00000000" w:rsidP="00000000" w:rsidRDefault="00000000" w:rsidRPr="00000000" w14:paraId="00000064">
      <w:pPr>
        <w:tabs>
          <w:tab w:val="right" w:leader="none" w:pos="9638"/>
        </w:tabs>
        <w:rPr/>
      </w:pPr>
      <w:r w:rsidDel="00000000" w:rsidR="00000000" w:rsidRPr="00000000">
        <w:rPr>
          <w:rtl w:val="0"/>
        </w:rPr>
        <w:t xml:space="preserve">El cristianismo, al pronunciarse sobre una nueva justicia, no pretende una abolición de la ley, sino su radicalización. Pero esa mayor exigencia acaba por hacerla estallar: esa aparente paradoja se expresa en fórmula en que quiere resumirse toda la ley: a la manera antigua, usual y legal de hablar, como un precepto, y a la vez imposibilitándola, puesto que el amor no puede realizarse por mandato, como vimos que también Kant observó.</w:t>
        <w:br w:type="textWrapping"/>
        <w:t xml:space="preserve">Sin embargo, la ética del deber sigue siendo importante, en la medida en que podemos considerarnos obligados a conductas que aún no amamos.</w:t>
        <w:br w:type="textWrapping"/>
        <w:t xml:space="preserve">Pero sí parece implicar que la inspiración y meta de lo ético cristiano, sin vulnerar lo estimemos deber, lo rebasa, tanto por aquello a lo que aspira como remitir como base de esa capacidad de amor, al propio Dios.</w:t>
      </w:r>
    </w:p>
    <w:p w:rsidR="00000000" w:rsidDel="00000000" w:rsidP="00000000" w:rsidRDefault="00000000" w:rsidRPr="00000000" w14:paraId="00000065">
      <w:pPr>
        <w:tabs>
          <w:tab w:val="right" w:leader="none" w:pos="9638"/>
        </w:tabs>
        <w:rPr/>
      </w:pPr>
      <w:r w:rsidDel="00000000" w:rsidR="00000000" w:rsidRPr="00000000">
        <w:rPr>
          <w:rtl w:val="0"/>
        </w:rPr>
        <w:t xml:space="preserve">Ese formalismo del amor permite diversas modulaciones que cada hombre habrá de dilucidar, en función de su contexto personal e histórico. Pero eso no quita importancia al papel de las normas, que pueden tener sentido de respuestas habituales y más o menos codificadas y ofrecerse como producto de experiencia. Experiencia que uno habrá de apropiarse y modificar. Por lo que las normas nunca podrían degenerar en un código fijo que sustituyera al principio formal del amor como inspiración y exigencia última. Principio que se puede mantener asimismo fuera de la creencia religiosa, como actitud básica de orientación moral a realizar en las difíciles encrucijadas de la vida personal e histórica. Para el creyente, que esa orientación se enraíce en Dios, significa que la ética cristiana no es sólo ética sino también necesariamente, en cierta medida, mística.</w:t>
      </w:r>
    </w:p>
    <w:p w:rsidR="00000000" w:rsidDel="00000000" w:rsidP="00000000" w:rsidRDefault="00000000" w:rsidRPr="00000000" w14:paraId="00000066">
      <w:pPr>
        <w:pStyle w:val="Heading1"/>
        <w:tabs>
          <w:tab w:val="right" w:leader="none" w:pos="9638"/>
        </w:tabs>
        <w:rPr/>
      </w:pPr>
      <w:bookmarkStart w:colFirst="0" w:colLast="0" w:name="_ikrotdjnmmej" w:id="16"/>
      <w:bookmarkEnd w:id="16"/>
      <w:r w:rsidDel="00000000" w:rsidR="00000000" w:rsidRPr="00000000">
        <w:rPr>
          <w:rtl w:val="0"/>
        </w:rPr>
        <w:t xml:space="preserve">4. Derroteros de la esperanza</w:t>
      </w:r>
    </w:p>
    <w:p w:rsidR="00000000" w:rsidDel="00000000" w:rsidP="00000000" w:rsidRDefault="00000000" w:rsidRPr="00000000" w14:paraId="00000067">
      <w:pPr>
        <w:pStyle w:val="Heading2"/>
        <w:tabs>
          <w:tab w:val="right" w:leader="none" w:pos="9638"/>
        </w:tabs>
        <w:rPr/>
      </w:pPr>
      <w:bookmarkStart w:colFirst="0" w:colLast="0" w:name="_81gy3iovguid" w:id="17"/>
      <w:bookmarkEnd w:id="17"/>
      <w:r w:rsidDel="00000000" w:rsidR="00000000" w:rsidRPr="00000000">
        <w:rPr>
          <w:rtl w:val="0"/>
        </w:rPr>
        <w:t xml:space="preserve">4.1. La esperanza en las encrucijadas de la Modernidad</w:t>
      </w:r>
    </w:p>
    <w:p w:rsidR="00000000" w:rsidDel="00000000" w:rsidP="00000000" w:rsidRDefault="00000000" w:rsidRPr="00000000" w14:paraId="00000068">
      <w:pPr>
        <w:tabs>
          <w:tab w:val="right" w:leader="none" w:pos="9638"/>
        </w:tabs>
        <w:rPr/>
      </w:pPr>
      <w:r w:rsidDel="00000000" w:rsidR="00000000" w:rsidRPr="00000000">
        <w:rPr>
          <w:rtl w:val="0"/>
        </w:rPr>
        <w:t xml:space="preserve">Veamos ahora la pregunta de qué me es dado esperar.</w:t>
      </w:r>
    </w:p>
    <w:p w:rsidR="00000000" w:rsidDel="00000000" w:rsidP="00000000" w:rsidRDefault="00000000" w:rsidRPr="00000000" w14:paraId="00000069">
      <w:pPr>
        <w:tabs>
          <w:tab w:val="right" w:leader="none" w:pos="9638"/>
        </w:tabs>
        <w:rPr/>
      </w:pPr>
      <w:r w:rsidDel="00000000" w:rsidR="00000000" w:rsidRPr="00000000">
        <w:rPr>
          <w:rtl w:val="0"/>
        </w:rPr>
        <w:t xml:space="preserve">Podemos discriminar los interpretas de la obra de Kant según si adoptan una postura analítica, cuya motivación es la estructura de su obra, o una postura Dialéctica, los que se plantean aquellas cuestiones que hacen referencia a los postulados de la inmortalidad y de Dios, a través del Bien Supremo, que supondrían una concesión a la teología. Si bien estiman que estas consideraciones no son necesarias para recoger lo más específico del legado kantiano. Otros apelan a una interpretación de conjunto de la obra kantiana en la que el tema del Bien Supremo recurre una y otra vez como algo que el propio Kant consideraba necesario para un correcto tratamiento de las cuestiones abordadas. Cómo él mismo señala, sin esperanza, las excelentes ideas de la moralidad sin indudablemente objetos de aplauso y admiración, pero no resortes, medios, del propósito y de la práctica.</w:t>
        <w:br w:type="textWrapping"/>
        <w:t xml:space="preserve">Con esto en la obra kantiana hay motivos más que suficientes para hablar de una teología moral en la que la esperanza religiosa se monta sobre la acción moral, y no a la inversa, contraria a la moral teológica que quiso criticar.</w:t>
      </w:r>
    </w:p>
    <w:p w:rsidR="00000000" w:rsidDel="00000000" w:rsidP="00000000" w:rsidRDefault="00000000" w:rsidRPr="00000000" w14:paraId="0000006A">
      <w:pPr>
        <w:tabs>
          <w:tab w:val="right" w:leader="none" w:pos="9638"/>
        </w:tabs>
        <w:rPr/>
      </w:pPr>
      <w:r w:rsidDel="00000000" w:rsidR="00000000" w:rsidRPr="00000000">
        <w:rPr>
          <w:rtl w:val="0"/>
        </w:rPr>
        <w:t xml:space="preserve">Kant estaba dispuesto a añadir el peso de la esperanza al equilibrio de la razón (Rousseau). Pues se resistía a pensar que el saldo de nuestro esfuerzo moral fuera una historia en la que el verdugo triunfara sobre su víctima inocente, que el resultado de nuestra tarea moral, una tarea racional en sí misma, por ser un mandato de la razón, fuera absurda. Por más fuerte que fuese el mal moral, su disposición al bien, la posibilidad de una fe sin garantía racional especulativa, pero postulada en base de la razón práctica, una fe razonable, de una fe racional como confianza en la Providencia.</w:t>
      </w:r>
    </w:p>
    <w:p w:rsidR="00000000" w:rsidDel="00000000" w:rsidP="00000000" w:rsidRDefault="00000000" w:rsidRPr="00000000" w14:paraId="0000006B">
      <w:pPr>
        <w:tabs>
          <w:tab w:val="right" w:leader="none" w:pos="9638"/>
        </w:tabs>
        <w:rPr/>
      </w:pPr>
      <w:r w:rsidDel="00000000" w:rsidR="00000000" w:rsidRPr="00000000">
        <w:rPr>
          <w:rtl w:val="0"/>
        </w:rPr>
        <w:t xml:space="preserve">Tras el eclipse de Dios y la secularización del pensamiento religioso, surgieron dos posturas contrapuestas. Por un lado, Bloch planteó la cuestión de </w:t>
      </w:r>
      <w:r w:rsidDel="00000000" w:rsidR="00000000" w:rsidRPr="00000000">
        <w:rPr>
          <w:i w:val="1"/>
          <w:rtl w:val="0"/>
        </w:rPr>
        <w:t xml:space="preserve">trascender sin Trascendencia</w:t>
      </w:r>
      <w:r w:rsidDel="00000000" w:rsidR="00000000" w:rsidRPr="00000000">
        <w:rPr>
          <w:rtl w:val="0"/>
        </w:rPr>
        <w:t xml:space="preserve">, que ofrecía sentido al esfuerzo humano hacia lo mejor. Por otro, con los problemas del Principio de Esperanza se renunciaba al sueño blochiano de identidad, aun sin abandonarse a una justicia rectora (Horkheimer). Una justicia rectora resulta inalcanzable en la historia secular, no sólo por la contingencias irredimibles y el mal que habrá de estar presente en cualquier sociedad futura, sino por la víctimas de la historia, olvidadas por la misma marcha de la historia. Por la presencia del mismo mal en nuestro mundo, a Horkheimer se le hacía imposible la creencia de Dios, pero se negaba a renunciar al pensamiento teológico, en cuanto que él canaliza la esperanza de que los verdugos no tengan la última palabra sobre sus víctimas inocentes. convertía, así, su inquietud en nostalgia, en anhelo por lo Totalmente Otro, que impidiera al pensamiento aplanarse, conformándose a lo dado, escribió que la cuestión relativa a la salvación de los que sufren es quizá el motor más importante que mantiene activo el discurso sobre Dios.</w:t>
      </w:r>
    </w:p>
    <w:p w:rsidR="00000000" w:rsidDel="00000000" w:rsidP="00000000" w:rsidRDefault="00000000" w:rsidRPr="00000000" w14:paraId="0000006C">
      <w:pPr>
        <w:tabs>
          <w:tab w:val="right" w:leader="none" w:pos="9638"/>
        </w:tabs>
        <w:rPr/>
      </w:pPr>
      <w:r w:rsidDel="00000000" w:rsidR="00000000" w:rsidRPr="00000000">
        <w:rPr>
          <w:rtl w:val="0"/>
        </w:rPr>
        <w:t xml:space="preserve">Todo esto, nos conduce a la cuestión de la ética a la religión (Aranguren). Si esas preguntas no parecen poder responderse, no hay que abandonarlas, o que si son inútiles carecen de sentido. La filosofía es el intento de decir lo imposible (Adorno). O, cómo dijo Wittgenstein, quien no se sentía del todo cómodo en el molde positivista y analítico, sobre ética y religión, </w:t>
      </w:r>
      <w:r w:rsidDel="00000000" w:rsidR="00000000" w:rsidRPr="00000000">
        <w:rPr>
          <w:i w:val="1"/>
          <w:rtl w:val="0"/>
        </w:rPr>
        <w:t xml:space="preserve">mi único propósito es arremeter contra los límites</w:t>
      </w:r>
      <w:r w:rsidDel="00000000" w:rsidR="00000000" w:rsidRPr="00000000">
        <w:rPr>
          <w:rtl w:val="0"/>
        </w:rPr>
        <w:t xml:space="preserve"> </w:t>
      </w:r>
      <w:r w:rsidDel="00000000" w:rsidR="00000000" w:rsidRPr="00000000">
        <w:rPr>
          <w:i w:val="1"/>
          <w:rtl w:val="0"/>
        </w:rPr>
        <w:t xml:space="preserve">del lenguaje. Éste arremeter contra las paredes</w:t>
      </w:r>
      <w:r w:rsidDel="00000000" w:rsidR="00000000" w:rsidRPr="00000000">
        <w:rPr>
          <w:rtl w:val="0"/>
        </w:rPr>
        <w:t xml:space="preserve"> </w:t>
      </w:r>
      <w:r w:rsidDel="00000000" w:rsidR="00000000" w:rsidRPr="00000000">
        <w:rPr>
          <w:i w:val="1"/>
          <w:rtl w:val="0"/>
        </w:rPr>
        <w:t xml:space="preserve">de nuestra jaula es desesperanzado. La ética, en</w:t>
      </w:r>
      <w:r w:rsidDel="00000000" w:rsidR="00000000" w:rsidRPr="00000000">
        <w:rPr>
          <w:rtl w:val="0"/>
        </w:rPr>
        <w:t xml:space="preserve"> </w:t>
      </w:r>
      <w:r w:rsidDel="00000000" w:rsidR="00000000" w:rsidRPr="00000000">
        <w:rPr>
          <w:i w:val="1"/>
          <w:rtl w:val="0"/>
        </w:rPr>
        <w:t xml:space="preserve">la medida en que surge del deseo de decir algo</w:t>
      </w:r>
      <w:r w:rsidDel="00000000" w:rsidR="00000000" w:rsidRPr="00000000">
        <w:rPr>
          <w:rtl w:val="0"/>
        </w:rPr>
        <w:t xml:space="preserve"> </w:t>
      </w:r>
      <w:r w:rsidDel="00000000" w:rsidR="00000000" w:rsidRPr="00000000">
        <w:rPr>
          <w:i w:val="1"/>
          <w:rtl w:val="0"/>
        </w:rPr>
        <w:t xml:space="preserve">sobre el sentido último de la vida, sobre lo absolutamente bueno,</w:t>
      </w:r>
      <w:r w:rsidDel="00000000" w:rsidR="00000000" w:rsidRPr="00000000">
        <w:rPr>
          <w:rtl w:val="0"/>
        </w:rPr>
        <w:t xml:space="preserve"> </w:t>
      </w:r>
      <w:r w:rsidDel="00000000" w:rsidR="00000000" w:rsidRPr="00000000">
        <w:rPr>
          <w:i w:val="1"/>
          <w:rtl w:val="0"/>
        </w:rPr>
        <w:t xml:space="preserve">valioso, no puede ser una ciencia.</w:t>
      </w:r>
      <w:r w:rsidDel="00000000" w:rsidR="00000000" w:rsidRPr="00000000">
        <w:rPr>
          <w:rtl w:val="0"/>
        </w:rPr>
        <w:t xml:space="preserve"> </w:t>
      </w:r>
      <w:r w:rsidDel="00000000" w:rsidR="00000000" w:rsidRPr="00000000">
        <w:rPr>
          <w:i w:val="1"/>
          <w:rtl w:val="0"/>
        </w:rPr>
        <w:t xml:space="preserve">Lo que dice la ética no añade nada, en ningún sentido,</w:t>
      </w:r>
      <w:r w:rsidDel="00000000" w:rsidR="00000000" w:rsidRPr="00000000">
        <w:rPr>
          <w:rtl w:val="0"/>
        </w:rPr>
        <w:t xml:space="preserve"> </w:t>
      </w:r>
      <w:r w:rsidDel="00000000" w:rsidR="00000000" w:rsidRPr="00000000">
        <w:rPr>
          <w:i w:val="1"/>
          <w:rtl w:val="0"/>
        </w:rPr>
        <w:t xml:space="preserve"> a nuestro conocimiento</w:t>
      </w:r>
      <w:r w:rsidDel="00000000" w:rsidR="00000000" w:rsidRPr="00000000">
        <w:rPr>
          <w:rtl w:val="0"/>
        </w:rPr>
        <w:t xml:space="preserve">.</w:t>
      </w:r>
    </w:p>
    <w:p w:rsidR="00000000" w:rsidDel="00000000" w:rsidP="00000000" w:rsidRDefault="00000000" w:rsidRPr="00000000" w14:paraId="0000006D">
      <w:pPr>
        <w:tabs>
          <w:tab w:val="right" w:leader="none" w:pos="9638"/>
        </w:tabs>
        <w:rPr/>
      </w:pPr>
      <w:r w:rsidDel="00000000" w:rsidR="00000000" w:rsidRPr="00000000">
        <w:rPr>
          <w:rtl w:val="0"/>
        </w:rPr>
        <w:t xml:space="preserve">Para los frankfurtianos, con una perspectiva utilitarista, la justificación de la filosofía es la de alumbrar esos aspectos que no pueden ser arrinconados en aras de lo instrumental. </w:t>
      </w:r>
    </w:p>
    <w:p w:rsidR="00000000" w:rsidDel="00000000" w:rsidP="00000000" w:rsidRDefault="00000000" w:rsidRPr="00000000" w14:paraId="0000006E">
      <w:pPr>
        <w:pStyle w:val="Heading2"/>
        <w:tabs>
          <w:tab w:val="right" w:leader="none" w:pos="9638"/>
        </w:tabs>
        <w:rPr/>
      </w:pPr>
      <w:bookmarkStart w:colFirst="0" w:colLast="0" w:name="_1zgw7jblowoo" w:id="18"/>
      <w:bookmarkEnd w:id="18"/>
      <w:r w:rsidDel="00000000" w:rsidR="00000000" w:rsidRPr="00000000">
        <w:rPr>
          <w:rtl w:val="0"/>
        </w:rPr>
        <w:t xml:space="preserve">4.2. </w:t>
      </w:r>
      <w:r w:rsidDel="00000000" w:rsidR="00000000" w:rsidRPr="00000000">
        <w:rPr>
          <w:rtl w:val="0"/>
        </w:rPr>
        <w:t xml:space="preserve">Temor y deseo en la génesis de la religión</w:t>
      </w:r>
    </w:p>
    <w:p w:rsidR="00000000" w:rsidDel="00000000" w:rsidP="00000000" w:rsidRDefault="00000000" w:rsidRPr="00000000" w14:paraId="0000006F">
      <w:pPr>
        <w:tabs>
          <w:tab w:val="right" w:leader="none" w:pos="9638"/>
        </w:tabs>
        <w:rPr/>
      </w:pPr>
      <w:r w:rsidDel="00000000" w:rsidR="00000000" w:rsidRPr="00000000">
        <w:rPr>
          <w:rtl w:val="0"/>
        </w:rPr>
        <w:t xml:space="preserve">Si bien la cuestión de las víctimas de la historia es una cuestión importante dentro la religión, ésta tiene otras cuestiones e inquietudes. La cuestión de las víctimas es compleja, pues no se despacha con una simple postura de revancha, con una ilusoria compensación, o un discreto poder estar, sino que se resuelve con una vida de bondad. Pues difícilmente un paraíso futuro compensa el sufrimiento actual, si es que hay alguien que haga este cálculo, sobre todo el que sufre. Esta vida lograda es la prometida por la religión. Si se tratase sólo de evitar el mal, bastaría con la consoladora nada. La crítica racionalista de la razón ha insistido en el miedo y la compensación como motores de la actitud religiosa, el análisis fenomenológico de los textos religiosos podría mostrar que lo que sobre todo se anhela es eternizar la belleza y el bien de la vida y sus condiciones de posibilidad, entre las que destaca la erradicación del mal. Pero, si sólo se tratase de eso, la nada ofrecería un consuelo seguro, si bien arrastraría consigo a la vida misma, que es la que se desea rescatar. Según esto, la religión no nace ante todo de una reacción compensatoria cuanto de una afirmación; no surge tanto del temor cuanto del deseo (Freud).</w:t>
      </w:r>
    </w:p>
    <w:p w:rsidR="00000000" w:rsidDel="00000000" w:rsidP="00000000" w:rsidRDefault="00000000" w:rsidRPr="00000000" w14:paraId="00000070">
      <w:pPr>
        <w:tabs>
          <w:tab w:val="right" w:leader="none" w:pos="9638"/>
        </w:tabs>
        <w:rPr/>
      </w:pPr>
      <w:r w:rsidDel="00000000" w:rsidR="00000000" w:rsidRPr="00000000">
        <w:rPr>
          <w:rtl w:val="0"/>
        </w:rPr>
        <w:t xml:space="preserve">Hay quién sitúa la religión en el plano de la ilusión. Kant advirtió que Dios aparece como un brillo, una ilusión trascendental, puesto que la razón avoca al pensamiento de lo incondicional, pero, por otra parte, no puede establecer síntesis entre esa idea y la experiencia: Dios, necesariamente pensado, no es conocido. Aparece como una ilusión necesaria, si bien no ilusoria. Con esto se vuelve a una de las figuras metafísicas precrítica y dogmática, aquella que da por cancelado lo que es controvertible.</w:t>
      </w:r>
    </w:p>
    <w:p w:rsidR="00000000" w:rsidDel="00000000" w:rsidP="00000000" w:rsidRDefault="00000000" w:rsidRPr="00000000" w14:paraId="00000071">
      <w:pPr>
        <w:tabs>
          <w:tab w:val="right" w:leader="none" w:pos="9638"/>
        </w:tabs>
        <w:rPr/>
      </w:pPr>
      <w:r w:rsidDel="00000000" w:rsidR="00000000" w:rsidRPr="00000000">
        <w:rPr>
          <w:rtl w:val="0"/>
        </w:rPr>
        <w:t xml:space="preserve">Desde una perspectiva la filosofía analítica de la religión, el creyente se atrinchera, forzosamente en una actitud dogmática. También el agnóstico o ateo se sitúan en una posición similar. No hay hechos, existentes o hipotéticos, que les hagan cambiar de postura. Ni la aparición fabulosa en el cielo de una figura que asegurara ser Dios mismo, la conmoción de tal hecho podría dejar paso con posterioridad a otras interpretaciones del mismo, e.g., la de ser producto de una alucinación. Así, aunque los hechos importan, no son decisivos, puesto que lo que se discute es ante todo la manera de considerarlos, dependiendo su interpretación de las concepciones del mundo desde las que se procede a su lectura, que condicionan las experiencias que les sirven de base de manera más que decisiva que como una teoría científica condiciona a su propia base empírica. Esa imposibilidad de resolución empírica unida a su indecibilidad especulativa, llevó a Kant a desplazar la cuestión al terreno de la razón práctica. </w:t>
      </w:r>
    </w:p>
    <w:p w:rsidR="00000000" w:rsidDel="00000000" w:rsidP="00000000" w:rsidRDefault="00000000" w:rsidRPr="00000000" w14:paraId="00000072">
      <w:pPr>
        <w:tabs>
          <w:tab w:val="right" w:leader="none" w:pos="9638"/>
        </w:tabs>
        <w:rPr/>
      </w:pPr>
      <w:r w:rsidDel="00000000" w:rsidR="00000000" w:rsidRPr="00000000">
        <w:rPr>
          <w:rtl w:val="0"/>
        </w:rPr>
        <w:t xml:space="preserve">La crítica freudiana, como también la marxista, no trataba de ser una crítica sustantiva, a propósito de la verdad o falsedad de la religión, sino una crítica funcional, respecto al papel social o psíquico de la misma. Freud y Marx, insistieron en que esas funciones son alienantes (el opio del pueblo, neurosis colectiva), paralizan los esfuerzos de transformación del mundo, atan a la infancia e impiden la emancipación social y la madurez humana. Las ciencias sociales no han dejado de insistir en su ambivalencia funcional: La religión ha paralizado la lucha contra la injusticia, como ha alentado a ella, hasta constituir a veces el espacio más engalanado del esfuerzo por un mundo mejor (Bloch). Pero también ha potenciado la apertura crítica a la realidad, i.e., una madurez que no persiste en los sueños infantiles aunque tampoco los desprecia, sino que incita a su reelaboración. La religión no es sólo bálsamo en el sufrimiento, sino también protesta contra el sufrimiento y la indignidad, aguijón frente a todo presente no cumplido. No se presenta tan sólo como consuelo narcisista, replegado frente a un mundo hostil, sino también como incitación a hacerse cargo de la realidad, incluidos sus peores aspectos, y abrirla a perspectivas nuevas.</w:t>
      </w:r>
    </w:p>
    <w:p w:rsidR="00000000" w:rsidDel="00000000" w:rsidP="00000000" w:rsidRDefault="00000000" w:rsidRPr="00000000" w14:paraId="00000073">
      <w:pPr>
        <w:tabs>
          <w:tab w:val="right" w:leader="none" w:pos="9638"/>
        </w:tabs>
        <w:rPr/>
      </w:pPr>
      <w:r w:rsidDel="00000000" w:rsidR="00000000" w:rsidRPr="00000000">
        <w:rPr>
          <w:rtl w:val="0"/>
        </w:rPr>
        <w:t xml:space="preserve">Esta ambivalencia no prueba la verdad o falsedad de las creencias religiosas, y obliga a replantear la cuestión. Se podría caer en el argumento circular de pensar que son un error; al ser un error sus funciones son negativas, pues aunque fuesen positivas, al basarse en un error automáticamente son negativas. Este argumento circular, pasa de la función a la esencia y se acaba por decir que, haga lo que haga, la religión siempre hace mal. Conclusión o punto de partida para el que toda controversia está de más.</w:t>
      </w:r>
    </w:p>
    <w:p w:rsidR="00000000" w:rsidDel="00000000" w:rsidP="00000000" w:rsidRDefault="00000000" w:rsidRPr="00000000" w14:paraId="00000074">
      <w:pPr>
        <w:tabs>
          <w:tab w:val="right" w:leader="none" w:pos="9638"/>
        </w:tabs>
        <w:rPr/>
      </w:pPr>
      <w:r w:rsidDel="00000000" w:rsidR="00000000" w:rsidRPr="00000000">
        <w:rPr>
          <w:rtl w:val="0"/>
        </w:rPr>
        <w:t xml:space="preserve">Pero fijémonos en el aspecto afirmativo antes que reactivo de la religión. Bertrand Russell consideraba chocante la manera de razonar de los creyentes, pues a la vista del mal, pensaban que en otro mundo las cosas se enderezarían. Pero no en el sentido de exaltar la plenitud frente la miseria, ni de primar el camino que supuestamente iría de las penurias del mundo a Dios. Si bien se puede esperar placer en esto, lo que se espera es el estremecimiento de la belleza, el desbordamiento provocado por la experiencia de generosidad y amor y que llegan a suscitar nuestro entusiasmo (Kant). El creyente cree en la Bondad primordial, pero no por lo mal que está el mundo, sino pese a todo lo mal que pueda estar. </w:t>
      </w:r>
    </w:p>
    <w:p w:rsidR="00000000" w:rsidDel="00000000" w:rsidP="00000000" w:rsidRDefault="00000000" w:rsidRPr="00000000" w14:paraId="00000075">
      <w:pPr>
        <w:tabs>
          <w:tab w:val="right" w:leader="none" w:pos="9638"/>
        </w:tabs>
        <w:rPr/>
      </w:pPr>
      <w:r w:rsidDel="00000000" w:rsidR="00000000" w:rsidRPr="00000000">
        <w:rPr>
          <w:rtl w:val="0"/>
        </w:rPr>
        <w:t xml:space="preserve">Al hablar de placer se puede pensar que la religión es superficial, pues para muchos, es más sesudo lamentarse de los males del mundo. Nietzsche aconsejaba afrontar los males cómo se afronta una ducha de agua fría: Entrar pronto y salir pronto; no fuese el caso que la sensibilidad hacia el dolor se convirtiese en morbosidad, en un resentimiento que pretendiera tener al universo entero en deuda, e incapaz de gozar no quiere llevarnos a todos al llanto universal, para allí oficiar de médico. Esto es lo que sucede con los predicadores de la muerte, que si encuentran un enfermo o un anciano, enseguida dicen: ¡la vida está refutada! Pero sólo están refutados ellos (Nietzsche).</w:t>
        <w:br w:type="textWrapping"/>
        <w:t xml:space="preserve">Si bien hay una justa protesta frente al optimismo vacío en nombre del dolor, uno de los aspectos más desconsoladores de muchos filósofos es ese odio a la felicidad. Nietzsche se esfuerza en diferenciar la profundidad filosófica de esa incontinencia en la queja y de esa estremecedora seriedad, proponiendo una nueva valoración del filósofo.</w:t>
      </w:r>
    </w:p>
    <w:p w:rsidR="00000000" w:rsidDel="00000000" w:rsidP="00000000" w:rsidRDefault="00000000" w:rsidRPr="00000000" w14:paraId="00000076">
      <w:pPr>
        <w:tabs>
          <w:tab w:val="right" w:leader="none" w:pos="9638"/>
        </w:tabs>
        <w:rPr/>
      </w:pPr>
      <w:r w:rsidDel="00000000" w:rsidR="00000000" w:rsidRPr="00000000">
        <w:rPr>
          <w:rtl w:val="0"/>
        </w:rPr>
        <w:t xml:space="preserve">Los teólogos, como los filósofos, a menudo buscan insertar el discurso sobre Dios aprovechando las fisuras, las tinieblas, el dolor, la contingencia, los límites y la miseria de la existencia, como si ése fuera el lugar más adecuado, cayendo en un mal discurso. Sin embargo, muchas grandes figuras religiosas no han caído en esta argumentación, sino en la confianza y la fuerza que permiten hacerse cargo de aquél para algo más que para lamentarse, aunque todos tengamos a veces derecho a lamentarnos. Bonhoeffer escribió: Siempre tengo la impresión de que al hablar de los límites humanos sólo tratamos de reservar de manera temerosa un lugar en el mundo para Dios. Pero yo no quiero hablar de Dios en los límites, sino en el centro; no en los momentos de debilidad, sino en la fuerza; esto es, no en lahora de la muerte y el pecado, sino en plena vida y en los mejores momentos del hombre.</w:t>
      </w:r>
    </w:p>
    <w:p w:rsidR="00000000" w:rsidDel="00000000" w:rsidP="00000000" w:rsidRDefault="00000000" w:rsidRPr="00000000" w14:paraId="00000077">
      <w:pPr>
        <w:tabs>
          <w:tab w:val="right" w:leader="none" w:pos="9638"/>
        </w:tabs>
        <w:rPr/>
      </w:pPr>
      <w:r w:rsidDel="00000000" w:rsidR="00000000" w:rsidRPr="00000000">
        <w:rPr>
          <w:rtl w:val="0"/>
        </w:rPr>
        <w:t xml:space="preserve">El deseo humano es necesitado. Sólo anhela y fantasea aquel que está insatisfecho. Y el deseo es hijo de la pobreza, pero también de la abundancia. Y ese bien y esa abundancia los que el deseo querría eternizar y los símbolos de la religión prometer. Así, mientras la historia de dolor puede cancelarse con la simple supresión de la vida, la vida misma pide eternidad, profunda eternidad (Nietzsche).</w:t>
      </w:r>
    </w:p>
    <w:p w:rsidR="00000000" w:rsidDel="00000000" w:rsidP="00000000" w:rsidRDefault="00000000" w:rsidRPr="00000000" w14:paraId="00000078">
      <w:pPr>
        <w:pStyle w:val="Heading2"/>
        <w:tabs>
          <w:tab w:val="right" w:leader="none" w:pos="9638"/>
        </w:tabs>
        <w:rPr/>
      </w:pPr>
      <w:bookmarkStart w:colFirst="0" w:colLast="0" w:name="_uffupu8y2hwq" w:id="19"/>
      <w:bookmarkEnd w:id="19"/>
      <w:r w:rsidDel="00000000" w:rsidR="00000000" w:rsidRPr="00000000">
        <w:rPr>
          <w:rtl w:val="0"/>
        </w:rPr>
        <w:t xml:space="preserve">4.3. Entre la muerte de Dios y el retorno de la religión</w:t>
      </w:r>
    </w:p>
    <w:p w:rsidR="00000000" w:rsidDel="00000000" w:rsidP="00000000" w:rsidRDefault="00000000" w:rsidRPr="00000000" w14:paraId="00000079">
      <w:pPr>
        <w:tabs>
          <w:tab w:val="right" w:leader="none" w:pos="9638"/>
        </w:tabs>
        <w:rPr/>
      </w:pPr>
      <w:r w:rsidDel="00000000" w:rsidR="00000000" w:rsidRPr="00000000">
        <w:rPr>
          <w:rtl w:val="0"/>
        </w:rPr>
        <w:t xml:space="preserve">Es necesario pues mantener la cuestión de la religión abierta, para que sus cuestiones no retornen incontroladamente.</w:t>
      </w:r>
    </w:p>
    <w:p w:rsidR="00000000" w:rsidDel="00000000" w:rsidP="00000000" w:rsidRDefault="00000000" w:rsidRPr="00000000" w14:paraId="0000007A">
      <w:pPr>
        <w:tabs>
          <w:tab w:val="right" w:leader="none" w:pos="9638"/>
        </w:tabs>
        <w:rPr/>
      </w:pPr>
      <w:r w:rsidDel="00000000" w:rsidR="00000000" w:rsidRPr="00000000">
        <w:rPr>
          <w:rtl w:val="0"/>
        </w:rPr>
        <w:t xml:space="preserve">Nuestro presente se caracteriza, respecto de la religión, por vivir entre la muerte de Dios y el actual retorno de la religión, que presenta múltiples facetas. </w:t>
        <w:br w:type="textWrapping"/>
        <w:t xml:space="preserve">La muerte de Dios no parece que se haya de consumar, pues la religión está viviendo un florecimiento. El retorno de la religión muestra también otros aspectos siniestros, de actitudes fundamentalistas a insistencia en la identidad religiosa.</w:t>
      </w:r>
    </w:p>
    <w:p w:rsidR="00000000" w:rsidDel="00000000" w:rsidP="00000000" w:rsidRDefault="00000000" w:rsidRPr="00000000" w14:paraId="0000007B">
      <w:pPr>
        <w:tabs>
          <w:tab w:val="right" w:leader="none" w:pos="9638"/>
        </w:tabs>
        <w:rPr/>
      </w:pPr>
      <w:r w:rsidDel="00000000" w:rsidR="00000000" w:rsidRPr="00000000">
        <w:rPr>
          <w:rtl w:val="0"/>
        </w:rPr>
        <w:t xml:space="preserve">Con respecto al pensamiento agnóstico o explícitamente increyente. Esta posición, a veces pueden desembocar en un ateísmo trivial, que tiende a aplanar el pensamiento, al deplorar la actitud de aquellos que viven desinteresados del problema religioso en su aspecto metafísico y sólo lo estudian en su aspecto social o político. Nietzsche, por ejemplo, fué crítico con los pretendían estar de vuelta del problema religioso, sin haberse hecho siquiera cargo del mismo. Y esto, a su entender, es lo que pasaba con los doctos de su época, que, como mucho, sentían por la religión una especie de candorosa, ingenua, benevolencia y tolerante curiosidad, lo que para él no dejaba de ser una ingenuidad, cuyo instinto trata al hombre religioso como un tipo inferior y menos valioso, más allá del cual, lejos del cual, por encima del cual él ha crecido, él, el diligente y ágil obrero intelectual y manual de las ideas, de las ideas modernas (Nietzsche).</w:t>
      </w:r>
    </w:p>
    <w:p w:rsidR="00000000" w:rsidDel="00000000" w:rsidP="00000000" w:rsidRDefault="00000000" w:rsidRPr="00000000" w14:paraId="0000007C">
      <w:pPr>
        <w:tabs>
          <w:tab w:val="right" w:leader="none" w:pos="9638"/>
        </w:tabs>
        <w:rPr/>
      </w:pPr>
      <w:r w:rsidDel="00000000" w:rsidR="00000000" w:rsidRPr="00000000">
        <w:rPr>
          <w:rtl w:val="0"/>
        </w:rPr>
        <w:t xml:space="preserve">El cerrar o evitar ese tipo de cuestiones, no sólo es una ruina para el pensamiento, sino que estas presuntas superaciones han de ir acompañadas de todo el florecimiento de lo reprimido, retorna en forma salvaje, como síntoma (Freud).</w:t>
        <w:br w:type="textWrapping"/>
        <w:t xml:space="preserve">El abuso llevado a cabo por muchas formas de religión, unido al anhelo de superar la cuestión del misterio que la realidad comporta, conducen a que ésta se nos pueble de misterios, los cuales quizás no hacen sino satisfacer y, a la vez, ocultar preguntas más importantes con las que deberíamos haber sabido enfrentarnos.</w:t>
      </w:r>
    </w:p>
    <w:p w:rsidR="00000000" w:rsidDel="00000000" w:rsidP="00000000" w:rsidRDefault="00000000" w:rsidRPr="00000000" w14:paraId="0000007D">
      <w:pPr>
        <w:tabs>
          <w:tab w:val="right" w:leader="none" w:pos="9638"/>
        </w:tabs>
        <w:rPr/>
      </w:pPr>
      <w:r w:rsidDel="00000000" w:rsidR="00000000" w:rsidRPr="00000000">
        <w:rPr>
          <w:rtl w:val="0"/>
        </w:rPr>
        <w:t xml:space="preserve">Esto está sucediendo en nuestra sociedad que, por más racionalista que se proclame, se entrega cada vez más vorazmente de forma poco racional y razonable, al consumo masivo de toda clase de falsedades., en las que formas vagamente religiosas se mezclan con diversas manifestaciones de magia, y todo ello con un toque científico, para ofrecernos un cóctel  de exorcismos, videntes, curanderos, adivinos, y otras formas de ansiedad, que nos presenta abundantemente cualquier medio de comunicación.</w:t>
      </w:r>
    </w:p>
    <w:p w:rsidR="00000000" w:rsidDel="00000000" w:rsidP="00000000" w:rsidRDefault="00000000" w:rsidRPr="00000000" w14:paraId="0000007E">
      <w:pPr>
        <w:tabs>
          <w:tab w:val="right" w:leader="none" w:pos="9638"/>
        </w:tabs>
        <w:rPr/>
      </w:pPr>
      <w:r w:rsidDel="00000000" w:rsidR="00000000" w:rsidRPr="00000000">
        <w:rPr>
          <w:rtl w:val="0"/>
        </w:rPr>
        <w:t xml:space="preserve">En la ambivalente diversidad de sus funciones y contenidos y entre otros más sombríos, la religión alberga aspectos eminentes (elevados). Canaliza problemas a los que la ética misma no debería renunciar, si es que no quiere perder de vista gran parte del horizonte en el que ella misma se mueve. La religión alberga los grandes símbolos en que la humanidad ha fantaseado sus esperanzas de redención, sus aspiraciones a favor de la paz y de una vida lograda. En la medida que se muestre la razonabilidad de esas esperanzas, ellas pueden dibujar un tercero, entre los extremos del escapismo frente la realidad, porque no se ajusta a nuestros deseos, y la desconsolada resignación ante ella, que pretende negar el propio deseo porque cree que no se va a cumplir, entre el delirio y la tragedia.</w:t>
      </w:r>
      <w:r w:rsidDel="00000000" w:rsidR="00000000" w:rsidRPr="00000000">
        <w:rPr>
          <w:rtl w:val="0"/>
        </w:rPr>
      </w:r>
    </w:p>
    <w:sectPr>
      <w:type w:val="continuous"/>
      <w:pgSz w:h="16838" w:w="11906" w:orient="portrait"/>
      <w:pgMar w:bottom="850.3937007874016" w:top="850.3937007874016" w:left="1133.8582677165355" w:right="1133.8582677165355" w:header="0" w:footer="340.15748031496065"/>
      <w:cols w:equalWidth="0" w:num="2">
        <w:col w:space="265.5" w:w="4686.139999999999"/>
        <w:col w:space="0" w:w="4686.13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86"/>
        <w:tab w:val="right" w:leader="none" w:pos="1077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
      </w:rPr>
    </w:rPrDefault>
    <w:pPrDefault>
      <w:pPr>
        <w:widowControl w:val="0"/>
        <w:tabs>
          <w:tab w:val="right" w:leader="none" w:pos="9638"/>
        </w:tabs>
        <w:spacing w:before="200" w:line="312" w:lineRule="auto"/>
        <w:ind w:firstLine="283.464566929133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right" w:leader="none" w:pos="9638"/>
      </w:tabs>
      <w:spacing w:before="240" w:lineRule="auto"/>
      <w:ind w:firstLine="0"/>
    </w:pPr>
    <w:rPr>
      <w:b w:val="1"/>
    </w:rPr>
  </w:style>
  <w:style w:type="paragraph" w:styleId="Heading2">
    <w:name w:val="heading 2"/>
    <w:basedOn w:val="Normal"/>
    <w:next w:val="Normal"/>
    <w:pPr>
      <w:keepNext w:val="1"/>
      <w:tabs>
        <w:tab w:val="right" w:leader="none" w:pos="9638"/>
      </w:tabs>
      <w:spacing w:before="240" w:lineRule="auto"/>
      <w:ind w:firstLine="0"/>
    </w:pPr>
    <w:rPr>
      <w:b w:val="1"/>
    </w:rPr>
  </w:style>
  <w:style w:type="paragraph" w:styleId="Heading3">
    <w:name w:val="heading 3"/>
    <w:basedOn w:val="Normal"/>
    <w:next w:val="Normal"/>
    <w:pPr>
      <w:keepNext w:val="1"/>
      <w:tabs>
        <w:tab w:val="right" w:leader="none" w:pos="9638"/>
      </w:tabs>
      <w:spacing w:before="240" w:lineRule="auto"/>
      <w:ind w:firstLine="0"/>
    </w:pPr>
    <w:rPr>
      <w:b w:val="1"/>
    </w:rPr>
  </w:style>
  <w:style w:type="paragraph" w:styleId="Heading4">
    <w:name w:val="heading 4"/>
    <w:basedOn w:val="Normal"/>
    <w:next w:val="Normal"/>
    <w:pPr>
      <w:keepNext w:val="1"/>
      <w:tabs>
        <w:tab w:val="right" w:leader="none" w:pos="9638"/>
      </w:tabs>
      <w:spacing w:before="240" w:lineRule="auto"/>
      <w:ind w:firstLine="0"/>
    </w:pPr>
    <w:rPr>
      <w:b w:val="1"/>
    </w:rPr>
  </w:style>
  <w:style w:type="paragraph" w:styleId="Heading5">
    <w:name w:val="heading 5"/>
    <w:basedOn w:val="Normal"/>
    <w:next w:val="Normal"/>
    <w:pPr>
      <w:keepNext w:val="1"/>
      <w:tabs>
        <w:tab w:val="right" w:leader="none" w:pos="9638"/>
      </w:tabs>
      <w:spacing w:after="120" w:before="240" w:lineRule="auto"/>
      <w:ind w:left="1008" w:hanging="1008"/>
    </w:pPr>
    <w:rPr>
      <w:rFonts w:ascii="Arial" w:cs="Arial" w:eastAsia="Arial" w:hAnsi="Arial"/>
      <w:b w:val="1"/>
      <w:sz w:val="24"/>
      <w:szCs w:val="24"/>
    </w:rPr>
  </w:style>
  <w:style w:type="paragraph" w:styleId="Heading6">
    <w:name w:val="heading 6"/>
    <w:basedOn w:val="Normal"/>
    <w:next w:val="Normal"/>
    <w:pPr>
      <w:keepNext w:val="1"/>
      <w:tabs>
        <w:tab w:val="right" w:leader="none" w:pos="9638"/>
      </w:tabs>
      <w:spacing w:after="120" w:before="240" w:lineRule="auto"/>
      <w:ind w:left="1152" w:hanging="1152"/>
    </w:pPr>
    <w:rPr>
      <w:rFonts w:ascii="Arial" w:cs="Arial" w:eastAsia="Arial" w:hAnsi="Arial"/>
      <w:b w:val="1"/>
      <w:sz w:val="21"/>
      <w:szCs w:val="21"/>
    </w:rPr>
  </w:style>
  <w:style w:type="paragraph" w:styleId="Title">
    <w:name w:val="Title"/>
    <w:basedOn w:val="Normal"/>
    <w:next w:val="Normal"/>
    <w:pPr>
      <w:keepNext w:val="1"/>
      <w:tabs>
        <w:tab w:val="right" w:leader="none" w:pos="9638"/>
      </w:tabs>
      <w:spacing w:after="120" w:before="240" w:lineRule="auto"/>
      <w:jc w:val="center"/>
    </w:pPr>
    <w:rPr>
      <w:rFonts w:ascii="Arial" w:cs="Arial" w:eastAsia="Arial" w:hAnsi="Arial"/>
      <w:b w:val="1"/>
      <w:sz w:val="36"/>
      <w:szCs w:val="36"/>
    </w:rPr>
  </w:style>
  <w:style w:type="paragraph" w:styleId="Subtitle">
    <w:name w:val="Subtitle"/>
    <w:basedOn w:val="Normal"/>
    <w:next w:val="Normal"/>
    <w:pPr>
      <w:keepNext w:val="1"/>
      <w:tabs>
        <w:tab w:val="right" w:leader="none" w:pos="9638"/>
      </w:tabs>
      <w:spacing w:after="120" w:before="240" w:lineRule="auto"/>
      <w:jc w:val="center"/>
    </w:pPr>
    <w:rPr>
      <w:rFonts w:ascii="Arial" w:cs="Arial" w:eastAsia="Arial" w:hAnsi="Arial"/>
      <w:i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