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bookmarkStart w:id="0" w:name="_GoBack"/>
            <w:bookmarkEnd w:id="0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  <w:r>
              <w:rPr>
                <w:rFonts w:ascii="한컴바탕" w:hAnsi="한컴바탕"/>
                <w:u w:val="single"/>
              </w:rPr>
              <w:t>ignore/</w:t>
            </w:r>
            <w:r>
              <w:rPr>
                <w:rFonts w:ascii="한컴바탕" w:hAnsi="한컴바탕"/>
                <w:color w:val="CC0000"/>
                <w:u w:val="single"/>
              </w:rPr>
              <w:t>magnify</w:t>
            </w:r>
            <w:r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  <w:r>
              <w:rPr>
                <w:rFonts w:ascii="한컴바탕" w:hAnsi="한컴바탕"/>
                <w:color w:val="CC0000"/>
                <w:u w:val="single"/>
              </w:rPr>
              <w:t>accurately</w:t>
            </w:r>
            <w:r>
              <w:rPr>
                <w:rFonts w:ascii="한컴바탕" w:hAnsi="한컴바탕"/>
                <w:u w:val="single"/>
              </w:rPr>
              <w:t>/inaccurately</w:t>
            </w:r>
            <w:r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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(upon exploration) deeply profound,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If you don’t save for this, you’ll </w:t>
            </w:r>
            <w:r>
              <w:rPr>
                <w:rFonts w:ascii="한컴바탕" w:hAnsi="한컴바탕"/>
                <w:u w:val="single" w:color="0000FF"/>
              </w:rPr>
              <w:t>end up with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You will have cash to pay for it, and you are still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Instead of</w:t>
            </w:r>
            <w:r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Kluckhohn tells of a non­Navajo woman </w:t>
            </w: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Arizona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hAnsi="한컴바탕"/>
                <w:u w:val="single" w:color="0000FF"/>
              </w:rPr>
              <w:t>Here, then, is</w:t>
            </w:r>
            <w:r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Not only was</w:t>
            </w:r>
            <w:r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>인류학자 클라이트 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 xml:space="preserve">아메리칸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</w:t>
            </w:r>
            <w:r>
              <w:rPr>
                <w:rFonts w:ascii="한컴바탕" w:hAnsi="한컴바탕"/>
              </w:rPr>
              <w:lastRenderedPageBreak/>
              <w:t xml:space="preserve">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ⓒ</w:t>
            </w:r>
            <w:r>
              <w:rPr>
                <w:rFonts w:ascii="한컴바탕" w:hAnsi="한컴바탕"/>
                <w:color w:val="CC0000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었지만 매일 아침 타글리아 선생님에게 매달려 의존하게 </w:t>
            </w:r>
            <w:r>
              <w:rPr>
                <w:rFonts w:ascii="한컴바탕" w:eastAsia="한컴바탕" w:hAnsi="한컴바탕"/>
              </w:rPr>
              <w:lastRenderedPageBreak/>
              <w:t>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그녀 자신을 학급의 일부로서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483C53"/>
    <w:rsid w:val="00600D96"/>
    <w:rsid w:val="00607CD6"/>
    <w:rsid w:val="009624A1"/>
    <w:rsid w:val="00A0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74</Pages>
  <Words>19475</Words>
  <Characters>111013</Characters>
  <Application>Microsoft Office Word</Application>
  <DocSecurity>0</DocSecurity>
  <Lines>925</Lines>
  <Paragraphs>260</Paragraphs>
  <ScaleCrop>false</ScaleCrop>
  <Company/>
  <LinksUpToDate>false</LinksUpToDate>
  <CharactersWithSpaces>130228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dcterms:created xsi:type="dcterms:W3CDTF">2017-09-18T21:04:00Z</dcterms:created>
  <dcterms:modified xsi:type="dcterms:W3CDTF">2018-12-25T06:26:00Z</dcterms:modified>
</cp:coreProperties>
</file>