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190" w:type="dxa"/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Cohort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DIVIDS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SAM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CICADA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NUSTART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STATT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CLHNS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Test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XX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307 (14.5%)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103 (4.9%)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867 (40.9%)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282 (13.3%)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261 (12.3%)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302 (14.2%)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Without EPI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100 (84.7%)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29 (34.9%)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458 (55.9%)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164 (68.0%)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198 (80.2%)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253 (86.9%)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&lt;0.001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Mild-Moderate EPI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9 (7.6%)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20 (24.1%)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158 (19.3%)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36 (14.9%)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23 (9.3%)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28 (9.6%)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Severe EPI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9 (7.6%)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34 (41.0%)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204 (24.9%)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41 (17.0%)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26 (10.5%)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 (3.4%)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EPI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18 (15.3%)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54 (65.1%)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362 (44.1%)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77 (32.0%)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49 (19.8%)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38 (13.1%)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&lt;0.001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Low Trypsinogen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(.%)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(.%)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 (2.9%)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 (2.3%)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 (6.0%)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0.403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Low Amylase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(.%)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99 (99.0%)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782 (92.7%)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245 (87.2%)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231 (89.5%)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296 (98.3%)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&lt;0.001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High Trypsinogen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(.%)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(.%)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19 (90.5%)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61 (88.4%)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83 (96.5%)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100 (100.0%)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0.004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