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Radiologic measurements in the whole cohort, by prior exposure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USS 1621 contributing any measurement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[715]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[837]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(1.780- 2.390)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p=0.214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2.100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[764]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1.820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(1.460- 2.200)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1.240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(1.070- 1.500)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[863]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(1.030- 1.490)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p=0.081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(1.070- 1.590)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[692]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1.420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(1.140- 1.715)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CT 291 contributing any measurement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2.570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(2.290- 2.800)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2.440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(2.150- 2.770)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p=0.155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2.600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(2.395- 2.900)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2.640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(2.320- 2.920)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p=0.953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(1.725- 2.320)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(1.730- 2.410)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p=0.379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1.760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(1.470- 2.000)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1.770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(1.510- 2.080)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p=0.461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Body-Tail,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10.650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(9.560- 11.750)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10.015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(9.175- 10.940)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Pancreatic volume(ml)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64.942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(54.509- 80.029)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62.004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(47.525- 80.468)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p=0.463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Values are [N] median (p25-p75).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P values are for Kruskal-Wallis tests.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