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true"/>
                <w:sz w:val="22"/>
              </w:rPr>
              <w:t xml:space="preserve">Table 3. Pancreatic Enzyme Assays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NPM</w:t>
            </w: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PM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Fecal Elastase (ug/g)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[1008]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314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(135-  586)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[791]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374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(146-  600)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Amylase (U/L)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[1025]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(23.5- 37.9)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[758]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(24.4- 42.2)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Amylase GFR Ratio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[1025]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(.231- .435)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[758]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(.248-   .5)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Lipase (U/L)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[54]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(26-   36)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[253]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(26-   35)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p=0.576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Trypsinogen (ng/ml)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[135]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(17.2- 32.5)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[141]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(17.6- 36.1)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p=0.305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rPr>
                <w:rFonts w:ascii="Arial" w:hAnsi="Arial" w:eastAsia="Arial" w:cs="Arial"/>
                <w:sz w:val="22"/>
              </w:rPr>
              <w:t xml:space="preserve">Values are [N] median (p25-p75).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Faecal elastase values that reached the upper limit of detection of 600 (n=460) 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Lipase from DIVIDS cohort only. Trypsinogen from CT Scan subset only.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Tobit regression was performed for faecal elastase and Kruskal-Wallis tests for the rest.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