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gridSpan w:val="9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9 Initial Submissions by Quarter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8320" w:type="dxa"/>
            <w:gridSpan w:val="8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Year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2080" w:type="dxa"/>
            <w:gridSpan w:val="2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Q1</w:t>
            </w:r>
          </w:p>
        </w:tc>
        <w:tc>
          <w:tcPr>
            <w:tcW w:w="104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274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36.4%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346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46.0%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132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17.6%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752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100.0%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Q2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47.2%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50.3%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2.5%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100.0%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Q3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51.4%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48.6%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100.0%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Q4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49.0%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51.0%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100.0%</w:t>
            </w:r>
          </w:p>
        </w:tc>
      </w:tr>
      <w:tr>
        <w:tc>
          <w:tcPr>
            <w:gridSpan w:val="9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 w:lineRule="auto"/>
            </w:pPr>
            <w:r>
              <w:t xml:space="preserve">Shows first submission of each product regardless of Phase.</w:t>
              <w:br w:type="textWrapping"/>
            </w:r>
            <w:r>
              <w:t xml:space="preserve">Quarter 1 can be compared for 2024-2026</w:t>
              <w:br w:type="textWrapping"/>
            </w:r>
            <w:r>
              <w:t xml:space="preserve">Quarters 2-4 can be compared for 2025-2026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