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gridSpan w:val="6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3 Planning Phase : Initial Decision by Year per unique product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2024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2025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2026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Test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662 (52.5%)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524 (41.6%)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 (5.9%)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1,260 (100.0%)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Event Decision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Approve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199 (30.1%)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135 (25.8%)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 (24.3%)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352 (27.9%)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Conditional Approval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301 (45.5%)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291 (55.5%)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 (58.1%)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635 (50.4%)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Return to RTO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162 (24.5%)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 (18.7%)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 (17.6%)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273 (21.7%)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gridSpan w:val="6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Test for trend p= 0.8394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