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gridSpan w:val="6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Table 4 Executive Phase : Initial Decision by Year per unique product</w:t>
            </w:r>
          </w:p>
        </w:tc>
      </w:tr>
      <w:tr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2024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2025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2026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Total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Test</w:t>
            </w:r>
          </w:p>
        </w:tc>
      </w:tr>
      <w:tr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399 (39.2%)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576 (56.6%)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 (4.2%)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1,018 (100.0%)</w:t>
            </w:r>
          </w:p>
        </w:tc>
        <w:tc>
          <w:tcPr>
            <w:tcW w:w="156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Event Decision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Approve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130 (32.6%)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242 (42.0%)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 (62.8%)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399 (39.2%)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&lt;0.001</w:t>
            </w: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Conditional Approval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223 (55.9%)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266 (46.2%)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15 (34.9%)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504 (49.5%)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Return to RTO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 (11.5%)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 (11.8%)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 (2.3%)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115 (11.3%)</w:t>
            </w:r>
          </w:p>
        </w:tc>
        <w:tc>
          <w:tcPr>
            <w:tcW w:w="156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gridSpan w:val="6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t xml:space="preserve">Test for trend p= 0.0002 and p = 0.0188 without 2026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