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2024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2025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1,203 (45.4%)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1,294 (48.9%)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150 (5.7%)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2,647 (100.0%)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Phase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Planning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711 (59.1%)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607 (46.9%)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 (66.0%)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1,417 (53.5%)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Executive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 (39.9%)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676 (52.2%)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51 (34.0%)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1,207 (45.6%)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Other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 (1.0%)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 (0.9%)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 (0.0%)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 (0.9%)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Event Decision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Approve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344 (28.6%)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382 (30.8%)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 (34.6%)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772 (30.0%)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Conditional Approval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540 (45.0%)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561 (45.2%)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 (44.4%)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1,160 (45.0%)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Return to RTO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213 (17.7%)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171 (13.8%)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 (10.5%)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398 (15.5%)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Reassign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 (1.7%)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 (3.1%)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 (4.5%)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 (2.6%)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Respond to Consult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 (6.9%)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 (7.2%)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 (6.0%)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180 (7.0%)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