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gridSpan w:val="6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Planning Phase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800" w:type="dxa"/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year_sub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Test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340 (47.6%)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318 (44.5%)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57 (8.0%)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715 (100.0%)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Event Decision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Approve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 (27.6%)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82 (25.8%)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 (22.8%)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189 (26.4%)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0.265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Conditional Approval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172 (50.6%)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185 (58.2%)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 (57.9%)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390 (54.5%)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Return to RTO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 (21.8%)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 (16.0%)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 (19.3%)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 (19.0%)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6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Test for trend p=   0.6965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