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Executive Phase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80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year_sub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 (44.6%)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282 (50.7%)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 (4.7%)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 (33.9%)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121 (42.9%)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 (61.5%)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221 (39.7%)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143 (57.7%)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 (48.2%)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 (38.5%)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289 (52.0%)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 (8.5%)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 (8.9%)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 (0.0%)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 (8.3%)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