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gridSpan w:val="6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3 Planning Phase : Initial Decision by Year per unique product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800" w:type="dxa"/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year_sub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Test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663 (52.2%)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531 (41.8%)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 (5.9%)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1,269 (100.0%)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Event Decision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Approve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 (30.3%)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137 (25.8%)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 (25.3%)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357 (28.1%)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0.010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Conditional Approval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301 (45.4%)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293 (55.2%)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 (57.3%)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637 (50.2%)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Return to RTO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 (24.3%)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 (19.0%)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 (17.3%)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275 (21.7%)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6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Test for trend p=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