
<file path=[Content_Types].xml><?xml version="1.0" encoding="utf-8"?>
<Types xmlns="http://schemas.openxmlformats.org/package/2006/content-types">
  <Default Extension="rels" ContentType="application/vnd.openxmlformats-package.relationships+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settings+xml" PartName="/word/settings.xml"/>
  <Override ContentType="application/vnd.openxmlformats-officedocument.wordprocessingml.styles+xml" PartName="/word/styles.xml"/>
</Types>
</file>

<file path=_rels/.rels><?xml version="1.0" encoding="UTF-8" standalone="yes"?>
<Relationships xmlns="http://schemas.openxmlformats.org/package/2006/relationships">
    <Relationship Target="word/document.xml" Type="http://schemas.openxmlformats.org/officeDocument/2006/relationships/officeDocument" Id="rId1"/>
    <Relationship Target="docProps/core.xml" Type="http://schemas.openxmlformats.org/package/2006/relationships/metadata/core-properties" Id="rId2"/>
    <Relationship Target="docProps/app.xml" Type="http://schemas.openxmlformats.org/officeDocument/2006/relationships/extended-properties" Id="rId3"/>
</Relationships>

</file>

<file path=word/document.xml><?xml version="1.0" encoding="utf-8"?>
<w:document xmlns:w="http://schemas.openxmlformats.org/wordprocessingml/2006/main" xmlns:w14="http://schemas.microsoft.com/office/word/2010/wordml" xmlns:r="http://schemas.openxmlformats.org/officeDocument/2006/relationships" xmlns:wp="http://schemas.openxmlformats.org/drawingml/2006/wordprocessingDrawing" xmlns:a="http://schemas.openxmlformats.org/drawingml/2006/main" xmlns:wp14="http://schemas.microsoft.com/office/word/2010/wordprocessingDrawing" xmlns:m="http://schemas.openxmlformats.org/officeDocument/2006/math" xmlns:w15="http://schemas.microsoft.com/office/word/2012/wordml" xmlns:mc="http://schemas.openxmlformats.org/markup-compatibility/2006" xmlns:a14="http://schemas.microsoft.com/office/drawing/2010/main" xmlns:sl="http://schemas.openxmlformats.org/schemaLibrary/2006/main" xmlns:wne="http://schemas.microsoft.com/office/word/2006/wordml" xmlns:c="http://schemas.openxmlformats.org/drawingml/2006/chart" xmlns:cdr="http://schemas.openxmlformats.org/drawingml/2006/chartDrawing" xmlns:c14="http://schemas.microsoft.com/office/drawing/2007/8/2/chart" xmlns:dgm="http://schemas.openxmlformats.org/drawingml/2006/diagram" xmlns:pic="http://schemas.openxmlformats.org/drawingml/2006/picture" xmlns:xdr="http://schemas.openxmlformats.org/drawingml/2006/spreadsheetDrawing" xmlns:dsp="http://schemas.microsoft.com/office/drawing/2008/diagram" xmlns:xvml="urn:schemas-microsoft-com:office:excel" xmlns:o="urn:schemas-microsoft-com:office:office" xmlns:v="urn:schemas-microsoft-com:vml" xmlns:w10="urn:schemas-microsoft-com:office:word" xmlns:pvml="urn:schemas-microsoft-com:office:powerpoint" xmlns:cppr="http://schemas.microsoft.com/office/2006/coverPageProps" xmlns:odx="http://opendope.org/xpaths" xmlns:odc="http://opendope.org/conditions" xmlns:odq="http://opendope.org/questions" xmlns:oda="http://opendope.org/answers" xmlns:odi="http://opendope.org/components" xmlns:odgm="http://opendope.org/SmartArt/DataHierarchy" xmlns:b="http://schemas.openxmlformats.org/officeDocument/2006/bibliography" xmlns:msink="http://schemas.microsoft.com/ink/2010/main" xmlns:cdr14="http://schemas.microsoft.com/office/drawing/2010/chartDrawing" xmlns:c15="http://schemas.microsoft.com/office/drawing/2012/chart" xmlns:cs="http://schemas.microsoft.com/office/drawing/2012/chartStyle" xmlns:ns38="http://www.w3.org/1998/Math/MathML" xmlns:ns39="http://www.w3.org/2003/InkML" xmlns:a13cmd="http://schemas.microsoft.com/office/drawing/2013/main/command" xmlns:cx="http://schemas.microsoft.com/office/drawing/2014/chartex" xmlns:c16="http://schemas.microsoft.com/office/drawing/2014/chart" xmlns:dgm1611="http://schemas.microsoft.com/office/drawing/2016/11/diagram" xmlns:c173="http://schemas.microsoft.com/office/drawing/2017/03/chart" xmlns:am3d="http://schemas.microsoft.com/office/drawing/2017/model3d" xmlns:an18="http://schemas.microsoft.com/office/drawing/2018/animation" xmlns:anam3d="http://schemas.microsoft.com/office/drawing/2018/animation/model3d" xmlns:iact="http://schemas.microsoft.com/office/powerpoint/2014/inkAction" xmlns:thm15="http://schemas.microsoft.com/office/thememl/2012/main" xmlns:wps="http://schemas.microsoft.com/office/word/2010/wordprocessingShape" xmlns:wpc="http://schemas.microsoft.com/office/word/2010/wordprocessingCanvas" xmlns:wpg="http://schemas.microsoft.com/office/word/2010/wordprocessingGroup" xmlns:w16se="http://schemas.microsoft.com/office/word/2015/wordml/symex" xmlns:w16cid="http://schemas.microsoft.com/office/word/2016/wordml/cid" xmlns:wetp="http://schemas.microsoft.com/office/webextensions/taskpanes/2010/11" xmlns:we="http://schemas.microsoft.com/office/webextensions/webextension/2010/11" xmlns:comp="http://schemas.openxmlformats.org/drawingml/2006/compatibility" xmlns:lc="http://schemas.openxmlformats.org/drawingml/2006/lockedCanvas" xmlns:dgm14="http://schemas.microsoft.com/office/drawing/2010/diagram" xmlns:a15="http://schemas.microsoft.com/office/drawing/2012/main" xmlns:pic14="http://schemas.microsoft.com/office/drawing/2010/picture" xmlns:c16ac="http://schemas.microsoft.com/office/drawing/2014/chart/ac" xmlns:a16="http://schemas.microsoft.com/office/drawing/2014/main" xmlns:a1611="http://schemas.microsoft.com/office/drawing/2016/11/main" xmlns:dgm1612="http://schemas.microsoft.com/office/drawing/2016/12/diagram" xmlns:a16svg="http://schemas.microsoft.com/office/drawing/2016/SVG/main" xmlns:adec="http://schemas.microsoft.com/office/drawing/2017/decorative" xmlns:a18hc="http://schemas.microsoft.com/office/drawing/2018/hyperlinkcolor" xmlns:wp15="http://schemas.microsoft.com/office/word/2012/wordprocessingDrawing">
  <w:body>
    <w:tbl>
      <w:tblPr>
        <w:tblStyle w:val="TableGrid"/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gridSpan w:val="6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</w:tcPr>
          <w:p>
            <w:pPr>
              <w:spacing w:after="0"/>
            </w:pPr>
            <w:r>
              <w:t xml:space="preserve">Table 4 Executive Phase : Initial Decision by Year per unique product</w:t>
            </w:r>
          </w:p>
        </w:tc>
      </w:tr>
      <w:tr>
        <w:tc>
          <w:tcPr>
            <w:tcW w:w="1560" w:type="dxa"/>
            <w:tcBorders>
              <w:top w:val="single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7800" w:type="dxa"/>
            <w:gridSpan w:val="5"/>
            <w:tcBorders>
              <w:top w:val="single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year_sub</w:t>
            </w:r>
          </w:p>
        </w:tc>
      </w:tr>
      <w:tr>
        <w:tc>
          <w:tcPr>
            <w:tcW w:w="1560" w:type="dxa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560" w:type="dxa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2024</w:t>
            </w:r>
          </w:p>
        </w:tc>
        <w:tc>
          <w:tcPr>
            <w:tcW w:w="1560" w:type="dxa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2025</w:t>
            </w:r>
          </w:p>
        </w:tc>
        <w:tc>
          <w:tcPr>
            <w:tcW w:w="1560" w:type="dxa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2026</w:t>
            </w:r>
          </w:p>
        </w:tc>
        <w:tc>
          <w:tcPr>
            <w:tcW w:w="1560" w:type="dxa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Total</w:t>
            </w:r>
          </w:p>
        </w:tc>
        <w:tc>
          <w:tcPr>
            <w:tcW w:w="1560" w:type="dxa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Test</w:t>
            </w:r>
          </w:p>
        </w:tc>
      </w:tr>
      <w:tr>
        <w:tc>
          <w:tcPr>
            <w:tcW w:w="1560" w:type="dxa"/>
            <w:tcBorders>
              <w:top w:val="single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N</w:t>
            </w:r>
          </w:p>
        </w:tc>
        <w:tc>
          <w:tcPr>
            <w:tcW w:w="1560" w:type="dxa"/>
            <w:tcBorders>
              <w:top w:val="single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400 (39.2%)</w:t>
            </w:r>
          </w:p>
        </w:tc>
        <w:tc>
          <w:tcPr>
            <w:tcW w:w="1560" w:type="dxa"/>
            <w:tcBorders>
              <w:top w:val="single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577 (56.6%)</w:t>
            </w:r>
          </w:p>
        </w:tc>
        <w:tc>
          <w:tcPr>
            <w:tcW w:w="1560" w:type="dxa"/>
            <w:tcBorders>
              <w:top w:val="single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43 (4.2%)</w:t>
            </w:r>
          </w:p>
        </w:tc>
        <w:tc>
          <w:tcPr>
            <w:tcW w:w="1560" w:type="dxa"/>
            <w:tcBorders>
              <w:top w:val="single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1,020 (100.0%)</w:t>
            </w:r>
          </w:p>
        </w:tc>
        <w:tc>
          <w:tcPr>
            <w:tcW w:w="1560" w:type="dxa"/>
            <w:tcBorders>
              <w:top w:val="single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156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Event Decision</w:t>
            </w:r>
          </w:p>
        </w:tc>
        <w:tc>
          <w:tcPr>
            <w:tcW w:w="156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56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56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56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56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156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Approve</w:t>
            </w:r>
          </w:p>
        </w:tc>
        <w:tc>
          <w:tcPr>
            <w:tcW w:w="156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130 (32.5%)</w:t>
            </w:r>
          </w:p>
        </w:tc>
        <w:tc>
          <w:tcPr>
            <w:tcW w:w="156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243 (42.1%)</w:t>
            </w:r>
          </w:p>
        </w:tc>
        <w:tc>
          <w:tcPr>
            <w:tcW w:w="156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27 (62.8%)</w:t>
            </w:r>
          </w:p>
        </w:tc>
        <w:tc>
          <w:tcPr>
            <w:tcW w:w="156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400 (39.2%)</w:t>
            </w:r>
          </w:p>
        </w:tc>
        <w:tc>
          <w:tcPr>
            <w:tcW w:w="156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&lt;0.001</w:t>
            </w:r>
          </w:p>
        </w:tc>
      </w:tr>
      <w:tr>
        <w:tc>
          <w:tcPr>
            <w:tcW w:w="156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Conditional Approval</w:t>
            </w:r>
          </w:p>
        </w:tc>
        <w:tc>
          <w:tcPr>
            <w:tcW w:w="156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224 (56.0%)</w:t>
            </w:r>
          </w:p>
        </w:tc>
        <w:tc>
          <w:tcPr>
            <w:tcW w:w="156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266 (46.1%)</w:t>
            </w:r>
          </w:p>
        </w:tc>
        <w:tc>
          <w:tcPr>
            <w:tcW w:w="156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15 (34.9%)</w:t>
            </w:r>
          </w:p>
        </w:tc>
        <w:tc>
          <w:tcPr>
            <w:tcW w:w="156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505 (49.5%)</w:t>
            </w:r>
          </w:p>
        </w:tc>
        <w:tc>
          <w:tcPr>
            <w:tcW w:w="156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156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Return to RTO</w:t>
            </w:r>
          </w:p>
        </w:tc>
        <w:tc>
          <w:tcPr>
            <w:tcW w:w="156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46 (11.5%)</w:t>
            </w:r>
          </w:p>
        </w:tc>
        <w:tc>
          <w:tcPr>
            <w:tcW w:w="156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68 (11.8%)</w:t>
            </w:r>
          </w:p>
        </w:tc>
        <w:tc>
          <w:tcPr>
            <w:tcW w:w="156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 (2.3%)</w:t>
            </w:r>
          </w:p>
        </w:tc>
        <w:tc>
          <w:tcPr>
            <w:tcW w:w="156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115 (11.3%)</w:t>
            </w:r>
          </w:p>
        </w:tc>
        <w:tc>
          <w:tcPr>
            <w:tcW w:w="156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156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Division</w:t>
            </w:r>
          </w:p>
        </w:tc>
        <w:tc>
          <w:tcPr>
            <w:tcW w:w="156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56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56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56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56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156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GPA</w:t>
            </w:r>
          </w:p>
        </w:tc>
        <w:tc>
          <w:tcPr>
            <w:tcW w:w="156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9 (2.2%)</w:t>
            </w:r>
          </w:p>
        </w:tc>
        <w:tc>
          <w:tcPr>
            <w:tcW w:w="156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8 (1.4%)</w:t>
            </w:r>
          </w:p>
        </w:tc>
        <w:tc>
          <w:tcPr>
            <w:tcW w:w="156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2 (4.7%)</w:t>
            </w:r>
          </w:p>
        </w:tc>
        <w:tc>
          <w:tcPr>
            <w:tcW w:w="156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19 (1.9%)</w:t>
            </w:r>
          </w:p>
        </w:tc>
        <w:tc>
          <w:tcPr>
            <w:tcW w:w="156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0.108</w:t>
            </w:r>
          </w:p>
        </w:tc>
      </w:tr>
      <w:tr>
        <w:tc>
          <w:tcPr>
            <w:tcW w:w="156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WHE</w:t>
            </w:r>
          </w:p>
        </w:tc>
        <w:tc>
          <w:tcPr>
            <w:tcW w:w="156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76 (19.0%)</w:t>
            </w:r>
          </w:p>
        </w:tc>
        <w:tc>
          <w:tcPr>
            <w:tcW w:w="156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87 (15.1%)</w:t>
            </w:r>
          </w:p>
        </w:tc>
        <w:tc>
          <w:tcPr>
            <w:tcW w:w="156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7 (16.3%)</w:t>
            </w:r>
          </w:p>
        </w:tc>
        <w:tc>
          <w:tcPr>
            <w:tcW w:w="156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170 (16.7%)</w:t>
            </w:r>
          </w:p>
        </w:tc>
        <w:tc>
          <w:tcPr>
            <w:tcW w:w="156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156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HSD</w:t>
            </w:r>
          </w:p>
        </w:tc>
        <w:tc>
          <w:tcPr>
            <w:tcW w:w="156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93 (23.2%)</w:t>
            </w:r>
          </w:p>
        </w:tc>
        <w:tc>
          <w:tcPr>
            <w:tcW w:w="156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133 (23.1%)</w:t>
            </w:r>
          </w:p>
        </w:tc>
        <w:tc>
          <w:tcPr>
            <w:tcW w:w="156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6 (14.0%)</w:t>
            </w:r>
          </w:p>
        </w:tc>
        <w:tc>
          <w:tcPr>
            <w:tcW w:w="156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232 (22.7%)</w:t>
            </w:r>
          </w:p>
        </w:tc>
        <w:tc>
          <w:tcPr>
            <w:tcW w:w="156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156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PPC</w:t>
            </w:r>
          </w:p>
        </w:tc>
        <w:tc>
          <w:tcPr>
            <w:tcW w:w="156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215 (53.8%)</w:t>
            </w:r>
          </w:p>
        </w:tc>
        <w:tc>
          <w:tcPr>
            <w:tcW w:w="156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318 (55.1%)</w:t>
            </w:r>
          </w:p>
        </w:tc>
        <w:tc>
          <w:tcPr>
            <w:tcW w:w="156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25 (58.1%)</w:t>
            </w:r>
          </w:p>
        </w:tc>
        <w:tc>
          <w:tcPr>
            <w:tcW w:w="156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558 (54.7%)</w:t>
            </w:r>
          </w:p>
        </w:tc>
        <w:tc>
          <w:tcPr>
            <w:tcW w:w="156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156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SCI</w:t>
            </w:r>
          </w:p>
        </w:tc>
        <w:tc>
          <w:tcPr>
            <w:tcW w:w="156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7 (1.8%)</w:t>
            </w:r>
          </w:p>
        </w:tc>
        <w:tc>
          <w:tcPr>
            <w:tcW w:w="156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30 (5.2%)</w:t>
            </w:r>
          </w:p>
        </w:tc>
        <w:tc>
          <w:tcPr>
            <w:tcW w:w="156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 (7.0%)</w:t>
            </w:r>
          </w:p>
        </w:tc>
        <w:tc>
          <w:tcPr>
            <w:tcW w:w="156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40 (3.9%)</w:t>
            </w:r>
          </w:p>
        </w:tc>
        <w:tc>
          <w:tcPr>
            <w:tcW w:w="156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1560" w:type="dxa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6</w:t>
            </w:r>
          </w:p>
        </w:tc>
        <w:tc>
          <w:tcPr>
            <w:tcW w:w="1560" w:type="dxa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 (0.0%)</w:t>
            </w:r>
          </w:p>
        </w:tc>
        <w:tc>
          <w:tcPr>
            <w:tcW w:w="1560" w:type="dxa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 (0.2%)</w:t>
            </w:r>
          </w:p>
        </w:tc>
        <w:tc>
          <w:tcPr>
            <w:tcW w:w="1560" w:type="dxa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 (0.0%)</w:t>
            </w:r>
          </w:p>
        </w:tc>
        <w:tc>
          <w:tcPr>
            <w:tcW w:w="1560" w:type="dxa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 (0.1%)</w:t>
            </w:r>
          </w:p>
        </w:tc>
        <w:tc>
          <w:tcPr>
            <w:tcW w:w="1560" w:type="dxa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gridSpan w:val="6"/>
            <w:tcBorders>
              <w:top w:val="single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  <w:r>
              <w:t xml:space="preserve">Test for trend p= and p = without 2026</w:t>
            </w:r>
          </w:p>
        </w:tc>
      </w:tr>
    </w:tbl>
    <w:p>
      <w:r>
        <w:t/>
      </w:r>
    </w:p>
    <w:sectPr>
      <w:pgSz w:w="12240" w:h="15840" w:code="1"/>
      <w:pgMar w:top="1440" w:right="1440" w:bottom="1440" w:left="1440"/>
    </w:sectPr>
  </w:body>
</w:document>
</file>

<file path=word/settings.xml><?xml version="1.0" encoding="utf-8"?>
<w:settings xmlns:w="http://schemas.openxmlformats.org/wordprocessingml/2006/main" xmlns:w14="http://schemas.microsoft.com/office/word/2010/wordml" xmlns:r="http://schemas.openxmlformats.org/officeDocument/2006/relationships" xmlns:wp="http://schemas.openxmlformats.org/drawingml/2006/wordprocessingDrawing" xmlns:a="http://schemas.openxmlformats.org/drawingml/2006/main" xmlns:wp14="http://schemas.microsoft.com/office/word/2010/wordprocessingDrawing" xmlns:m="http://schemas.openxmlformats.org/officeDocument/2006/math" xmlns:w15="http://schemas.microsoft.com/office/word/2012/wordml" xmlns:mc="http://schemas.openxmlformats.org/markup-compatibility/2006" xmlns:a14="http://schemas.microsoft.com/office/drawing/2010/main" xmlns:sl="http://schemas.openxmlformats.org/schemaLibrary/2006/main" xmlns:wne="http://schemas.microsoft.com/office/word/2006/wordml" xmlns:c="http://schemas.openxmlformats.org/drawingml/2006/chart" xmlns:cdr="http://schemas.openxmlformats.org/drawingml/2006/chartDrawing" xmlns:c14="http://schemas.microsoft.com/office/drawing/2007/8/2/chart" xmlns:dgm="http://schemas.openxmlformats.org/drawingml/2006/diagram" xmlns:pic="http://schemas.openxmlformats.org/drawingml/2006/picture" xmlns:xdr="http://schemas.openxmlformats.org/drawingml/2006/spreadsheetDrawing" xmlns:dsp="http://schemas.microsoft.com/office/drawing/2008/diagram" xmlns:xvml="urn:schemas-microsoft-com:office:excel" xmlns:o="urn:schemas-microsoft-com:office:office" xmlns:v="urn:schemas-microsoft-com:vml" xmlns:w10="urn:schemas-microsoft-com:office:word" xmlns:pvml="urn:schemas-microsoft-com:office:powerpoint" xmlns:cppr="http://schemas.microsoft.com/office/2006/coverPageProps" xmlns:odx="http://opendope.org/xpaths" xmlns:odc="http://opendope.org/conditions" xmlns:odq="http://opendope.org/questions" xmlns:oda="http://opendope.org/answers" xmlns:odi="http://opendope.org/components" xmlns:odgm="http://opendope.org/SmartArt/DataHierarchy" xmlns:b="http://schemas.openxmlformats.org/officeDocument/2006/bibliography" xmlns:msink="http://schemas.microsoft.com/ink/2010/main" xmlns:cdr14="http://schemas.microsoft.com/office/drawing/2010/chartDrawing" xmlns:c15="http://schemas.microsoft.com/office/drawing/2012/chart" xmlns:cs="http://schemas.microsoft.com/office/drawing/2012/chartStyle" xmlns:ns38="http://www.w3.org/1998/Math/MathML" xmlns:ns39="http://www.w3.org/2003/InkML" xmlns:a13cmd="http://schemas.microsoft.com/office/drawing/2013/main/command" xmlns:cx="http://schemas.microsoft.com/office/drawing/2014/chartex" xmlns:c16="http://schemas.microsoft.com/office/drawing/2014/chart" xmlns:dgm1611="http://schemas.microsoft.com/office/drawing/2016/11/diagram" xmlns:c173="http://schemas.microsoft.com/office/drawing/2017/03/chart" xmlns:am3d="http://schemas.microsoft.com/office/drawing/2017/model3d" xmlns:an18="http://schemas.microsoft.com/office/drawing/2018/animation" xmlns:anam3d="http://schemas.microsoft.com/office/drawing/2018/animation/model3d" xmlns:iact="http://schemas.microsoft.com/office/powerpoint/2014/inkAction" xmlns:thm15="http://schemas.microsoft.com/office/thememl/2012/main" xmlns:wps="http://schemas.microsoft.com/office/word/2010/wordprocessingShape" xmlns:wpc="http://schemas.microsoft.com/office/word/2010/wordprocessingCanvas" xmlns:wpg="http://schemas.microsoft.com/office/word/2010/wordprocessingGroup" xmlns:w16se="http://schemas.microsoft.com/office/word/2015/wordml/symex" xmlns:w16cid="http://schemas.microsoft.com/office/word/2016/wordml/cid" xmlns:wetp="http://schemas.microsoft.com/office/webextensions/taskpanes/2010/11" xmlns:we="http://schemas.microsoft.com/office/webextensions/webextension/2010/11" xmlns:comp="http://schemas.openxmlformats.org/drawingml/2006/compatibility" xmlns:lc="http://schemas.openxmlformats.org/drawingml/2006/lockedCanvas" xmlns:dgm14="http://schemas.microsoft.com/office/drawing/2010/diagram" xmlns:a15="http://schemas.microsoft.com/office/drawing/2012/main" xmlns:pic14="http://schemas.microsoft.com/office/drawing/2010/picture" xmlns:c16ac="http://schemas.microsoft.com/office/drawing/2014/chart/ac" xmlns:a16="http://schemas.microsoft.com/office/drawing/2014/main" xmlns:a1611="http://schemas.microsoft.com/office/drawing/2016/11/main" xmlns:dgm1612="http://schemas.microsoft.com/office/drawing/2016/12/diagram" xmlns:a16svg="http://schemas.microsoft.com/office/drawing/2016/SVG/main" xmlns:adec="http://schemas.microsoft.com/office/drawing/2017/decorative" xmlns:a18hc="http://schemas.microsoft.com/office/drawing/2018/hyperlinkcolor" xmlns:wp15="http://schemas.microsoft.com/office/word/2012/wordprocessingDrawing" mc:Ignorable="">
  <w:compat>
    <w:compatSetting w:name="overrideTableStyleFontSizeAndJustification" w:uri="http://schemas.microsoft.com/office/word" w:val="1"/>
  </w:compat>
</w:settings>
</file>

<file path=word/styles.xml><?xml version="1.0" encoding="utf-8"?>
<w:styles xmlns:w="http://schemas.openxmlformats.org/wordprocessingml/2006/main" xmlns:w14="http://schemas.microsoft.com/office/word/2010/wordml" xmlns:r="http://schemas.openxmlformats.org/officeDocument/2006/relationships" xmlns:wp="http://schemas.openxmlformats.org/drawingml/2006/wordprocessingDrawing" xmlns:a="http://schemas.openxmlformats.org/drawingml/2006/main" xmlns:wp14="http://schemas.microsoft.com/office/word/2010/wordprocessingDrawing" xmlns:m="http://schemas.openxmlformats.org/officeDocument/2006/math" xmlns:w15="http://schemas.microsoft.com/office/word/2012/wordml" xmlns:mc="http://schemas.openxmlformats.org/markup-compatibility/2006" xmlns:a14="http://schemas.microsoft.com/office/drawing/2010/main" xmlns:sl="http://schemas.openxmlformats.org/schemaLibrary/2006/main" xmlns:wne="http://schemas.microsoft.com/office/word/2006/wordml" xmlns:c="http://schemas.openxmlformats.org/drawingml/2006/chart" xmlns:cdr="http://schemas.openxmlformats.org/drawingml/2006/chartDrawing" xmlns:c14="http://schemas.microsoft.com/office/drawing/2007/8/2/chart" xmlns:dgm="http://schemas.openxmlformats.org/drawingml/2006/diagram" xmlns:pic="http://schemas.openxmlformats.org/drawingml/2006/picture" xmlns:xdr="http://schemas.openxmlformats.org/drawingml/2006/spreadsheetDrawing" xmlns:dsp="http://schemas.microsoft.com/office/drawing/2008/diagram" xmlns:xvml="urn:schemas-microsoft-com:office:excel" xmlns:o="urn:schemas-microsoft-com:office:office" xmlns:v="urn:schemas-microsoft-com:vml" xmlns:w10="urn:schemas-microsoft-com:office:word" xmlns:pvml="urn:schemas-microsoft-com:office:powerpoint" xmlns:cppr="http://schemas.microsoft.com/office/2006/coverPageProps" xmlns:odx="http://opendope.org/xpaths" xmlns:odc="http://opendope.org/conditions" xmlns:odq="http://opendope.org/questions" xmlns:oda="http://opendope.org/answers" xmlns:odi="http://opendope.org/components" xmlns:odgm="http://opendope.org/SmartArt/DataHierarchy" xmlns:b="http://schemas.openxmlformats.org/officeDocument/2006/bibliography" xmlns:msink="http://schemas.microsoft.com/ink/2010/main" xmlns:cdr14="http://schemas.microsoft.com/office/drawing/2010/chartDrawing" xmlns:c15="http://schemas.microsoft.com/office/drawing/2012/chart" xmlns:cs="http://schemas.microsoft.com/office/drawing/2012/chartStyle" xmlns:ns38="http://www.w3.org/1998/Math/MathML" xmlns:ns39="http://www.w3.org/2003/InkML" xmlns:a13cmd="http://schemas.microsoft.com/office/drawing/2013/main/command" xmlns:cx="http://schemas.microsoft.com/office/drawing/2014/chartex" xmlns:c16="http://schemas.microsoft.com/office/drawing/2014/chart" xmlns:dgm1611="http://schemas.microsoft.com/office/drawing/2016/11/diagram" xmlns:c173="http://schemas.microsoft.com/office/drawing/2017/03/chart" xmlns:am3d="http://schemas.microsoft.com/office/drawing/2017/model3d" xmlns:an18="http://schemas.microsoft.com/office/drawing/2018/animation" xmlns:anam3d="http://schemas.microsoft.com/office/drawing/2018/animation/model3d" xmlns:iact="http://schemas.microsoft.com/office/powerpoint/2014/inkAction" xmlns:thm15="http://schemas.microsoft.com/office/thememl/2012/main" xmlns:wps="http://schemas.microsoft.com/office/word/2010/wordprocessingShape" xmlns:wpc="http://schemas.microsoft.com/office/word/2010/wordprocessingCanvas" xmlns:wpg="http://schemas.microsoft.com/office/word/2010/wordprocessingGroup" xmlns:w16se="http://schemas.microsoft.com/office/word/2015/wordml/symex" xmlns:w16cid="http://schemas.microsoft.com/office/word/2016/wordml/cid" xmlns:wetp="http://schemas.microsoft.com/office/webextensions/taskpanes/2010/11" xmlns:we="http://schemas.microsoft.com/office/webextensions/webextension/2010/11" xmlns:comp="http://schemas.openxmlformats.org/drawingml/2006/compatibility" xmlns:lc="http://schemas.openxmlformats.org/drawingml/2006/lockedCanvas" xmlns:dgm14="http://schemas.microsoft.com/office/drawing/2010/diagram" xmlns:a15="http://schemas.microsoft.com/office/drawing/2012/main" xmlns:pic14="http://schemas.microsoft.com/office/drawing/2010/picture" xmlns:c16ac="http://schemas.microsoft.com/office/drawing/2014/chart/ac" xmlns:a16="http://schemas.microsoft.com/office/drawing/2014/main" xmlns:a1611="http://schemas.microsoft.com/office/drawing/2016/11/main" xmlns:dgm1612="http://schemas.microsoft.com/office/drawing/2016/12/diagram" xmlns:a16svg="http://schemas.microsoft.com/office/drawing/2016/SVG/main" xmlns:adec="http://schemas.microsoft.com/office/drawing/2017/decorative" xmlns:a18hc="http://schemas.microsoft.com/office/drawing/2018/hyperlinkcolor" xmlns:wp15="http://schemas.microsoft.com/office/word/2012/wordprocessingDrawing">
  <w:docDefaults>
    <w:rPrDefault>
      <w:rPr>
        <w:rFonts w:asciiTheme="minorHAnsi" w:hAnsiTheme="minorHAnsi" w:eastAsia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false" w:defUIPriority="99" w:defSemiHidden="true" w:defUnhideWhenUsed="true" w:defQFormat="false" w:count="267">
    <w:lsdException w:name="Normal" w:uiPriority="0" w:semiHidden="false" w:unhideWhenUsed="false" w:qFormat="true"/>
    <w:lsdException w:name="heading 1" w:uiPriority="9" w:semiHidden="false" w:unhideWhenUsed="false" w:qFormat="true"/>
    <w:lsdException w:name="heading 2" w:uiPriority="9" w:qFormat="true"/>
    <w:lsdException w:name="heading 3" w:uiPriority="9" w:qFormat="true"/>
    <w:lsdException w:name="heading 4" w:uiPriority="9" w:qFormat="true"/>
    <w:lsdException w:name="Title" w:uiPriority="10" w:semiHidden="false" w:unhideWhenUsed="false" w:qFormat="true"/>
    <w:lsdException w:name="Default Paragraph Font" w:uiPriority="1"/>
    <w:lsdException w:name="Subtitle" w:uiPriority="11" w:semiHidden="false" w:unhideWhenUsed="false" w:qFormat="true"/>
    <w:lsdException w:name="Emphasis" w:uiPriority="20" w:semiHidden="false" w:unhideWhenUsed="false" w:qFormat="true"/>
    <w:lsdException w:name="Table Grid" w:uiPriority="59" w:semiHidden="false" w:unhideWhenUsed="false"/>
  </w:latentStyles>
  <w:style w:type="paragraph" w:styleId="Normal" w:default="true">
    <w:name w:val="Normal"/>
    <w:qFormat/>
    <w:rsid w:val="004A3277"/>
  </w:style>
  <w:style w:type="paragraph" w:styleId="Heading1">
    <w:name w:val="heading 1"/>
    <w:basedOn w:val="Normal"/>
    <w:next w:val="Normal"/>
    <w:link w:val="Heading1Char"/>
    <w:uiPriority w:val="9"/>
    <w:qFormat/>
    <w:rsid w:val="00841CD9"/>
    <w:pPr>
      <w:keepNext/>
      <w:keepLines/>
      <w:spacing w:before="480"/>
      <w:outlineLvl w:val="0"/>
    </w:pPr>
    <w:rPr>
      <w:rFonts w:asciiTheme="majorHAnsi" w:hAnsiTheme="majorHAnsi" w:eastAsiaTheme="majorEastAsia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841CD9"/>
    <w:pPr>
      <w:keepNext/>
      <w:keepLines/>
      <w:spacing w:before="200"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841CD9"/>
    <w:pPr>
      <w:keepNext/>
      <w:keepLines/>
      <w:spacing w:before="200"/>
      <w:outlineLvl w:val="2"/>
    </w:pPr>
    <w:rPr>
      <w:rFonts w:asciiTheme="majorHAnsi" w:hAnsiTheme="majorHAnsi" w:eastAsiaTheme="majorEastAsia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841CD9"/>
    <w:pPr>
      <w:keepNext/>
      <w:keepLines/>
      <w:spacing w:before="20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</w:rPr>
  </w:style>
  <w:style w:type="character" w:styleId="DefaultParagraphFont" w:default="true">
    <w:name w:val="Default Paragraph Font"/>
    <w:uiPriority w:val="1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841CD9"/>
    <w:pPr>
      <w:tabs>
        <w:tab w:val="center" w:pos="4680"/>
        <w:tab w:val="right" w:pos="9360"/>
      </w:tabs>
    </w:pPr>
  </w:style>
  <w:style w:type="character" w:styleId="HeaderChar" w:customStyle="true">
    <w:name w:val="Header Char"/>
    <w:basedOn w:val="DefaultParagraphFont"/>
    <w:link w:val="Header"/>
    <w:uiPriority w:val="99"/>
    <w:rsid w:val="00841CD9"/>
  </w:style>
  <w:style w:type="character" w:styleId="Heading1Char" w:customStyle="true">
    <w:name w:val="Heading 1 Char"/>
    <w:basedOn w:val="DefaultParagraphFont"/>
    <w:link w:val="Heading1"/>
    <w:uiPriority w:val="9"/>
    <w:rsid w:val="00841CD9"/>
    <w:rPr>
      <w:rFonts w:asciiTheme="majorHAnsi" w:hAnsiTheme="majorHAnsi" w:eastAsiaTheme="majorEastAsia" w:cstheme="majorBidi"/>
      <w:b/>
      <w:bCs/>
      <w:color w:val="365F91" w:themeColor="accent1" w:themeShade="BF"/>
      <w:sz w:val="28"/>
      <w:szCs w:val="28"/>
    </w:rPr>
  </w:style>
  <w:style w:type="character" w:styleId="Heading2Char" w:customStyle="true">
    <w:name w:val="Heading 2 Char"/>
    <w:basedOn w:val="DefaultParagraphFont"/>
    <w:link w:val="Heading2"/>
    <w:uiPriority w:val="9"/>
    <w:rsid w:val="00841CD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</w:rPr>
  </w:style>
  <w:style w:type="character" w:styleId="Heading3Char" w:customStyle="true">
    <w:name w:val="Heading 3 Char"/>
    <w:basedOn w:val="DefaultParagraphFont"/>
    <w:link w:val="Heading3"/>
    <w:uiPriority w:val="9"/>
    <w:rsid w:val="00841CD9"/>
    <w:rPr>
      <w:rFonts w:asciiTheme="majorHAnsi" w:hAnsiTheme="majorHAnsi" w:eastAsiaTheme="majorEastAsia" w:cstheme="majorBidi"/>
      <w:b/>
      <w:bCs/>
      <w:color w:val="4F81BD" w:themeColor="accent1"/>
    </w:rPr>
  </w:style>
  <w:style w:type="character" w:styleId="Heading4Char" w:customStyle="true">
    <w:name w:val="Heading 4 Char"/>
    <w:basedOn w:val="DefaultParagraphFont"/>
    <w:link w:val="Heading4"/>
    <w:uiPriority w:val="9"/>
    <w:rsid w:val="00841CD9"/>
    <w:rPr>
      <w:rFonts w:asciiTheme="majorHAnsi" w:hAnsiTheme="majorHAnsi" w:eastAsiaTheme="majorEastAsia" w:cstheme="majorBidi"/>
      <w:b/>
      <w:bCs/>
      <w:i/>
      <w:iCs/>
      <w:color w:val="4F81BD" w:themeColor="accent1"/>
    </w:rPr>
  </w:style>
  <w:style w:type="paragraph" w:styleId="NormalIndent">
    <w:name w:val="Normal Indent"/>
    <w:basedOn w:val="Normal"/>
    <w:uiPriority w:val="99"/>
    <w:unhideWhenUsed/>
    <w:rsid w:val="00841CD9"/>
    <w:pPr>
      <w:ind w:left="720"/>
    </w:pPr>
  </w:style>
  <w:style w:type="paragraph" w:styleId="Subtitle">
    <w:name w:val="Subtitle"/>
    <w:basedOn w:val="Normal"/>
    <w:next w:val="Normal"/>
    <w:link w:val="SubtitleChar"/>
    <w:uiPriority w:val="11"/>
    <w:qFormat/>
    <w:rsid w:val="00841CD9"/>
    <w:pPr>
      <w:numPr>
        <w:ilvl w:val="1"/>
      </w:numPr>
      <w:ind w:left="86"/>
    </w:pPr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</w:rPr>
  </w:style>
  <w:style w:type="character" w:styleId="SubtitleChar" w:customStyle="true">
    <w:name w:val="Subtitle Char"/>
    <w:basedOn w:val="DefaultParagraphFont"/>
    <w:link w:val="Subtitle"/>
    <w:uiPriority w:val="11"/>
    <w:rsid w:val="00841CD9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</w:rPr>
  </w:style>
  <w:style w:type="paragraph" w:styleId="Title">
    <w:name w:val="Title"/>
    <w:basedOn w:val="Normal"/>
    <w:next w:val="Normal"/>
    <w:link w:val="TitleChar"/>
    <w:uiPriority w:val="10"/>
    <w:qFormat/>
    <w:rsid w:val="00841CD9"/>
    <w:pPr>
      <w:pBdr>
        <w:bottom w:val="single" w:color="4F81BD" w:themeColor="accent1" w:sz="8" w:space="4"/>
      </w:pBdr>
      <w:spacing w:after="300"/>
      <w:contextualSpacing/>
    </w:pPr>
    <w:rPr>
      <w:rFonts w:asciiTheme="majorHAnsi" w:hAnsiTheme="majorHAnsi" w:eastAsiaTheme="majorEastAsia" w:cstheme="majorBidi"/>
      <w:color w:val="17365D" w:themeColor="text2" w:themeShade="BF"/>
      <w:spacing w:val="5"/>
      <w:kern w:val="28"/>
      <w:sz w:val="52"/>
      <w:szCs w:val="52"/>
    </w:rPr>
  </w:style>
  <w:style w:type="character" w:styleId="TitleChar" w:customStyle="true">
    <w:name w:val="Title Char"/>
    <w:basedOn w:val="DefaultParagraphFont"/>
    <w:link w:val="Title"/>
    <w:uiPriority w:val="10"/>
    <w:rsid w:val="00841CD9"/>
    <w:rPr>
      <w:rFonts w:asciiTheme="majorHAnsi" w:hAnsiTheme="majorHAnsi" w:eastAsiaTheme="majorEastAsia" w:cstheme="majorBidi"/>
      <w:color w:val="17365D" w:themeColor="text2" w:themeShade="BF"/>
      <w:spacing w:val="5"/>
      <w:kern w:val="28"/>
      <w:sz w:val="52"/>
      <w:szCs w:val="52"/>
    </w:rPr>
  </w:style>
  <w:style w:type="character" w:styleId="Emphasis">
    <w:name w:val="Emphasis"/>
    <w:basedOn w:val="DefaultParagraphFont"/>
    <w:uiPriority w:val="20"/>
    <w:qFormat/>
    <w:rsid w:val="00D1197D"/>
    <w:rPr>
      <w:i/>
      <w:iCs/>
    </w:rPr>
  </w:style>
  <w:style w:type="character" w:styleId="Hyperlink">
    <w:name w:val="Hyperlink"/>
    <w:basedOn w:val="DefaultParagraphFont"/>
    <w:uiPriority w:val="99"/>
    <w:unhideWhenUsed/>
    <w:rPr>
      <w:color w:val="0000FF" w:themeColor="hyperlink"/>
      <w:u w:val="single"/>
    </w:rPr>
  </w:style>
  <w:style w:type="table" w:styleId="TableGrid">
    <w:name w:val="Table Grid"/>
    <w:basedOn w:val="TableNormal"/>
    <w:uiPriority w:val="59"/>
    <w:pPr>
      <w:spacing w:after="0" w:line="240" w:lineRule="auto"/>
    </w:pPr>
    <w:tblPr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  <w:insideV w:val="single" w:color="000000" w:themeColor="text1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TableNormal" w:default="true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styleId="Caption">
    <w:name w:val="caption"/>
    <w:basedOn w:val="Normal"/>
    <w:next w:val="Normal"/>
    <w:uiPriority w:val="35"/>
    <w:semiHidden/>
    <w:unhideWhenUsed/>
    <w:qFormat/>
    <w:rsid w:val="007109C0"/>
    <w:pPr>
      <w:spacing w:line="240" w:lineRule="auto"/>
    </w:pPr>
    <w:rPr>
      <w:b/>
      <w:bCs/>
      <w:color w:val="4F81BD" w:themeColor="accent1"/>
      <w:sz w:val="18"/>
      <w:szCs w:val="18"/>
    </w:rPr>
  </w:style>
</w:styles>
</file>

<file path=word/_rels/document.xml.rels><?xml version="1.0" encoding="UTF-8" standalone="yes"?>
<Relationships xmlns="http://schemas.openxmlformats.org/package/2006/relationships">
    <Relationship Target="styles.xml" Type="http://schemas.openxmlformats.org/officeDocument/2006/relationships/styles" Id="rId1"/>
    <Relationship Target="settings.xml" Type="http://schemas.openxmlformats.org/officeDocument/2006/relationships/settings" Id="rId2"/>
</Relationships>

</file>

<file path=docProps/app.xml><?xml version="1.0" encoding="utf-8"?>
<properties:Properties xmlns:propertie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terms="http://purl.org/dc/terms/" xmlns:dc="http://purl.org/dc/elements/1.1/"/>
</file>