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80"/>
      </w:pPr>
      <w:r>
        <w:rPr>
          <w:rFonts w:ascii="Calibri" w:hAnsi="Calibri"/>
          <w:b/>
          <w:color w:val="1B365D"/>
          <w:sz w:val="44"/>
        </w:rPr>
        <w:t>JT SOMWARU</w:t>
      </w:r>
    </w:p>
    <w:p>
      <w:pPr>
        <w:jc w:val="center"/>
        <w:spacing w:before="0" w:after="120"/>
        <w:pBdr>
          <w:bottom w:val="single" w:sz="6" w:space="4" w:color="1B365D"/>
        </w:pBdr>
      </w:pPr>
      <w:r>
        <w:rPr>
          <w:rFonts w:ascii="Calibri" w:hAnsi="Calibri"/>
          <w:color w:val="555555"/>
          <w:sz w:val="20"/>
        </w:rPr>
        <w:t>New York City · jtsomwaru@gmail.com · linkedin.com/in/jon-trevor-somwaru · jtsomwaru.com</w:t>
      </w:r>
    </w:p>
    <w:p>
      <w:pPr>
        <w:spacing w:before="200" w:after="60"/>
        <w:pBdr>
          <w:bottom w:val="single" w:sz="6" w:space="4" w:color="1B365D"/>
        </w:pBdr>
      </w:pPr>
      <w:r>
        <w:rPr>
          <w:rFonts w:ascii="Calibri" w:hAnsi="Calibri"/>
          <w:b/>
          <w:color w:val="1B365D"/>
          <w:sz w:val="24"/>
          <w:spacing w:val="20"/>
        </w:rPr>
        <w:t>PROFESSIONAL SUMMARY</w:t>
      </w:r>
    </w:p>
    <w:p>
      <w:pPr>
        <w:spacing w:before="80" w:after="120" w:line="276" w:lineRule="auto"/>
      </w:pPr>
      <w:r>
        <w:rPr>
          <w:rFonts w:ascii="Calibri" w:hAnsi="Calibri"/>
          <w:color w:val="1A1A1A"/>
          <w:sz w:val="21"/>
        </w:rPr>
        <w:t>Business Systems Analyst and AI Implementation Specialist with 6+ years of experience translating complex business requirements into technical specifications, system configurations, process documentation, testing plans, and scalable operating workflows. Led enterprise product catalog and quote-to-order changes across CRM, billing, and operational systems at Spectrum Enterprise, then expanded into hands-on workflow automation and API-connected implementation work for operations-heavy clients. Combines analytical rigor, cross-functional delivery, system documentation, user acceptance testing, and practical automation experience to improve business technology reliability and adoption.</w:t>
      </w:r>
    </w:p>
    <w:p>
      <w:pPr>
        <w:spacing w:before="200" w:after="60"/>
        <w:pBdr>
          <w:bottom w:val="single" w:sz="6" w:space="4" w:color="1B365D"/>
        </w:pBdr>
      </w:pPr>
      <w:r>
        <w:rPr>
          <w:rFonts w:ascii="Calibri" w:hAnsi="Calibri"/>
          <w:b/>
          <w:color w:val="1B365D"/>
          <w:sz w:val="24"/>
          <w:spacing w:val="20"/>
        </w:rPr>
        <w:t>EXPERIENCE</w:t>
      </w:r>
    </w:p>
    <w:p>
      <w:pPr>
        <w:spacing w:before="160" w:after="20"/>
        <w:tabs>
          <w:tab w:val="right" w:pos="10080"/>
        </w:tabs>
      </w:pPr>
      <w:r>
        <w:rPr>
          <w:rFonts w:ascii="Calibri" w:hAnsi="Calibri"/>
          <w:b/>
          <w:color w:val="1A1A1A"/>
          <w:sz w:val="22"/>
        </w:rPr>
        <w:t>AI Implementation Specialist</w:t>
      </w:r>
      <w:r>
        <w:tab/>
      </w:r>
      <w:r>
        <w:rPr>
          <w:rFonts w:ascii="Calibri" w:hAnsi="Calibri"/>
          <w:color w:val="555555"/>
          <w:sz w:val="21"/>
        </w:rPr>
        <w:t>New York</w:t>
      </w:r>
    </w:p>
    <w:p>
      <w:pPr>
        <w:spacing w:before="0" w:after="20"/>
        <w:tabs>
          <w:tab w:val="right" w:pos="10080"/>
        </w:tabs>
      </w:pPr>
      <w:r>
        <w:rPr>
          <w:rFonts w:ascii="Calibri" w:hAnsi="Calibri"/>
          <w:color w:val="555555"/>
          <w:sz w:val="21"/>
        </w:rPr>
        <w:t>Independent Consulting</w:t>
      </w:r>
      <w:r>
        <w:tab/>
      </w:r>
      <w:r>
        <w:rPr>
          <w:rFonts w:ascii="Calibri" w:hAnsi="Calibri"/>
          <w:color w:val="555555"/>
          <w:sz w:val="21"/>
        </w:rPr>
        <w:t>2025-Present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Drive end-to-end delivery of business workflow implementations from discovery and requirements gathering through configuration, testing, launch handoff, documentation, and post-launch iteration.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Build and configure n8n workflows, webhooks, Google Sheets automations, API-connected data sources, dashboards, approval queues, and human review controls for property management, construction, and insurance operations.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Designed a rent delinquency workflow that ingests source reports, applies exception rules, routes cases for review, records approval ownership, and produces traceable final outputs, replacing ad hoc handling with a controlled process.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Delivered an operations dashboard that consolidated status tracking across 32 buildings and 313 rooms into structured daily decision views, leading to follow-on implementation work and a client referral.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Create process flows, configuration specifications, operating guides, test cases, acceptance criteria, and exception-handling documentation so nontechnical teams can operate and maintain new workflows.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Assess current processes for automation opportunities, validate outputs against real operating edge cases, and translate technical constraints into clear decisions for business stakeholders.</w:t>
      </w:r>
    </w:p>
    <w:p>
      <w:pPr>
        <w:spacing w:before="160" w:after="20"/>
        <w:tabs>
          <w:tab w:val="right" w:pos="10080"/>
        </w:tabs>
      </w:pPr>
      <w:r>
        <w:rPr>
          <w:rFonts w:ascii="Calibri" w:hAnsi="Calibri"/>
          <w:b/>
          <w:color w:val="1A1A1A"/>
          <w:sz w:val="22"/>
        </w:rPr>
        <w:t>Business Systems Analyst</w:t>
      </w:r>
      <w:r>
        <w:tab/>
      </w:r>
      <w:r>
        <w:rPr>
          <w:rFonts w:ascii="Calibri" w:hAnsi="Calibri"/>
          <w:color w:val="555555"/>
          <w:sz w:val="21"/>
        </w:rPr>
        <w:t>New York</w:t>
      </w:r>
    </w:p>
    <w:p>
      <w:pPr>
        <w:spacing w:before="0" w:after="20"/>
        <w:tabs>
          <w:tab w:val="right" w:pos="10080"/>
        </w:tabs>
      </w:pPr>
      <w:r>
        <w:rPr>
          <w:rFonts w:ascii="Calibri" w:hAnsi="Calibri"/>
          <w:color w:val="555555"/>
          <w:sz w:val="21"/>
        </w:rPr>
        <w:t>Spectrum Enterprise / Charter Communications</w:t>
      </w:r>
      <w:r>
        <w:tab/>
      </w:r>
      <w:r>
        <w:rPr>
          <w:rFonts w:ascii="Calibri" w:hAnsi="Calibri"/>
          <w:color w:val="555555"/>
          <w:sz w:val="21"/>
        </w:rPr>
        <w:t>2019-2025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Coordinated enterprise systems implementations and product catalog configuration changes across 6+ business, product, engineering, QA, sales operations, support, and finance teams.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Translated business requirements into technical specifications, process maps, configuration rules, acceptance criteria, test plans, user acceptance testing scenarios, and launch-readiness documentation.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Configured product, pricing, permission-dependent, and workflow behavior across CRM, billing, and quote-to-order systems supporting national enterprise sales operations.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Led cross-functional issue triage and root-cause analysis across configuration, workflow design, data quality, training, and downstream process dependencies.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Conducted system testing and validation for new products, workflow changes, and implementation updates, documenting defects and coordinating resolution before launch.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Produced user guides, standard operating procedures, training materials, and post-launch support documentation that helped distributed teams adopt new system behavior.</w:t>
      </w:r>
    </w:p>
    <w:p>
      <w:pPr>
        <w:spacing w:before="0" w:after="40"/>
        <w:ind w:left="360"/>
        <w:spacing w:before="0" w:after="40"/>
      </w:pPr>
      <w:r>
        <w:rPr>
          <w:rFonts w:ascii="Calibri" w:hAnsi="Calibri"/>
          <w:color w:val="1A1A1A"/>
          <w:sz w:val="21"/>
        </w:rPr>
        <w:t>• Served as the liaison between technical teams and business users, translating complex system constraints into clear operational decisions and implementation priorities.</w:t>
      </w:r>
    </w:p>
    <w:p>
      <w:pPr>
        <w:spacing w:before="200" w:after="60"/>
        <w:pBdr>
          <w:bottom w:val="single" w:sz="6" w:space="4" w:color="1B365D"/>
        </w:pBdr>
      </w:pPr>
      <w:r>
        <w:rPr>
          <w:rFonts w:ascii="Calibri" w:hAnsi="Calibri"/>
          <w:b/>
          <w:color w:val="1B365D"/>
          <w:sz w:val="24"/>
          <w:spacing w:val="20"/>
        </w:rPr>
        <w:t>SKILLS</w:t>
      </w:r>
    </w:p>
    <w:p>
      <w:pPr>
        <w:spacing w:before="0" w:after="60"/>
      </w:pPr>
      <w:r>
        <w:rPr>
          <w:rFonts w:ascii="Calibri" w:hAnsi="Calibri"/>
          <w:b/>
          <w:color w:val="1A1A1A"/>
          <w:sz w:val="21"/>
        </w:rPr>
        <w:t xml:space="preserve">Business Systems Analysis: </w:t>
      </w:r>
      <w:r>
        <w:rPr>
          <w:rFonts w:ascii="Calibri" w:hAnsi="Calibri"/>
          <w:b w:val="0"/>
          <w:color w:val="1A1A1A"/>
          <w:sz w:val="21"/>
        </w:rPr>
        <w:t>Requirements gathering, technical specifications, business process analysis, process flows, system documentation, risk identification, stakeholder liaison</w:t>
      </w:r>
    </w:p>
    <w:p>
      <w:pPr>
        <w:spacing w:before="0" w:after="60"/>
      </w:pPr>
      <w:r>
        <w:rPr>
          <w:rFonts w:ascii="Calibri" w:hAnsi="Calibri"/>
          <w:b/>
          <w:color w:val="1A1A1A"/>
          <w:sz w:val="21"/>
        </w:rPr>
        <w:t xml:space="preserve">Systems Configuration: </w:t>
      </w:r>
      <w:r>
        <w:rPr>
          <w:rFonts w:ascii="Calibri" w:hAnsi="Calibri"/>
          <w:b w:val="0"/>
          <w:color w:val="1A1A1A"/>
          <w:sz w:val="21"/>
        </w:rPr>
        <w:t>Business application configuration, user permissions, workflows, product catalog, CRM operations, billing workflows, quote-to-order processes</w:t>
      </w:r>
    </w:p>
    <w:p>
      <w:pPr>
        <w:spacing w:before="0" w:after="60"/>
      </w:pPr>
      <w:r>
        <w:rPr>
          <w:rFonts w:ascii="Calibri" w:hAnsi="Calibri"/>
          <w:b/>
          <w:color w:val="1A1A1A"/>
          <w:sz w:val="21"/>
        </w:rPr>
        <w:t xml:space="preserve">Implementation Delivery: </w:t>
      </w:r>
      <w:r>
        <w:rPr>
          <w:rFonts w:ascii="Calibri" w:hAnsi="Calibri"/>
          <w:b w:val="0"/>
          <w:color w:val="1A1A1A"/>
          <w:sz w:val="21"/>
        </w:rPr>
        <w:t>End-to-end delivery, cross-functional project coordination, Agile delivery, testing, validation, user acceptance testing, launch readiness, post-launch support</w:t>
      </w:r>
    </w:p>
    <w:p>
      <w:pPr>
        <w:spacing w:before="0" w:after="60"/>
      </w:pPr>
      <w:r>
        <w:rPr>
          <w:rFonts w:ascii="Calibri" w:hAnsi="Calibri"/>
          <w:b/>
          <w:color w:val="1A1A1A"/>
          <w:sz w:val="21"/>
        </w:rPr>
        <w:t xml:space="preserve">Automation and Integration: </w:t>
      </w:r>
      <w:r>
        <w:rPr>
          <w:rFonts w:ascii="Calibri" w:hAnsi="Calibri"/>
          <w:b w:val="0"/>
          <w:color w:val="1A1A1A"/>
          <w:sz w:val="21"/>
        </w:rPr>
        <w:t>n8n, API integrations, iPaaS workflows, webhooks, Google Sheets API, workflow automation, exception routing, human-in-the-loop controls</w:t>
      </w:r>
    </w:p>
    <w:p>
      <w:pPr>
        <w:spacing w:before="0" w:after="60"/>
      </w:pPr>
      <w:r>
        <w:rPr>
          <w:rFonts w:ascii="Calibri" w:hAnsi="Calibri"/>
          <w:b/>
          <w:color w:val="1A1A1A"/>
          <w:sz w:val="21"/>
        </w:rPr>
        <w:t xml:space="preserve">Knowledge and Enablement: </w:t>
      </w:r>
      <w:r>
        <w:rPr>
          <w:rFonts w:ascii="Calibri" w:hAnsi="Calibri"/>
          <w:b w:val="0"/>
          <w:color w:val="1A1A1A"/>
          <w:sz w:val="21"/>
        </w:rPr>
        <w:t>User guides, configuration specifications, standard operating procedures, knowledge capture, end-user training, change management</w:t>
      </w:r>
    </w:p>
    <w:p>
      <w:pPr>
        <w:spacing w:before="0" w:after="60"/>
      </w:pPr>
      <w:r>
        <w:rPr>
          <w:rFonts w:ascii="Calibri" w:hAnsi="Calibri"/>
          <w:b/>
          <w:color w:val="1A1A1A"/>
          <w:sz w:val="21"/>
        </w:rPr>
        <w:t xml:space="preserve">Data and Reporting: </w:t>
      </w:r>
      <w:r>
        <w:rPr>
          <w:rFonts w:ascii="Calibri" w:hAnsi="Calibri"/>
          <w:b w:val="0"/>
          <w:color w:val="1A1A1A"/>
          <w:sz w:val="21"/>
        </w:rPr>
        <w:t>SQL (working proficiency), operational dashboards, usage metrics, data validation, reporting, process performance analysis</w:t>
      </w:r>
    </w:p>
    <w:p>
      <w:pPr>
        <w:spacing w:before="200" w:after="60"/>
        <w:pBdr>
          <w:bottom w:val="single" w:sz="6" w:space="4" w:color="1B365D"/>
        </w:pBdr>
      </w:pPr>
      <w:r>
        <w:rPr>
          <w:rFonts w:ascii="Calibri" w:hAnsi="Calibri"/>
          <w:b/>
          <w:color w:val="1B365D"/>
          <w:sz w:val="24"/>
          <w:spacing w:val="20"/>
        </w:rPr>
        <w:t>KEY PROJECTS</w:t>
      </w:r>
    </w:p>
    <w:p>
      <w:pPr>
        <w:spacing w:before="60" w:after="60" w:line="264" w:lineRule="auto"/>
      </w:pPr>
      <w:r>
        <w:rPr>
          <w:rFonts w:ascii="Calibri" w:hAnsi="Calibri"/>
          <w:b/>
          <w:color w:val="1A1A1A"/>
          <w:sz w:val="21"/>
        </w:rPr>
        <w:t xml:space="preserve">AgentGuard: </w:t>
      </w:r>
      <w:r>
        <w:rPr>
          <w:rFonts w:ascii="Calibri" w:hAnsi="Calibri"/>
          <w:b w:val="0"/>
          <w:color w:val="1A1A1A"/>
          <w:sz w:val="21"/>
        </w:rPr>
        <w:t>Designed a confidence-gated AI governance system with human-in-the-loop review, audit trails, explainability reporting, override logging, and decision thresholds for controlled automation.</w:t>
      </w:r>
    </w:p>
    <w:p>
      <w:pPr>
        <w:spacing w:before="60" w:after="60" w:line="264" w:lineRule="auto"/>
      </w:pPr>
      <w:r>
        <w:rPr>
          <w:rFonts w:ascii="Calibri" w:hAnsi="Calibri"/>
          <w:b/>
          <w:color w:val="1A1A1A"/>
          <w:sz w:val="21"/>
        </w:rPr>
        <w:t xml:space="preserve">OpenClaw Production Platform: </w:t>
      </w:r>
      <w:r>
        <w:rPr>
          <w:rFonts w:ascii="Calibri" w:hAnsi="Calibri"/>
          <w:b w:val="0"/>
          <w:color w:val="1A1A1A"/>
          <w:sz w:val="21"/>
        </w:rPr>
        <w:t>Operates scheduled AI workflows across research, task routing, cost monitoring, proof logging, and operational recovery with monitoring, escalation rules, and failure controls.</w:t>
      </w:r>
    </w:p>
    <w:p>
      <w:pPr>
        <w:spacing w:before="60" w:after="60" w:line="264" w:lineRule="auto"/>
      </w:pPr>
      <w:r>
        <w:rPr>
          <w:rFonts w:ascii="Calibri" w:hAnsi="Calibri"/>
          <w:b/>
          <w:color w:val="1A1A1A"/>
          <w:sz w:val="21"/>
        </w:rPr>
        <w:t xml:space="preserve">Nash Satoshi: </w:t>
      </w:r>
      <w:r>
        <w:rPr>
          <w:rFonts w:ascii="Calibri" w:hAnsi="Calibri"/>
          <w:b w:val="0"/>
          <w:color w:val="1A1A1A"/>
          <w:sz w:val="21"/>
        </w:rPr>
        <w:t>Built a production 4-LLM ensemble using Claude, GPT-4, Gemini, and Grok for cross-model validation and consensus ranking, demonstrating model orchestration, quality control, and explainable decision logic.</w:t>
      </w:r>
    </w:p>
    <w:p>
      <w:pPr>
        <w:spacing w:before="200" w:after="60"/>
        <w:pBdr>
          <w:bottom w:val="single" w:sz="6" w:space="4" w:color="1B365D"/>
        </w:pBdr>
      </w:pPr>
      <w:r>
        <w:rPr>
          <w:rFonts w:ascii="Calibri" w:hAnsi="Calibri"/>
          <w:b/>
          <w:color w:val="1B365D"/>
          <w:sz w:val="24"/>
          <w:spacing w:val="20"/>
        </w:rPr>
        <w:t>EDUCATION</w:t>
      </w:r>
    </w:p>
    <w:p>
      <w:pPr>
        <w:spacing w:before="80" w:after="40"/>
      </w:pPr>
      <w:r>
        <w:rPr>
          <w:rFonts w:ascii="Calibri" w:hAnsi="Calibri"/>
          <w:b/>
          <w:color w:val="1A1A1A"/>
          <w:sz w:val="21"/>
        </w:rPr>
        <w:t>Ithaca College</w:t>
      </w:r>
      <w:r>
        <w:rPr>
          <w:rFonts w:ascii="Calibri" w:hAnsi="Calibri"/>
          <w:b w:val="0"/>
          <w:color w:val="555555"/>
          <w:sz w:val="21"/>
        </w:rPr>
        <w:t>, BS, Sport Management, Legal Studies Minor, 2018</w:t>
      </w:r>
    </w:p>
    <w:p>
      <w:pPr>
        <w:spacing w:before="80" w:after="40"/>
      </w:pPr>
      <w:r>
        <w:rPr>
          <w:rFonts w:ascii="Calibri" w:hAnsi="Calibri"/>
          <w:b/>
          <w:color w:val="1A1A1A"/>
          <w:sz w:val="21"/>
        </w:rPr>
        <w:t>Northeastern University</w:t>
      </w:r>
      <w:r>
        <w:rPr>
          <w:rFonts w:ascii="Calibri" w:hAnsi="Calibri"/>
          <w:b w:val="0"/>
          <w:color w:val="555555"/>
          <w:sz w:val="21"/>
        </w:rPr>
        <w:t>, Data Analytics Certificate, 2019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